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84B" w:rsidRDefault="003E3BA9">
      <w:pPr>
        <w:spacing w:after="0"/>
        <w:ind w:left="108"/>
      </w:pPr>
      <w:bookmarkStart w:id="0" w:name="_GoBack"/>
      <w:bookmarkEnd w:id="0"/>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F384B" w:rsidRDefault="003E3BA9">
      <w:pPr>
        <w:spacing w:after="1"/>
        <w:ind w:left="108"/>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FF384B" w:rsidRDefault="003E3BA9">
      <w:pPr>
        <w:tabs>
          <w:tab w:val="center" w:pos="1123"/>
          <w:tab w:val="center" w:pos="3960"/>
          <w:tab w:val="center" w:pos="5778"/>
          <w:tab w:val="center" w:pos="7055"/>
        </w:tabs>
        <w:spacing w:after="15" w:line="247" w:lineRule="auto"/>
      </w:pPr>
      <w:r>
        <w:tab/>
      </w:r>
      <w:r>
        <w:rPr>
          <w:rFonts w:ascii="Arial" w:eastAsia="Arial" w:hAnsi="Arial" w:cs="Arial"/>
        </w:rPr>
        <w:t xml:space="preserve"> </w:t>
      </w:r>
      <w:r>
        <w:rPr>
          <w:rFonts w:ascii="Arial" w:eastAsia="Arial" w:hAnsi="Arial" w:cs="Arial"/>
        </w:rPr>
        <w:tab/>
      </w:r>
      <w:r>
        <w:rPr>
          <w:rFonts w:ascii="Arial" w:eastAsia="Arial" w:hAnsi="Arial" w:cs="Arial"/>
          <w:b/>
        </w:rPr>
        <w:t xml:space="preserve">                   ACTA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p>
    <w:p w:rsidR="00FF384B" w:rsidRDefault="003E3BA9">
      <w:pPr>
        <w:spacing w:after="0"/>
        <w:ind w:right="-503"/>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434319" name="Group 43431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1" name="Shape 111"/>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319" style="width:477pt;height:2.04pt;mso-position-horizontal-relative:char;mso-position-vertical-relative:line" coordsize="60579,259">
                <v:shape id="Shape 111" style="position:absolute;width:60579;height:0;left:0;top:0;" coordsize="6057900,0" path="m0,0l6057900,0">
                  <v:stroke weight="2.04pt" endcap="square" joinstyle="miter" miterlimit="10" on="true" color="#993366"/>
                  <v:fill on="false" color="#000000" opacity="0"/>
                </v:shape>
              </v:group>
            </w:pict>
          </mc:Fallback>
        </mc:AlternateContent>
      </w:r>
    </w:p>
    <w:p w:rsidR="00FF384B" w:rsidRDefault="003E3BA9">
      <w:pPr>
        <w:spacing w:after="0"/>
        <w:ind w:left="582"/>
        <w:jc w:val="center"/>
      </w:pPr>
      <w:r>
        <w:rPr>
          <w:rFonts w:ascii="Arial" w:eastAsia="Arial" w:hAnsi="Arial" w:cs="Arial"/>
          <w:b/>
        </w:rPr>
        <w:t xml:space="preserve"> </w:t>
      </w:r>
    </w:p>
    <w:p w:rsidR="00FF384B" w:rsidRDefault="003E3BA9">
      <w:pPr>
        <w:spacing w:after="0"/>
        <w:ind w:left="582"/>
        <w:jc w:val="center"/>
      </w:pPr>
      <w:r>
        <w:rPr>
          <w:rFonts w:ascii="Arial" w:eastAsia="Arial" w:hAnsi="Arial" w:cs="Arial"/>
          <w:b/>
        </w:rPr>
        <w:t xml:space="preserve"> </w:t>
      </w:r>
    </w:p>
    <w:p w:rsidR="00FF384B" w:rsidRDefault="003E3BA9">
      <w:pPr>
        <w:spacing w:after="15" w:line="247" w:lineRule="auto"/>
        <w:ind w:left="1316" w:hanging="3"/>
        <w:jc w:val="both"/>
      </w:pPr>
      <w:r>
        <w:rPr>
          <w:rFonts w:ascii="Arial" w:eastAsia="Arial" w:hAnsi="Arial" w:cs="Arial"/>
          <w:b/>
        </w:rPr>
        <w:t xml:space="preserve">DE LA SESIÓN ORDINARIA CELEBRADA POR EL AYUNTAMIENTO </w:t>
      </w:r>
    </w:p>
    <w:p w:rsidR="00FF384B" w:rsidRDefault="003E3BA9">
      <w:pPr>
        <w:pStyle w:val="Ttulo1"/>
        <w:ind w:left="767" w:right="238"/>
      </w:pPr>
      <w:r>
        <w:t xml:space="preserve">PLENO </w:t>
      </w:r>
    </w:p>
    <w:p w:rsidR="00FF384B" w:rsidRDefault="003E3BA9">
      <w:pPr>
        <w:spacing w:after="15" w:line="247" w:lineRule="auto"/>
        <w:ind w:left="2281" w:hanging="3"/>
        <w:jc w:val="both"/>
      </w:pPr>
      <w:r>
        <w:rPr>
          <w:rFonts w:ascii="Arial" w:eastAsia="Arial" w:hAnsi="Arial" w:cs="Arial"/>
          <w:b/>
        </w:rPr>
        <w:t xml:space="preserve">EL DÍA 29 DE ABRIL DE  2021. SESIÓN Nº5/2021 </w:t>
      </w:r>
    </w:p>
    <w:p w:rsidR="00FF384B" w:rsidRDefault="003E3BA9">
      <w:pPr>
        <w:spacing w:after="0"/>
        <w:ind w:left="582"/>
        <w:jc w:val="center"/>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87"/>
        <w:jc w:val="center"/>
      </w:pPr>
      <w:r>
        <w:rPr>
          <w:rFonts w:ascii="Arial" w:eastAsia="Arial" w:hAnsi="Arial" w:cs="Arial"/>
        </w:rPr>
        <w:t xml:space="preserve"> </w:t>
      </w:r>
    </w:p>
    <w:p w:rsidR="00FF384B" w:rsidRDefault="003E3BA9">
      <w:pPr>
        <w:spacing w:after="8" w:line="253" w:lineRule="auto"/>
        <w:ind w:left="767" w:right="731" w:hanging="10"/>
        <w:jc w:val="center"/>
      </w:pPr>
      <w:r>
        <w:rPr>
          <w:rFonts w:ascii="Arial" w:eastAsia="Arial" w:hAnsi="Arial" w:cs="Arial"/>
          <w:b/>
        </w:rPr>
        <w:t xml:space="preserve">SEÑORES ASISTENTES: </w:t>
      </w:r>
    </w:p>
    <w:p w:rsidR="00FF384B" w:rsidRDefault="003E3BA9">
      <w:pPr>
        <w:spacing w:after="0"/>
        <w:ind w:left="2568"/>
      </w:pPr>
      <w:r>
        <w:rPr>
          <w:rFonts w:ascii="Arial" w:eastAsia="Arial" w:hAnsi="Arial" w:cs="Arial"/>
          <w:b/>
        </w:rPr>
        <w:t xml:space="preserve"> </w:t>
      </w:r>
    </w:p>
    <w:p w:rsidR="00FF384B" w:rsidRDefault="003E3BA9">
      <w:pPr>
        <w:spacing w:after="0"/>
        <w:ind w:left="2568"/>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b/>
        </w:rPr>
        <w:t xml:space="preserve">                                        Alcaldesa-</w:t>
      </w:r>
      <w:r>
        <w:rPr>
          <w:rFonts w:ascii="Arial" w:eastAsia="Arial" w:hAnsi="Arial" w:cs="Arial"/>
          <w:b/>
        </w:rPr>
        <w:t xml:space="preserve">Presidenta: </w:t>
      </w:r>
      <w:r>
        <w:rPr>
          <w:rFonts w:ascii="Arial" w:eastAsia="Arial" w:hAnsi="Arial" w:cs="Arial"/>
        </w:rPr>
        <w:t>Dª María Concepción Brito Núñez</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87"/>
        <w:jc w:val="center"/>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b/>
        </w:rPr>
        <w:t xml:space="preserve">               Grupo Socialista</w:t>
      </w:r>
      <w:r>
        <w:rPr>
          <w:rFonts w:ascii="Arial" w:eastAsia="Arial" w:hAnsi="Arial" w:cs="Arial"/>
        </w:rPr>
        <w:t xml:space="preserve">: D. Jorge Baute Delgado, Dª Olivia Concepción Pérez </w:t>
      </w:r>
    </w:p>
    <w:p w:rsidR="00FF384B" w:rsidRDefault="003E3BA9">
      <w:pPr>
        <w:spacing w:after="1" w:line="239" w:lineRule="auto"/>
        <w:ind w:left="278" w:right="162" w:hanging="10"/>
      </w:pPr>
      <w:r>
        <w:rPr>
          <w:rFonts w:ascii="Arial" w:eastAsia="Arial" w:hAnsi="Arial" w:cs="Arial"/>
        </w:rPr>
        <w:t>Díaz, D. José Francisco Pinto Ramos, Dª Hilaria Cecilia Otazo González, D. Airam Pérez Chinea, Dª Margarita Eva Tendero Ba</w:t>
      </w:r>
      <w:r>
        <w:rPr>
          <w:rFonts w:ascii="Arial" w:eastAsia="Arial" w:hAnsi="Arial" w:cs="Arial"/>
        </w:rPr>
        <w:t xml:space="preserve">rroso,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434317" name="Group 434317"/>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4317"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61"/>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320" name="Group 43432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13" name="Picture 113"/>
                          <pic:cNvPicPr/>
                        </pic:nvPicPr>
                        <pic:blipFill>
                          <a:blip r:embed="rId62"/>
                          <a:stretch>
                            <a:fillRect/>
                          </a:stretch>
                        </pic:blipFill>
                        <pic:spPr>
                          <a:xfrm rot="-5399999">
                            <a:off x="-1720849" y="1720849"/>
                            <a:ext cx="3797300" cy="355601"/>
                          </a:xfrm>
                          <a:prstGeom prst="rect">
                            <a:avLst/>
                          </a:prstGeom>
                        </pic:spPr>
                      </pic:pic>
                      <wps:wsp>
                        <wps:cNvPr id="114" name="Rectangle 11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15" name="Rectangle 115"/>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320" style="width:41.2715pt;height:299pt;position:absolute;mso-position-horizontal-relative:page;mso-position-horizontal:absolute;margin-left:653.71pt;mso-position-vertical-relative:page;margin-top:512.92pt;" coordsize="5241,37973">
                <v:shape id="Picture 113" style="position:absolute;width:37973;height:3556;left:-17208;top:17208;rotation:-89;" filled="f">
                  <v:imagedata r:id="rId63"/>
                </v:shape>
                <v:rect id="Rectangle 11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15"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353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434321" name="Group 43432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6" name="Shape 116"/>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7" name="Shape 117"/>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4321" style="width:29pt;height:466.28pt;position:absolute;mso-position-horizontal-relative:page;mso-position-horizontal:absolute;margin-left:20pt;mso-position-vertical-relative:page;margin-top:110pt;" coordsize="3683,59217">
                <v:shape id="Shape 116" style="position:absolute;width:3683;height:29291;left:0;top:0;" coordsize="368300,2929128" path="m0,2929128l368300,2929128l368300,0l0,0x">
                  <v:stroke weight="0.5pt" endcap="flat" joinstyle="miter" miterlimit="10" on="true" color="#808080"/>
                  <v:fill on="false" color="#000000" opacity="0"/>
                </v:shape>
                <v:shape id="Shape 117"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b/>
        </w:rPr>
        <w:t xml:space="preserve">               Grupo Popular: </w:t>
      </w:r>
      <w:r>
        <w:rPr>
          <w:rFonts w:ascii="Arial" w:eastAsia="Arial" w:hAnsi="Arial" w:cs="Arial"/>
        </w:rPr>
        <w:t xml:space="preserve">D. Andrés Rodríguez Delgado, D. </w:t>
      </w:r>
      <w:r>
        <w:rPr>
          <w:rFonts w:ascii="Arial" w:eastAsia="Arial" w:hAnsi="Arial" w:cs="Arial"/>
        </w:rPr>
        <w:t xml:space="preserve">Jacobo López Fariña, Dª </w:t>
      </w:r>
    </w:p>
    <w:p w:rsidR="00FF384B" w:rsidRDefault="003E3BA9">
      <w:pPr>
        <w:spacing w:after="5" w:line="247" w:lineRule="auto"/>
        <w:ind w:left="278" w:right="244" w:hanging="10"/>
        <w:jc w:val="both"/>
      </w:pPr>
      <w:r>
        <w:rPr>
          <w:rFonts w:ascii="Arial" w:eastAsia="Arial" w:hAnsi="Arial" w:cs="Arial"/>
        </w:rPr>
        <w:t>Raquel Martín Castro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               Grupo Mixto:</w:t>
      </w:r>
      <w:r>
        <w:rPr>
          <w:rFonts w:ascii="Arial" w:eastAsia="Arial" w:hAnsi="Arial" w:cs="Arial"/>
        </w:rPr>
        <w:t xml:space="preserve"> Dª Lourdes </w:t>
      </w:r>
      <w:r>
        <w:rPr>
          <w:rFonts w:ascii="Arial" w:eastAsia="Arial" w:hAnsi="Arial" w:cs="Arial"/>
        </w:rPr>
        <w:t>del Carmen Mondejar Rondón y D. Antonio Delgado García (Si Se Puede) Dª Ángela Cruz Perera (Coalición Canaria Partido Nacionalista Canario), y Don José Fernando Gómez Martín (Vecinos por Candelaria).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                Secretario General: </w:t>
      </w:r>
      <w:r>
        <w:rPr>
          <w:rFonts w:ascii="Arial" w:eastAsia="Arial" w:hAnsi="Arial" w:cs="Arial"/>
        </w:rPr>
        <w:t>D. Octavio Manu</w:t>
      </w:r>
      <w:r>
        <w:rPr>
          <w:rFonts w:ascii="Arial" w:eastAsia="Arial" w:hAnsi="Arial" w:cs="Arial"/>
        </w:rPr>
        <w:t>el Fernández Hernández</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                Interventor:  </w:t>
      </w:r>
      <w:r>
        <w:rPr>
          <w:rFonts w:ascii="Arial" w:eastAsia="Arial" w:hAnsi="Arial" w:cs="Arial"/>
        </w:rPr>
        <w:t>D. Nicolás Rojo Garnica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right="489"/>
        <w:jc w:val="center"/>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En Candelaria, a 29 de abril de 2021, siendo las 9:05 horas, se constituyó el Ayuntamiento Pleno en el Salón de Sesiones de la Casa Consistorial con asistencia de los Sres</w:t>
      </w:r>
      <w:r>
        <w:rPr>
          <w:rFonts w:ascii="Arial" w:eastAsia="Arial" w:hAnsi="Arial" w:cs="Arial"/>
        </w:rPr>
        <w:t xml:space="preserve">. Concejales expresados al margen, y al objeto de celebrar sesión ordinaria para tratar los asuntos comprendidos en el orden del día de la convocatoria. </w:t>
      </w:r>
    </w:p>
    <w:p w:rsidR="00FF384B" w:rsidRDefault="003E3BA9">
      <w:pPr>
        <w:spacing w:after="0"/>
        <w:ind w:left="283"/>
      </w:pPr>
      <w:r>
        <w:rPr>
          <w:rFonts w:ascii="Arial" w:eastAsia="Arial" w:hAnsi="Arial" w:cs="Arial"/>
          <w:b/>
        </w:rPr>
        <w:t xml:space="preserve"> </w:t>
      </w:r>
    </w:p>
    <w:p w:rsidR="00FF384B" w:rsidRDefault="003E3BA9">
      <w:pPr>
        <w:spacing w:after="1142"/>
        <w:ind w:right="489"/>
        <w:jc w:val="center"/>
      </w:pPr>
      <w:r>
        <w:rPr>
          <w:rFonts w:ascii="Arial" w:eastAsia="Arial" w:hAnsi="Arial" w:cs="Arial"/>
        </w:rPr>
        <w:t xml:space="preserve"> </w:t>
      </w:r>
    </w:p>
    <w:p w:rsidR="00FF384B" w:rsidRDefault="003E3BA9">
      <w:pPr>
        <w:spacing w:after="0"/>
        <w:ind w:left="54" w:right="-193"/>
        <w:jc w:val="center"/>
      </w:pPr>
      <w:r>
        <w:rPr>
          <w:noProof/>
        </w:rPr>
        <w:lastRenderedPageBreak/>
        <mc:AlternateContent>
          <mc:Choice Requires="wpg">
            <w:drawing>
              <wp:inline distT="0" distB="0" distL="0" distR="0">
                <wp:extent cx="5830570" cy="17145"/>
                <wp:effectExtent l="0" t="0" r="0" b="0"/>
                <wp:docPr id="434318" name="Group 43431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31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FF384B" w:rsidRDefault="003E3BA9">
      <w:pPr>
        <w:spacing w:after="89" w:line="241" w:lineRule="auto"/>
        <w:ind w:left="4119" w:right="1226" w:hanging="1976"/>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FF384B" w:rsidRDefault="003E3BA9">
      <w:pPr>
        <w:spacing w:after="0"/>
      </w:pPr>
      <w:r>
        <w:rPr>
          <w:rFonts w:ascii="Times New Roman" w:eastAsia="Times New Roman" w:hAnsi="Times New Roman" w:cs="Times New Roman"/>
          <w:sz w:val="24"/>
        </w:rPr>
        <w:t xml:space="preserve"> </w:t>
      </w:r>
    </w:p>
    <w:p w:rsidR="00FF384B" w:rsidRDefault="003E3BA9">
      <w:pPr>
        <w:pStyle w:val="Ttulo1"/>
        <w:ind w:left="767" w:right="729"/>
      </w:pPr>
      <w:r>
        <w:t xml:space="preserve">ORDEN DEL DÍA </w:t>
      </w:r>
    </w:p>
    <w:p w:rsidR="00FF384B" w:rsidRDefault="003E3BA9">
      <w:pPr>
        <w:spacing w:after="0"/>
        <w:ind w:left="87"/>
        <w:jc w:val="center"/>
      </w:pPr>
      <w:r>
        <w:rPr>
          <w:rFonts w:ascii="Arial" w:eastAsia="Arial" w:hAnsi="Arial" w:cs="Arial"/>
          <w:b/>
        </w:rPr>
        <w:t xml:space="preserve"> </w:t>
      </w:r>
    </w:p>
    <w:p w:rsidR="00FF384B" w:rsidRDefault="003E3BA9">
      <w:pPr>
        <w:spacing w:after="0"/>
        <w:ind w:left="87"/>
        <w:jc w:val="center"/>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653" w:hanging="10"/>
        <w:jc w:val="both"/>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3" w:line="238" w:lineRule="auto"/>
        <w:ind w:left="278" w:hanging="10"/>
      </w:pPr>
      <w:r>
        <w:rPr>
          <w:rFonts w:ascii="Arial" w:eastAsia="Arial" w:hAnsi="Arial" w:cs="Arial"/>
          <w:b/>
        </w:rPr>
        <w:t>1.- Expediente 3358/2021. Propuesta del Concejal delegado de Hacienda de 14 de abril de 2021 al Pleno del informe de Tesorería de 14 de abril de 2021 del periodo medio de pago</w:t>
      </w:r>
      <w:r>
        <w:rPr>
          <w:rFonts w:ascii="Arial" w:eastAsia="Arial" w:hAnsi="Arial" w:cs="Arial"/>
          <w:b/>
        </w:rPr>
        <w:t xml:space="preserve"> del Primer Trimestre de 2021 conforme el Real Decreto 1040/2017, de 22 de diciembre.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3" w:hanging="3"/>
        <w:jc w:val="both"/>
      </w:pPr>
      <w:r>
        <w:rPr>
          <w:rFonts w:ascii="Arial" w:eastAsia="Arial" w:hAnsi="Arial" w:cs="Arial"/>
          <w:b/>
        </w:rPr>
        <w:t xml:space="preserve">2.- Expediente 3357/2021. Propuesta del Concejal delegado de Hacienda de 14 de abril de 2021 al Pleno de toma de conocimiento del informe del Tesorería de 14 de abril </w:t>
      </w:r>
      <w:r>
        <w:rPr>
          <w:rFonts w:ascii="Arial" w:eastAsia="Arial" w:hAnsi="Arial" w:cs="Arial"/>
          <w:b/>
        </w:rPr>
        <w:t>de 2021 del cumplimiento de plazos de la Ley 15/2010 correspondiente al Primer Trimestre 2021</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right="253" w:hanging="3"/>
        <w:jc w:val="both"/>
      </w:pPr>
      <w:r>
        <w:rPr>
          <w:rFonts w:ascii="Arial" w:eastAsia="Arial" w:hAnsi="Arial" w:cs="Arial"/>
          <w:b/>
        </w:rPr>
        <w:t>3.- Expediente 3519/2021. Propuesta del Concejal de Hacienda de 21 de abril de 2021 al Pleno de aprobación inicial del expediente de modificación presupuestar</w:t>
      </w:r>
      <w:r>
        <w:rPr>
          <w:rFonts w:ascii="Arial" w:eastAsia="Arial" w:hAnsi="Arial" w:cs="Arial"/>
          <w:b/>
        </w:rPr>
        <w:t xml:space="preserve">ia nº 3519/2021, por Suplemento de Créditos financiado con remanente de tesorería para gastos generales por importe de 471.000,63 euros.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3" w:hanging="3"/>
        <w:jc w:val="both"/>
      </w:pPr>
      <w:r>
        <w:rPr>
          <w:noProof/>
        </w:rPr>
        <mc:AlternateContent>
          <mc:Choice Requires="wpg">
            <w:drawing>
              <wp:anchor distT="0" distB="0" distL="114300" distR="114300" simplePos="0" relativeHeight="2516613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328" name="Group 43432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8" name="Picture 278"/>
                          <pic:cNvPicPr/>
                        </pic:nvPicPr>
                        <pic:blipFill>
                          <a:blip r:embed="rId62"/>
                          <a:stretch>
                            <a:fillRect/>
                          </a:stretch>
                        </pic:blipFill>
                        <pic:spPr>
                          <a:xfrm rot="-5399999">
                            <a:off x="-1720849" y="1720849"/>
                            <a:ext cx="3797300" cy="355601"/>
                          </a:xfrm>
                          <a:prstGeom prst="rect">
                            <a:avLst/>
                          </a:prstGeom>
                        </pic:spPr>
                      </pic:pic>
                      <wps:wsp>
                        <wps:cNvPr id="279" name="Rectangle 27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0" name="Rectangle 280"/>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328" style="width:41.2715pt;height:299pt;position:absolute;mso-position-horizontal-relative:page;mso-position-horizontal:absolute;margin-left:653.71pt;mso-position-vertical-relative:page;margin-top:512.92pt;" coordsize="5241,37973">
                <v:shape id="Picture 278" style="position:absolute;width:37973;height:3556;left:-17208;top:17208;rotation:-89;" filled="f">
                  <v:imagedata r:id="rId63"/>
                </v:shape>
                <v:rect id="Rectangle 27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0"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353 </w:t>
                        </w:r>
                      </w:p>
                    </w:txbxContent>
                  </v:textbox>
                </v:rect>
                <w10:wrap type="square"/>
              </v:group>
            </w:pict>
          </mc:Fallback>
        </mc:AlternateContent>
      </w:r>
      <w:r>
        <w:rPr>
          <w:rFonts w:ascii="Arial" w:eastAsia="Arial" w:hAnsi="Arial" w:cs="Arial"/>
          <w:b/>
        </w:rPr>
        <w:t>4.- Expediente 2688/2021. Propuesta del Concejal delegado de Hacienda de 21 de abril de 2021 al Pleno de aprobación inicial de la modificación presupuestaria nº 26</w:t>
      </w:r>
      <w:r>
        <w:rPr>
          <w:rFonts w:ascii="Arial" w:eastAsia="Arial" w:hAnsi="Arial" w:cs="Arial"/>
          <w:b/>
        </w:rPr>
        <w:t xml:space="preserve">88/2021, por créditos extraordinarios financiado con remanente de tesorería para gastos generales por importe 4.034.835,71 Euros.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3" w:hanging="3"/>
        <w:jc w:val="both"/>
      </w:pPr>
      <w:r>
        <w:rPr>
          <w:rFonts w:ascii="Arial" w:eastAsia="Arial" w:hAnsi="Arial" w:cs="Arial"/>
          <w:b/>
        </w:rPr>
        <w:t>5.- Expediente 4148/2020. Propuesta del Concejal delegado de Hacienda de 21 de abril de 2021 al Pleno de desestimación de l</w:t>
      </w:r>
      <w:r>
        <w:rPr>
          <w:rFonts w:ascii="Arial" w:eastAsia="Arial" w:hAnsi="Arial" w:cs="Arial"/>
          <w:b/>
        </w:rPr>
        <w:t xml:space="preserve">as alegaciones y de aprobación definitiva de la Ordenanza General de Subvenciones del Ayuntamiento de Candelaria.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1" w:hanging="3"/>
        <w:jc w:val="both"/>
      </w:pPr>
      <w:r>
        <w:rPr>
          <w:rFonts w:ascii="Arial" w:eastAsia="Arial" w:hAnsi="Arial" w:cs="Arial"/>
          <w:b/>
        </w:rPr>
        <w:t xml:space="preserve">6.- Expediente 1178/2021. Propuesta de la Alcaldesa-Presidenta de fecha 21 de abril de 2021 al Pleno para la aprobación de la adjudicación </w:t>
      </w:r>
      <w:r>
        <w:rPr>
          <w:rFonts w:ascii="Arial" w:eastAsia="Arial" w:hAnsi="Arial" w:cs="Arial"/>
          <w:b/>
        </w:rPr>
        <w:t xml:space="preserve">del expediente del contrato basado en el Acuerdo Marco para la contratación del suministro de electricidad en alta y baja tensión para la Central de Contratación de la Federación Española de Municipios y Provincias (FEMP) LOTE 7 (Islas Canarias).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3" w:hanging="3"/>
        <w:jc w:val="both"/>
      </w:pPr>
      <w:r>
        <w:rPr>
          <w:rFonts w:ascii="Arial" w:eastAsia="Arial" w:hAnsi="Arial" w:cs="Arial"/>
          <w:b/>
        </w:rPr>
        <w:t>7.-</w:t>
      </w:r>
      <w:r>
        <w:rPr>
          <w:rFonts w:ascii="Arial" w:eastAsia="Arial" w:hAnsi="Arial" w:cs="Arial"/>
        </w:rPr>
        <w:t xml:space="preserve"> </w:t>
      </w:r>
      <w:r>
        <w:rPr>
          <w:rFonts w:ascii="Arial" w:eastAsia="Arial" w:hAnsi="Arial" w:cs="Arial"/>
          <w:b/>
        </w:rPr>
        <w:t>Ex</w:t>
      </w:r>
      <w:r>
        <w:rPr>
          <w:rFonts w:ascii="Arial" w:eastAsia="Arial" w:hAnsi="Arial" w:cs="Arial"/>
          <w:b/>
        </w:rPr>
        <w:t xml:space="preserve">pediente 1147/2021. Propuesta de la Alcaldesa-Presidenta de fecha 21 de abril de 2021 al Pleno sobre aprobación de la propuesta de la estructura de costes del servicio de gestión de residuos, limpieza viaria y del litoral del municipio de Candelaria según </w:t>
      </w:r>
      <w:r>
        <w:rPr>
          <w:rFonts w:ascii="Arial" w:eastAsia="Arial" w:hAnsi="Arial" w:cs="Arial"/>
          <w:b/>
        </w:rPr>
        <w:t>el informe técnico de 21 de abril de 2021.</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3" w:hanging="3"/>
        <w:jc w:val="both"/>
      </w:pPr>
      <w:r>
        <w:rPr>
          <w:rFonts w:ascii="Arial" w:eastAsia="Arial" w:hAnsi="Arial" w:cs="Arial"/>
          <w:b/>
        </w:rPr>
        <w:lastRenderedPageBreak/>
        <w:t>8.- Expediente 3351/2021. Propuesta de la Concejal Delegada de Servicios Sociales, Igualdad y Sanidad de fecha 21 de abril de 2021 al Pleno para la Adhesión a la Red Española de Ciudades Saludables RECS, a trav</w:t>
      </w:r>
      <w:r>
        <w:rPr>
          <w:rFonts w:ascii="Arial" w:eastAsia="Arial" w:hAnsi="Arial" w:cs="Arial"/>
          <w:b/>
        </w:rPr>
        <w:t xml:space="preserve">és de la Federación Española de Municipios y Provincias FEMP, mediante compromiso político municipal de adscripción a la Sección, expresado por acuerdo del Pleno.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5" w:hanging="3"/>
        <w:jc w:val="both"/>
      </w:pPr>
      <w:r>
        <w:rPr>
          <w:rFonts w:ascii="Arial" w:eastAsia="Arial" w:hAnsi="Arial" w:cs="Arial"/>
          <w:b/>
        </w:rPr>
        <w:t>9.- Expediente 3033/2021. Propuesta de la Concejal Delegada de Servicios Sociales, Igualda</w:t>
      </w:r>
      <w:r>
        <w:rPr>
          <w:rFonts w:ascii="Arial" w:eastAsia="Arial" w:hAnsi="Arial" w:cs="Arial"/>
          <w:b/>
        </w:rPr>
        <w:t xml:space="preserve">d y Sanidad de fecha 13 de abril de 2021 al Pleno para la adhesión a la Declaración Institucional del Día Mundial contra la Esclavitud Infantil (16 de abril) realizada por la Comisión de Cooperación, Juventud, Igualdad y Diversidad de la FECAM.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6" w:hanging="3"/>
        <w:jc w:val="both"/>
      </w:pPr>
      <w:r>
        <w:rPr>
          <w:rFonts w:ascii="Arial" w:eastAsia="Arial" w:hAnsi="Arial" w:cs="Arial"/>
          <w:b/>
        </w:rPr>
        <w:t>10.- Exp</w:t>
      </w:r>
      <w:r>
        <w:rPr>
          <w:rFonts w:ascii="Arial" w:eastAsia="Arial" w:hAnsi="Arial" w:cs="Arial"/>
          <w:b/>
        </w:rPr>
        <w:t xml:space="preserve">ediente 3595/2021. Moción del Grupo Mixto por registro de entrada de 20 de abril de 2021 para la adhesión al Acuerdo Marco de la FEMP para la gestión y recaudación de las multas de tráfico.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2" w:hanging="3"/>
        <w:jc w:val="both"/>
      </w:pPr>
      <w:r>
        <w:rPr>
          <w:rFonts w:ascii="Arial" w:eastAsia="Arial" w:hAnsi="Arial" w:cs="Arial"/>
          <w:b/>
        </w:rPr>
        <w:t>11.- Expediente 3467/2020. Moción del Grupo Mixto por RE (2021-</w:t>
      </w:r>
      <w:r>
        <w:rPr>
          <w:rFonts w:ascii="Arial" w:eastAsia="Arial" w:hAnsi="Arial" w:cs="Arial"/>
          <w:b/>
        </w:rPr>
        <w:t xml:space="preserve">E-RE-1269) de 19 de abril de 2021 para la redacción de un Plan Municipal de Pavimentación de las Vías Públicas de Candelaria.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0" w:hanging="3"/>
        <w:jc w:val="both"/>
      </w:pPr>
      <w:r>
        <w:rPr>
          <w:rFonts w:ascii="Arial" w:eastAsia="Arial" w:hAnsi="Arial" w:cs="Arial"/>
          <w:b/>
        </w:rPr>
        <w:t>12.- Expediente 2642/2020. Moción del Grupo Mixto por RE (2021-E-RE-1259) de 18 de abril de 2021 para la reiteración de la Moci</w:t>
      </w:r>
      <w:r>
        <w:rPr>
          <w:rFonts w:ascii="Arial" w:eastAsia="Arial" w:hAnsi="Arial" w:cs="Arial"/>
          <w:b/>
        </w:rPr>
        <w:t xml:space="preserve">ón del expediente de desafectación de terrenos innecesarios para el dominio público marítimo terrestre en el litoral de Candelaria (Pleno 24-9-2020).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2" w:hanging="3"/>
        <w:jc w:val="both"/>
      </w:pPr>
      <w:r>
        <w:rPr>
          <w:noProof/>
        </w:rPr>
        <mc:AlternateContent>
          <mc:Choice Requires="wpg">
            <w:drawing>
              <wp:anchor distT="0" distB="0" distL="114300" distR="114300" simplePos="0" relativeHeight="2516623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3788" name="Group 43378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1" name="Picture 451"/>
                          <pic:cNvPicPr/>
                        </pic:nvPicPr>
                        <pic:blipFill>
                          <a:blip r:embed="rId62"/>
                          <a:stretch>
                            <a:fillRect/>
                          </a:stretch>
                        </pic:blipFill>
                        <pic:spPr>
                          <a:xfrm rot="-5399999">
                            <a:off x="-1720849" y="1720849"/>
                            <a:ext cx="3797300" cy="355601"/>
                          </a:xfrm>
                          <a:prstGeom prst="rect">
                            <a:avLst/>
                          </a:prstGeom>
                        </pic:spPr>
                      </pic:pic>
                      <wps:wsp>
                        <wps:cNvPr id="452" name="Rectangle 45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3" name="Rectangle 453"/>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3788" style="width:41.2715pt;height:299pt;position:absolute;mso-position-horizontal-relative:page;mso-position-horizontal:absolute;margin-left:653.71pt;mso-position-vertical-relative:page;margin-top:512.92pt;" coordsize="5241,37973">
                <v:shape id="Picture 451" style="position:absolute;width:37973;height:3556;left:-17208;top:17208;rotation:-89;" filled="f">
                  <v:imagedata r:id="rId63"/>
                </v:shape>
                <v:rect id="Rectangle 4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3"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353 </w:t>
                        </w:r>
                      </w:p>
                    </w:txbxContent>
                  </v:textbox>
                </v:rect>
                <w10:wrap type="square"/>
              </v:group>
            </w:pict>
          </mc:Fallback>
        </mc:AlternateContent>
      </w:r>
      <w:r>
        <w:rPr>
          <w:rFonts w:ascii="Arial" w:eastAsia="Arial" w:hAnsi="Arial" w:cs="Arial"/>
          <w:b/>
        </w:rPr>
        <w:t xml:space="preserve">13.- Expediente 3468/2021. Toma de conocimiento de la renuncia a la condición de concejal de Don José Fernando Gómez Martín por registro de entrada de 19 de abril </w:t>
      </w:r>
      <w:r>
        <w:rPr>
          <w:rFonts w:ascii="Arial" w:eastAsia="Arial" w:hAnsi="Arial" w:cs="Arial"/>
          <w:b/>
        </w:rPr>
        <w:t xml:space="preserve">de 2021 y posteriores renuncias de los candidatos 2,3,4 y 5 de la lista electoral de "Vecinos por Candelaria" por registro de entrada de 20 y 21 de abril de 2021.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14.- Urgencias.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numPr>
          <w:ilvl w:val="0"/>
          <w:numId w:val="1"/>
        </w:numPr>
        <w:spacing w:after="5" w:line="249" w:lineRule="auto"/>
        <w:ind w:hanging="360"/>
        <w:jc w:val="both"/>
      </w:pPr>
      <w:r>
        <w:rPr>
          <w:rFonts w:ascii="Arial" w:eastAsia="Arial" w:hAnsi="Arial" w:cs="Arial"/>
          <w:b/>
          <w:u w:val="single" w:color="000000"/>
        </w:rPr>
        <w:t>Control y Fiscalización de los Órganos de Gobierno</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15.- </w:t>
      </w:r>
      <w:r>
        <w:rPr>
          <w:rFonts w:ascii="Arial" w:eastAsia="Arial" w:hAnsi="Arial" w:cs="Arial"/>
          <w:b/>
        </w:rPr>
        <w:t xml:space="preserve">Dación de Cuenta de los Decretos de la Alcaldía-Presidencia y de los Concejales delegados.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319" w:hanging="3"/>
        <w:jc w:val="both"/>
      </w:pPr>
      <w:r>
        <w:rPr>
          <w:rFonts w:ascii="Arial" w:eastAsia="Arial" w:hAnsi="Arial" w:cs="Arial"/>
          <w:b/>
        </w:rPr>
        <w:t xml:space="preserve">16.- </w:t>
      </w:r>
      <w:r>
        <w:rPr>
          <w:rFonts w:ascii="Arial" w:eastAsia="Arial" w:hAnsi="Arial" w:cs="Arial"/>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rFonts w:ascii="Arial" w:eastAsia="Arial" w:hAnsi="Arial" w:cs="Arial"/>
          <w:b/>
        </w:rPr>
        <w:t>cal</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numPr>
          <w:ilvl w:val="0"/>
          <w:numId w:val="1"/>
        </w:numPr>
        <w:spacing w:after="5" w:line="249" w:lineRule="auto"/>
        <w:ind w:hanging="360"/>
        <w:jc w:val="both"/>
      </w:pPr>
      <w:r>
        <w:rPr>
          <w:rFonts w:ascii="Arial" w:eastAsia="Arial" w:hAnsi="Arial" w:cs="Arial"/>
          <w:b/>
          <w:u w:val="single" w:color="000000"/>
        </w:rPr>
        <w:t>Ruegos y preguntas</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17.- Ruegos y preguntas.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653" w:hanging="10"/>
        <w:jc w:val="both"/>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986" w:hanging="10"/>
      </w:pPr>
      <w:r>
        <w:rPr>
          <w:rFonts w:ascii="Arial" w:eastAsia="Arial" w:hAnsi="Arial" w:cs="Arial"/>
          <w:color w:val="0000FF"/>
          <w:u w:val="single" w:color="0000FF"/>
        </w:rPr>
        <w:t>https://www.youtube.com/watch?v=s8qCc6ybJWk</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95"/>
        <w:ind w:left="991"/>
      </w:pPr>
      <w:r>
        <w:rPr>
          <w:rFonts w:ascii="Arial" w:eastAsia="Arial" w:hAnsi="Arial" w:cs="Arial"/>
        </w:rPr>
        <w:t xml:space="preserve"> </w:t>
      </w:r>
    </w:p>
    <w:p w:rsidR="00FF384B" w:rsidRDefault="003E3BA9">
      <w:pPr>
        <w:spacing w:after="125" w:line="238" w:lineRule="auto"/>
        <w:ind w:left="278" w:hanging="10"/>
      </w:pPr>
      <w:r>
        <w:rPr>
          <w:rFonts w:ascii="Arial" w:eastAsia="Arial" w:hAnsi="Arial" w:cs="Arial"/>
          <w:b/>
        </w:rPr>
        <w:t>1.-</w:t>
      </w:r>
      <w:r>
        <w:rPr>
          <w:rFonts w:ascii="Arial" w:eastAsia="Arial" w:hAnsi="Arial" w:cs="Arial"/>
        </w:rPr>
        <w:t xml:space="preserve"> </w:t>
      </w:r>
      <w:r>
        <w:rPr>
          <w:rFonts w:ascii="Arial" w:eastAsia="Arial" w:hAnsi="Arial" w:cs="Arial"/>
          <w:b/>
        </w:rPr>
        <w:t>Expediente 3358/2021. Propuesta del Concejal delegado de Hacienda de 14 de abril de 2021 al Pleno del informe de Tesorería de 14 de abril de 2021 del periodo medio de pago del Primer Trimestre de 2021 conforme el Real Decreto 1040/2017, de 22 de diciembre.</w:t>
      </w: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4" w:hanging="3"/>
        <w:jc w:val="both"/>
      </w:pPr>
      <w:r>
        <w:rPr>
          <w:rFonts w:ascii="Arial" w:eastAsia="Arial" w:hAnsi="Arial" w:cs="Arial"/>
          <w:b/>
        </w:rPr>
        <w:t xml:space="preserve">Consta en el expediente Informe de Tesorería emitido por Don Zebenzui Mesa Marcelino, que desempeña el puesto de trabajo de Tesorero Municipal, de 14 de abril de 2021, del siguiente tenor literal: </w:t>
      </w:r>
    </w:p>
    <w:p w:rsidR="00FF384B" w:rsidRDefault="003E3BA9">
      <w:pPr>
        <w:spacing w:after="0"/>
        <w:ind w:left="283"/>
      </w:pPr>
      <w:r>
        <w:rPr>
          <w:rFonts w:ascii="Arial" w:eastAsia="Arial" w:hAnsi="Arial" w:cs="Arial"/>
          <w:b/>
        </w:rPr>
        <w:t xml:space="preserve"> </w:t>
      </w:r>
    </w:p>
    <w:p w:rsidR="00FF384B" w:rsidRDefault="003E3BA9">
      <w:pPr>
        <w:spacing w:after="17"/>
        <w:ind w:left="283"/>
      </w:pPr>
      <w:r>
        <w:rPr>
          <w:rFonts w:ascii="Arial" w:eastAsia="Arial" w:hAnsi="Arial" w:cs="Arial"/>
          <w:b/>
        </w:rPr>
        <w:t xml:space="preserve"> </w:t>
      </w:r>
    </w:p>
    <w:p w:rsidR="00FF384B" w:rsidRDefault="003E3BA9">
      <w:pPr>
        <w:pStyle w:val="Ttulo1"/>
        <w:ind w:left="767" w:right="728"/>
      </w:pPr>
      <w:r>
        <w:rPr>
          <w:noProof/>
        </w:rPr>
        <mc:AlternateContent>
          <mc:Choice Requires="wpg">
            <w:drawing>
              <wp:anchor distT="0" distB="0" distL="114300" distR="114300" simplePos="0" relativeHeight="2516633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127" name="Group 43412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1" name="Picture 561"/>
                          <pic:cNvPicPr/>
                        </pic:nvPicPr>
                        <pic:blipFill>
                          <a:blip r:embed="rId62"/>
                          <a:stretch>
                            <a:fillRect/>
                          </a:stretch>
                        </pic:blipFill>
                        <pic:spPr>
                          <a:xfrm rot="-5399999">
                            <a:off x="-1720849" y="1720849"/>
                            <a:ext cx="3797300" cy="355601"/>
                          </a:xfrm>
                          <a:prstGeom prst="rect">
                            <a:avLst/>
                          </a:prstGeom>
                        </pic:spPr>
                      </pic:pic>
                      <wps:wsp>
                        <wps:cNvPr id="562" name="Rectangle 5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3" name="Rectangle 563"/>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127" style="width:41.2715pt;height:299pt;position:absolute;mso-position-horizontal-relative:page;mso-position-horizontal:absolute;margin-left:653.71pt;mso-position-vertical-relative:page;margin-top:512.92pt;" coordsize="5241,37973">
                <v:shape id="Picture 561" style="position:absolute;width:37973;height:3556;left:-17208;top:17208;rotation:-89;" filled="f">
                  <v:imagedata r:id="rId63"/>
                </v:shape>
                <v:rect id="Rectangle 5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3"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353 </w:t>
                        </w:r>
                      </w:p>
                    </w:txbxContent>
                  </v:textbox>
                </v:rect>
                <w10:wrap type="square"/>
              </v:group>
            </w:pict>
          </mc:Fallback>
        </mc:AlternateContent>
      </w:r>
      <w:r>
        <w:t xml:space="preserve">“INFORME </w:t>
      </w:r>
    </w:p>
    <w:p w:rsidR="00FF384B" w:rsidRDefault="003E3BA9">
      <w:pPr>
        <w:spacing w:after="98"/>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Visto el expediente antedicho, el funcionario, Zebenzui Mesa Marcelino, que desempeña el puesto de trabajo de Tesorero, emite el siguiente informe: </w:t>
      </w:r>
    </w:p>
    <w:p w:rsidR="00FF384B" w:rsidRDefault="003E3BA9">
      <w:pPr>
        <w:spacing w:after="0"/>
        <w:ind w:left="283"/>
      </w:pPr>
      <w:r>
        <w:rPr>
          <w:rFonts w:ascii="Arial" w:eastAsia="Arial" w:hAnsi="Arial" w:cs="Arial"/>
        </w:rPr>
        <w:t xml:space="preserve"> </w:t>
      </w:r>
    </w:p>
    <w:p w:rsidR="00FF384B" w:rsidRDefault="003E3BA9">
      <w:pPr>
        <w:pStyle w:val="Ttulo2"/>
        <w:ind w:left="767" w:right="729"/>
      </w:pPr>
      <w:r>
        <w:t xml:space="preserve">Antecedentes de hecho </w:t>
      </w:r>
    </w:p>
    <w:p w:rsidR="00FF384B" w:rsidRDefault="003E3BA9">
      <w:pPr>
        <w:spacing w:after="0"/>
        <w:ind w:left="87"/>
        <w:jc w:val="center"/>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I.- Ha sido remitida a esta Tesorería información de los entes dependientes para</w:t>
      </w:r>
      <w:r>
        <w:rPr>
          <w:rFonts w:ascii="Arial" w:eastAsia="Arial" w:hAnsi="Arial" w:cs="Arial"/>
        </w:rPr>
        <w:t xml:space="preserve"> el cálculo del periodo medio de pago del primer trimestre del ejercicio 2021. </w:t>
      </w:r>
    </w:p>
    <w:p w:rsidR="00FF384B" w:rsidRDefault="003E3BA9">
      <w:pPr>
        <w:spacing w:after="0"/>
        <w:ind w:left="283"/>
      </w:pPr>
      <w:r>
        <w:rPr>
          <w:rFonts w:ascii="Arial" w:eastAsia="Arial" w:hAnsi="Arial" w:cs="Arial"/>
        </w:rPr>
        <w:t xml:space="preserve"> </w:t>
      </w:r>
    </w:p>
    <w:p w:rsidR="00FF384B" w:rsidRDefault="003E3BA9">
      <w:pPr>
        <w:pStyle w:val="Ttulo2"/>
        <w:spacing w:after="106"/>
        <w:ind w:left="767" w:right="731"/>
      </w:pPr>
      <w:r>
        <w:t xml:space="preserve">Fundamentos de derecho </w:t>
      </w:r>
    </w:p>
    <w:p w:rsidR="00FF384B" w:rsidRDefault="003E3BA9">
      <w:pPr>
        <w:spacing w:after="5" w:line="247" w:lineRule="auto"/>
        <w:ind w:left="278" w:right="244" w:hanging="10"/>
        <w:jc w:val="both"/>
      </w:pPr>
      <w:r>
        <w:rPr>
          <w:rFonts w:ascii="Arial" w:eastAsia="Arial" w:hAnsi="Arial" w:cs="Arial"/>
        </w:rPr>
        <w:t>Primero. - En cumplimiento de la Disposición Final 2ª, apartado 3º de la LeyOrgánica 2/2012, de 27 de abril, de Estabilidad Presupuestaria y Sostenibi</w:t>
      </w:r>
      <w:r>
        <w:rPr>
          <w:rFonts w:ascii="Arial" w:eastAsia="Arial" w:hAnsi="Arial" w:cs="Arial"/>
        </w:rPr>
        <w:t>lidad Financiera (</w:t>
      </w:r>
      <w:r>
        <w:rPr>
          <w:rFonts w:ascii="Arial" w:eastAsia="Arial" w:hAnsi="Arial" w:cs="Arial"/>
          <w:i/>
        </w:rPr>
        <w:t>que señala que por Orden del Ministro de Hacienda y Administraciones Públicas, se desarrollará la metodología de cálculo del Periodo Medio de Pago a proveedores de las Administraciones Públicas conforme a criterios homogéneos y que tendrá</w:t>
      </w:r>
      <w:r>
        <w:rPr>
          <w:rFonts w:ascii="Arial" w:eastAsia="Arial" w:hAnsi="Arial" w:cs="Arial"/>
          <w:i/>
        </w:rPr>
        <w:t xml:space="preserve"> en cuenta los pagos efectuados y las operaciones pendientes de pago</w:t>
      </w:r>
      <w:r>
        <w:rPr>
          <w:rFonts w:ascii="Arial" w:eastAsia="Arial" w:hAnsi="Arial" w:cs="Arial"/>
        </w:rPr>
        <w:t>), se ha publicado, con fecha 30 de julio de 2014, el Real Decreto 635/2014, de 25 de julio, por el que se desarrolla la Metodología de cálculo del Periodo Medio de Pago a proveedores de l</w:t>
      </w:r>
      <w:r>
        <w:rPr>
          <w:rFonts w:ascii="Arial" w:eastAsia="Arial" w:hAnsi="Arial" w:cs="Arial"/>
        </w:rPr>
        <w:t xml:space="preserve">as </w:t>
      </w:r>
    </w:p>
    <w:p w:rsidR="00FF384B" w:rsidRDefault="003E3BA9">
      <w:pPr>
        <w:spacing w:after="5" w:line="247" w:lineRule="auto"/>
        <w:ind w:left="278" w:right="244" w:hanging="10"/>
        <w:jc w:val="both"/>
      </w:pPr>
      <w:r>
        <w:rPr>
          <w:rFonts w:ascii="Arial" w:eastAsia="Arial" w:hAnsi="Arial" w:cs="Arial"/>
        </w:rPr>
        <w:t>Administraciones Públicas y las condiciones y el procedimiento de retención de recursos de los regímenes de financiación previstos en la Ley Orgánica 2/2012 de 27 de abril, de Estabilidad Presupuestaria y Sostenibilidad Financiera, posteriormente modif</w:t>
      </w:r>
      <w:r>
        <w:rPr>
          <w:rFonts w:ascii="Arial" w:eastAsia="Arial" w:hAnsi="Arial" w:cs="Arial"/>
        </w:rPr>
        <w:t xml:space="preserve">icado por el Real Decreto 1040/2017 de 22 de diciembre. </w:t>
      </w:r>
    </w:p>
    <w:p w:rsidR="00FF384B" w:rsidRDefault="003E3BA9">
      <w:pPr>
        <w:spacing w:after="1" w:line="239" w:lineRule="auto"/>
        <w:ind w:left="278" w:right="162" w:hanging="10"/>
      </w:pPr>
      <w:r>
        <w:rPr>
          <w:rFonts w:ascii="Arial" w:eastAsia="Arial" w:hAnsi="Arial" w:cs="Arial"/>
        </w:rPr>
        <w:t xml:space="preserve">     La última reforma de la Ley Orgánica 2/2012, de 27 de abril, redefinió el principio de sostenibilidad financiera incluyendo no sólo el control de deuda pública, sino también el control de la deu</w:t>
      </w:r>
      <w:r>
        <w:rPr>
          <w:rFonts w:ascii="Arial" w:eastAsia="Arial" w:hAnsi="Arial" w:cs="Arial"/>
        </w:rPr>
        <w:t xml:space="preserve">da comercial.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La Ley Orgánica de Control de la Deuda Comercial, modifica la Ley Orgánica 2/2012, de 27 de abril, introduciendo el concepto del Periodo Medio de Pago, como expresión del volumen de deuda comercial y establece la obligación de que tod</w:t>
      </w:r>
      <w:r>
        <w:rPr>
          <w:rFonts w:ascii="Arial" w:eastAsia="Arial" w:hAnsi="Arial" w:cs="Arial"/>
        </w:rPr>
        <w:t xml:space="preserve">as las Administraciones Públicas hagan público su periodo Medio de Pago.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El Real Decreto 1040/2017, de 22 de diciembre, de 25 de julio, mide el retraso en el pago de la deuda comercial en términos económicos, como indicador distinto respecto del pe</w:t>
      </w:r>
      <w:r>
        <w:rPr>
          <w:rFonts w:ascii="Arial" w:eastAsia="Arial" w:hAnsi="Arial" w:cs="Arial"/>
        </w:rPr>
        <w:t xml:space="preserve">riodo legal de pago en la Ley 3/2004 de 29 de diciembre, por la que se establecen medidas de lucha contra la morosidad en las operaciones comerciales. </w:t>
      </w:r>
    </w:p>
    <w:p w:rsidR="00FF384B" w:rsidRDefault="003E3BA9">
      <w:pPr>
        <w:spacing w:after="0"/>
        <w:ind w:left="283"/>
      </w:pPr>
      <w:r>
        <w:rPr>
          <w:rFonts w:ascii="Arial" w:eastAsia="Arial" w:hAnsi="Arial" w:cs="Arial"/>
        </w:rPr>
        <w:t xml:space="preserve"> </w:t>
      </w:r>
    </w:p>
    <w:p w:rsidR="00FF384B" w:rsidRDefault="003E3BA9">
      <w:pPr>
        <w:pStyle w:val="Ttulo1"/>
        <w:spacing w:after="108"/>
        <w:ind w:left="767" w:right="729"/>
      </w:pPr>
      <w:r>
        <w:t>CONCLUSIONES</w:t>
      </w:r>
      <w:r>
        <w:rPr>
          <w:b w:val="0"/>
        </w:rPr>
        <w:t xml:space="preserve"> </w:t>
      </w:r>
    </w:p>
    <w:p w:rsidR="00FF384B" w:rsidRDefault="003E3BA9">
      <w:pPr>
        <w:spacing w:after="95"/>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643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3981" name="Group 43398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654" name="Picture 654"/>
                          <pic:cNvPicPr/>
                        </pic:nvPicPr>
                        <pic:blipFill>
                          <a:blip r:embed="rId62"/>
                          <a:stretch>
                            <a:fillRect/>
                          </a:stretch>
                        </pic:blipFill>
                        <pic:spPr>
                          <a:xfrm rot="-5399999">
                            <a:off x="-1720849" y="1720849"/>
                            <a:ext cx="3797300" cy="355601"/>
                          </a:xfrm>
                          <a:prstGeom prst="rect">
                            <a:avLst/>
                          </a:prstGeom>
                        </pic:spPr>
                      </pic:pic>
                      <wps:wsp>
                        <wps:cNvPr id="655" name="Rectangle 65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656" name="Rectangle 656"/>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3981" style="width:41.2715pt;height:299pt;position:absolute;mso-position-horizontal-relative:page;mso-position-horizontal:absolute;margin-left:653.71pt;mso-position-vertical-relative:page;margin-top:512.92pt;" coordsize="5241,37973">
                <v:shape id="Picture 654" style="position:absolute;width:37973;height:3556;left:-17208;top:17208;rotation:-89;" filled="f">
                  <v:imagedata r:id="rId63"/>
                </v:shape>
                <v:rect id="Rectangle 6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656"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353 </w:t>
                        </w:r>
                      </w:p>
                    </w:txbxContent>
                  </v:textbox>
                </v:rect>
                <w10:wrap type="square"/>
              </v:group>
            </w:pict>
          </mc:Fallback>
        </mc:AlternateContent>
      </w:r>
      <w:r>
        <w:rPr>
          <w:rFonts w:ascii="Arial" w:eastAsia="Arial" w:hAnsi="Arial" w:cs="Arial"/>
          <w:b/>
        </w:rPr>
        <w:t xml:space="preserve">I.- </w:t>
      </w:r>
      <w:r>
        <w:rPr>
          <w:rFonts w:ascii="Arial" w:eastAsia="Arial" w:hAnsi="Arial" w:cs="Arial"/>
        </w:rPr>
        <w:t>El procedimiento de cálculo del Periodo Medio de Pago se de</w:t>
      </w:r>
      <w:r>
        <w:rPr>
          <w:rFonts w:ascii="Arial" w:eastAsia="Arial" w:hAnsi="Arial" w:cs="Arial"/>
        </w:rPr>
        <w:t>fine en el Real Decreto 1040/2017, de 22 de diciembre, por el que se modifica el Real Decreto 635/2014, de 25 de julio, por el que se desarrolla la metodología de cálculo del periodo medio de pago a proveedores de las Administraciones Públicas y las condic</w:t>
      </w:r>
      <w:r>
        <w:rPr>
          <w:rFonts w:ascii="Arial" w:eastAsia="Arial" w:hAnsi="Arial" w:cs="Arial"/>
        </w:rPr>
        <w:t>iones y el procedimiento de retención de recursos de los regímenes de financiación, previstos en la Ley Orgánica 2/2012, de 27 de abril, de Estabilidad Presupuestaria y Sostenibilidad Financiera.</w:t>
      </w:r>
      <w:r>
        <w:rPr>
          <w:rFonts w:ascii="Arial" w:eastAsia="Arial" w:hAnsi="Arial" w:cs="Arial"/>
          <w:sz w:val="24"/>
        </w:rPr>
        <w:t xml:space="preserve"> </w:t>
      </w:r>
      <w:r>
        <w:rPr>
          <w:rFonts w:ascii="Arial" w:eastAsia="Arial" w:hAnsi="Arial" w:cs="Arial"/>
        </w:rPr>
        <w:t>En este sentido, el procedimiento de cálculo es el siguiente</w:t>
      </w:r>
      <w:r>
        <w:rPr>
          <w:rFonts w:ascii="Arial" w:eastAsia="Arial" w:hAnsi="Arial" w:cs="Arial"/>
        </w:rPr>
        <w:t>:</w:t>
      </w:r>
      <w:r>
        <w:rPr>
          <w:rFonts w:ascii="Arial" w:eastAsia="Arial" w:hAnsi="Arial" w:cs="Arial"/>
          <w:i/>
        </w:rPr>
        <w:t xml:space="preserve"> </w:t>
      </w:r>
      <w:r>
        <w:rPr>
          <w:rFonts w:ascii="Arial" w:eastAsia="Arial" w:hAnsi="Arial" w:cs="Arial"/>
          <w:sz w:val="24"/>
        </w:rPr>
        <w:t xml:space="preserve"> </w:t>
      </w:r>
    </w:p>
    <w:p w:rsidR="00FF384B" w:rsidRDefault="003E3BA9">
      <w:pPr>
        <w:spacing w:after="106" w:line="247" w:lineRule="auto"/>
        <w:ind w:left="278" w:right="244" w:hanging="10"/>
        <w:jc w:val="both"/>
      </w:pPr>
      <w:r>
        <w:rPr>
          <w:rFonts w:ascii="Arial" w:eastAsia="Arial" w:hAnsi="Arial" w:cs="Arial"/>
          <w:i/>
        </w:rPr>
        <w:t xml:space="preserve">“1. A los efectos del cálculo del periodo medio de pago global al que se refiere el artículo anterior, el periodo medio de pago de cada entidad se calculará de </w:t>
      </w:r>
      <w:r>
        <w:rPr>
          <w:rFonts w:ascii="Arial" w:eastAsia="Arial" w:hAnsi="Arial" w:cs="Arial"/>
          <w:sz w:val="24"/>
        </w:rPr>
        <w:t xml:space="preserve"> </w:t>
      </w:r>
      <w:r>
        <w:rPr>
          <w:rFonts w:ascii="Arial" w:eastAsia="Arial" w:hAnsi="Arial" w:cs="Arial"/>
          <w:i/>
        </w:rPr>
        <w:t xml:space="preserve">acuerdo con la siguiente fórmula: </w:t>
      </w:r>
    </w:p>
    <w:p w:rsidR="00FF384B" w:rsidRDefault="003E3BA9">
      <w:pPr>
        <w:spacing w:after="50"/>
        <w:ind w:right="200"/>
        <w:jc w:val="right"/>
      </w:pPr>
      <w:r>
        <w:rPr>
          <w:noProof/>
        </w:rPr>
        <w:drawing>
          <wp:inline distT="0" distB="0" distL="0" distR="0">
            <wp:extent cx="5394938" cy="952566"/>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64"/>
                    <a:stretch>
                      <a:fillRect/>
                    </a:stretch>
                  </pic:blipFill>
                  <pic:spPr>
                    <a:xfrm>
                      <a:off x="0" y="0"/>
                      <a:ext cx="5394938" cy="952566"/>
                    </a:xfrm>
                    <a:prstGeom prst="rect">
                      <a:avLst/>
                    </a:prstGeom>
                  </pic:spPr>
                </pic:pic>
              </a:graphicData>
            </a:graphic>
          </wp:inline>
        </w:drawing>
      </w: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2. Para los pagos realizados en el mes, se calculará el ratio de las operaciones pagadas de acuerdo con la siguiente fórmula:</w:t>
      </w:r>
      <w:r>
        <w:rPr>
          <w:rFonts w:ascii="Times New Roman" w:eastAsia="Times New Roman" w:hAnsi="Times New Roman" w:cs="Times New Roman"/>
          <w:sz w:val="24"/>
        </w:rPr>
        <w:t xml:space="preserve"> </w:t>
      </w:r>
    </w:p>
    <w:p w:rsidR="00FF384B" w:rsidRDefault="003E3BA9">
      <w:pPr>
        <w:spacing w:after="100"/>
        <w:ind w:left="283"/>
      </w:pPr>
      <w:r>
        <w:rPr>
          <w:rFonts w:ascii="Arial" w:eastAsia="Arial" w:hAnsi="Arial" w:cs="Arial"/>
        </w:rPr>
        <w:t xml:space="preserve"> </w:t>
      </w:r>
    </w:p>
    <w:p w:rsidR="00FF384B" w:rsidRDefault="003E3BA9">
      <w:pPr>
        <w:spacing w:after="92"/>
        <w:ind w:left="283"/>
      </w:pPr>
      <w:r>
        <w:rPr>
          <w:rFonts w:ascii="Arial" w:eastAsia="Arial" w:hAnsi="Arial" w:cs="Arial"/>
        </w:rPr>
        <w:t xml:space="preserve"> </w:t>
      </w:r>
    </w:p>
    <w:p w:rsidR="00FF384B" w:rsidRDefault="003E3BA9">
      <w:pPr>
        <w:spacing w:after="50"/>
        <w:ind w:right="200"/>
        <w:jc w:val="right"/>
      </w:pPr>
      <w:r>
        <w:rPr>
          <w:noProof/>
        </w:rPr>
        <w:drawing>
          <wp:inline distT="0" distB="0" distL="0" distR="0">
            <wp:extent cx="5394938" cy="731613"/>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65"/>
                    <a:stretch>
                      <a:fillRect/>
                    </a:stretch>
                  </pic:blipFill>
                  <pic:spPr>
                    <a:xfrm>
                      <a:off x="0" y="0"/>
                      <a:ext cx="5394938" cy="731613"/>
                    </a:xfrm>
                    <a:prstGeom prst="rect">
                      <a:avLst/>
                    </a:prstGeom>
                  </pic:spPr>
                </pic:pic>
              </a:graphicData>
            </a:graphic>
          </wp:inline>
        </w:drawing>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 xml:space="preserve">Se entenderá por número de días de pago, los días naturales transcurridos desde: </w:t>
      </w:r>
    </w:p>
    <w:p w:rsidR="00FF384B" w:rsidRDefault="003E3BA9">
      <w:pPr>
        <w:spacing w:after="0"/>
        <w:ind w:left="283"/>
      </w:pPr>
      <w:r>
        <w:rPr>
          <w:rFonts w:ascii="Arial" w:eastAsia="Arial" w:hAnsi="Arial" w:cs="Arial"/>
          <w:i/>
        </w:rPr>
        <w:t xml:space="preserve"> </w:t>
      </w:r>
    </w:p>
    <w:p w:rsidR="00FF384B" w:rsidRDefault="003E3BA9">
      <w:pPr>
        <w:numPr>
          <w:ilvl w:val="0"/>
          <w:numId w:val="2"/>
        </w:numPr>
        <w:spacing w:after="4" w:line="247" w:lineRule="auto"/>
        <w:ind w:right="244" w:hanging="10"/>
        <w:jc w:val="both"/>
      </w:pPr>
      <w:r>
        <w:rPr>
          <w:rFonts w:ascii="Arial" w:eastAsia="Arial" w:hAnsi="Arial" w:cs="Arial"/>
          <w:i/>
        </w:rPr>
        <w:t xml:space="preserve">La fecha de aprobación de las certificaciones de obra hasta la fecha de </w:t>
      </w:r>
      <w:r>
        <w:rPr>
          <w:rFonts w:ascii="Times New Roman" w:eastAsia="Times New Roman" w:hAnsi="Times New Roman" w:cs="Times New Roman"/>
          <w:sz w:val="24"/>
        </w:rPr>
        <w:t xml:space="preserve"> </w:t>
      </w:r>
      <w:r>
        <w:rPr>
          <w:rFonts w:ascii="Arial" w:eastAsia="Arial" w:hAnsi="Arial" w:cs="Arial"/>
          <w:i/>
        </w:rPr>
        <w:t xml:space="preserve">pago material por parte de la Administración. </w:t>
      </w:r>
    </w:p>
    <w:p w:rsidR="00FF384B" w:rsidRDefault="003E3BA9">
      <w:pPr>
        <w:spacing w:after="0"/>
        <w:ind w:left="283"/>
      </w:pPr>
      <w:r>
        <w:rPr>
          <w:rFonts w:ascii="Arial" w:eastAsia="Arial" w:hAnsi="Arial" w:cs="Arial"/>
          <w:i/>
        </w:rPr>
        <w:t xml:space="preserve"> </w:t>
      </w:r>
    </w:p>
    <w:p w:rsidR="00FF384B" w:rsidRDefault="003E3BA9">
      <w:pPr>
        <w:numPr>
          <w:ilvl w:val="0"/>
          <w:numId w:val="2"/>
        </w:numPr>
        <w:spacing w:after="4" w:line="247" w:lineRule="auto"/>
        <w:ind w:right="244" w:hanging="10"/>
        <w:jc w:val="both"/>
      </w:pPr>
      <w:r>
        <w:rPr>
          <w:rFonts w:ascii="Arial" w:eastAsia="Arial" w:hAnsi="Arial" w:cs="Arial"/>
          <w:i/>
        </w:rPr>
        <w:t xml:space="preserve">La fecha de aprobación de los documentos que acrediten la conformidad con los bienes entregados o servicios prestados, hasta la fecha </w:t>
      </w:r>
      <w:r>
        <w:rPr>
          <w:rFonts w:ascii="Arial" w:eastAsia="Arial" w:hAnsi="Arial" w:cs="Arial"/>
          <w:i/>
        </w:rPr>
        <w:t xml:space="preserve">de pago </w:t>
      </w:r>
      <w:r>
        <w:rPr>
          <w:rFonts w:ascii="Times New Roman" w:eastAsia="Times New Roman" w:hAnsi="Times New Roman" w:cs="Times New Roman"/>
          <w:sz w:val="24"/>
        </w:rPr>
        <w:t xml:space="preserve"> </w:t>
      </w:r>
      <w:r>
        <w:rPr>
          <w:rFonts w:ascii="Arial" w:eastAsia="Arial" w:hAnsi="Arial" w:cs="Arial"/>
          <w:i/>
        </w:rPr>
        <w:t xml:space="preserve">material por parte de la Administración. </w:t>
      </w:r>
    </w:p>
    <w:p w:rsidR="00FF384B" w:rsidRDefault="003E3BA9">
      <w:pPr>
        <w:spacing w:after="0"/>
        <w:ind w:left="283"/>
      </w:pPr>
      <w:r>
        <w:rPr>
          <w:rFonts w:ascii="Arial" w:eastAsia="Arial" w:hAnsi="Arial" w:cs="Arial"/>
          <w:i/>
        </w:rPr>
        <w:t xml:space="preserve"> </w:t>
      </w:r>
    </w:p>
    <w:p w:rsidR="00FF384B" w:rsidRDefault="003E3BA9">
      <w:pPr>
        <w:numPr>
          <w:ilvl w:val="0"/>
          <w:numId w:val="2"/>
        </w:numPr>
        <w:spacing w:after="4" w:line="247" w:lineRule="auto"/>
        <w:ind w:right="244" w:hanging="10"/>
        <w:jc w:val="both"/>
      </w:pPr>
      <w:r>
        <w:rPr>
          <w:rFonts w:ascii="Arial" w:eastAsia="Arial" w:hAnsi="Arial" w:cs="Arial"/>
          <w:i/>
        </w:rPr>
        <w:t>La fecha de entrada de la factura en el registro administrativo, según conste en el registro contable de facturas o sistema equivalente, hasta la fecha de pago material por parte de la Administración, en</w:t>
      </w:r>
      <w:r>
        <w:rPr>
          <w:rFonts w:ascii="Arial" w:eastAsia="Arial" w:hAnsi="Arial" w:cs="Arial"/>
          <w:i/>
        </w:rPr>
        <w:t xml:space="preserve"> los supuestos en los que o bien no resulte de aplicación un procedimiento de aceptación o comprobación de los bienes o servicios prestados o bien la factura se reciba con posterioridad </w:t>
      </w:r>
      <w:r>
        <w:rPr>
          <w:rFonts w:ascii="Times New Roman" w:eastAsia="Times New Roman" w:hAnsi="Times New Roman" w:cs="Times New Roman"/>
          <w:sz w:val="24"/>
        </w:rPr>
        <w:t xml:space="preserve"> </w:t>
      </w:r>
      <w:r>
        <w:rPr>
          <w:rFonts w:ascii="Arial" w:eastAsia="Arial" w:hAnsi="Arial" w:cs="Arial"/>
          <w:i/>
        </w:rPr>
        <w:t xml:space="preserve">a la aprobación de la conformidad.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En los supuestos en los que no </w:t>
      </w:r>
      <w:r>
        <w:rPr>
          <w:rFonts w:ascii="Arial" w:eastAsia="Arial" w:hAnsi="Arial" w:cs="Arial"/>
          <w:i/>
        </w:rPr>
        <w:t xml:space="preserve">haya obligación de disponer de registro contable, se tomará la fecha de recepción de la factura en el correspondiente </w:t>
      </w:r>
      <w:r>
        <w:rPr>
          <w:rFonts w:ascii="Times New Roman" w:eastAsia="Times New Roman" w:hAnsi="Times New Roman" w:cs="Times New Roman"/>
          <w:sz w:val="24"/>
        </w:rPr>
        <w:t xml:space="preserve"> </w:t>
      </w:r>
      <w:r>
        <w:rPr>
          <w:rFonts w:ascii="Arial" w:eastAsia="Arial" w:hAnsi="Arial" w:cs="Arial"/>
          <w:i/>
        </w:rPr>
        <w:t xml:space="preserve">registro administrativo. </w:t>
      </w:r>
    </w:p>
    <w:p w:rsidR="00FF384B" w:rsidRDefault="003E3BA9">
      <w:pPr>
        <w:spacing w:after="0"/>
        <w:ind w:left="283"/>
      </w:pPr>
      <w:r>
        <w:rPr>
          <w:rFonts w:ascii="Arial" w:eastAsia="Arial" w:hAnsi="Arial" w:cs="Arial"/>
          <w:i/>
        </w:rPr>
        <w:t xml:space="preserve"> </w:t>
      </w:r>
    </w:p>
    <w:p w:rsidR="00FF384B" w:rsidRDefault="003E3BA9">
      <w:pPr>
        <w:spacing w:after="112" w:line="247" w:lineRule="auto"/>
        <w:ind w:left="278" w:right="244" w:hanging="10"/>
        <w:jc w:val="both"/>
      </w:pPr>
      <w:r>
        <w:rPr>
          <w:noProof/>
        </w:rPr>
        <mc:AlternateContent>
          <mc:Choice Requires="wpg">
            <w:drawing>
              <wp:anchor distT="0" distB="0" distL="114300" distR="114300" simplePos="0" relativeHeight="2516654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870" name="Group 43487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72" name="Picture 772"/>
                          <pic:cNvPicPr/>
                        </pic:nvPicPr>
                        <pic:blipFill>
                          <a:blip r:embed="rId62"/>
                          <a:stretch>
                            <a:fillRect/>
                          </a:stretch>
                        </pic:blipFill>
                        <pic:spPr>
                          <a:xfrm rot="-5399999">
                            <a:off x="-1720849" y="1720849"/>
                            <a:ext cx="3797300" cy="355601"/>
                          </a:xfrm>
                          <a:prstGeom prst="rect">
                            <a:avLst/>
                          </a:prstGeom>
                        </pic:spPr>
                      </pic:pic>
                      <wps:wsp>
                        <wps:cNvPr id="773" name="Rectangle 77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74" name="Rectangle 774"/>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Docume</w:t>
                              </w:r>
                              <w:r>
                                <w:rPr>
                                  <w:rFonts w:ascii="Arial" w:eastAsia="Arial" w:hAnsi="Arial" w:cs="Arial"/>
                                  <w:sz w:val="12"/>
                                </w:rPr>
                                <w:t xml:space="preserve">nto firmado electrónicamente desde la plataforma esPublico Gestiona | Página 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870" style="width:41.2715pt;height:299pt;position:absolute;mso-position-horizontal-relative:page;mso-position-horizontal:absolute;margin-left:653.71pt;mso-position-vertical-relative:page;margin-top:512.92pt;" coordsize="5241,37973">
                <v:shape id="Picture 772" style="position:absolute;width:37973;height:3556;left:-17208;top:17208;rotation:-89;" filled="f">
                  <v:imagedata r:id="rId63"/>
                </v:shape>
                <v:rect id="Rectangle 77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74"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353 </w:t>
                        </w:r>
                      </w:p>
                    </w:txbxContent>
                  </v:textbox>
                </v:rect>
                <w10:wrap type="square"/>
              </v:group>
            </w:pict>
          </mc:Fallback>
        </mc:AlternateContent>
      </w:r>
      <w:r>
        <w:rPr>
          <w:rFonts w:ascii="Arial" w:eastAsia="Arial" w:hAnsi="Arial" w:cs="Arial"/>
          <w:i/>
        </w:rPr>
        <w:t xml:space="preserve">En el caso de las facturas que se paguen con cargo al Fondo de Liquidez Autonómico o con cargo a la retención de importes a satisfacer por los recursos de los regímenes </w:t>
      </w:r>
      <w:r>
        <w:rPr>
          <w:rFonts w:ascii="Arial" w:eastAsia="Arial" w:hAnsi="Arial" w:cs="Arial"/>
          <w:i/>
        </w:rPr>
        <w:t xml:space="preserve">de financiación para pagar directamente a los proveedores, se considerará como fecha de pago material la fecha de la propuesta de pago definitiva formulada por la Comunidad Autónoma o la Corporación Local, según </w:t>
      </w:r>
      <w:r>
        <w:rPr>
          <w:rFonts w:ascii="Times New Roman" w:eastAsia="Times New Roman" w:hAnsi="Times New Roman" w:cs="Times New Roman"/>
          <w:sz w:val="24"/>
        </w:rPr>
        <w:t xml:space="preserve"> </w:t>
      </w:r>
      <w:r>
        <w:rPr>
          <w:rFonts w:ascii="Arial" w:eastAsia="Arial" w:hAnsi="Arial" w:cs="Arial"/>
          <w:i/>
        </w:rPr>
        <w:t xml:space="preserve">corresponda. </w:t>
      </w:r>
    </w:p>
    <w:p w:rsidR="00FF384B" w:rsidRDefault="003E3BA9">
      <w:pPr>
        <w:spacing w:after="100"/>
        <w:ind w:left="283"/>
      </w:pPr>
      <w:r>
        <w:rPr>
          <w:rFonts w:ascii="Arial" w:eastAsia="Arial" w:hAnsi="Arial" w:cs="Arial"/>
          <w:i/>
        </w:rPr>
        <w:t xml:space="preserve"> </w:t>
      </w:r>
    </w:p>
    <w:p w:rsidR="00FF384B" w:rsidRDefault="003E3BA9">
      <w:pPr>
        <w:spacing w:after="112" w:line="247" w:lineRule="auto"/>
        <w:ind w:left="278" w:right="244" w:hanging="10"/>
        <w:jc w:val="both"/>
      </w:pPr>
      <w:r>
        <w:rPr>
          <w:rFonts w:ascii="Arial" w:eastAsia="Arial" w:hAnsi="Arial" w:cs="Arial"/>
        </w:rPr>
        <w:t>De conformidad con lo expue</w:t>
      </w:r>
      <w:r>
        <w:rPr>
          <w:rFonts w:ascii="Arial" w:eastAsia="Arial" w:hAnsi="Arial" w:cs="Arial"/>
        </w:rPr>
        <w:t xml:space="preserve">sto en el punto anterior, el cómputo del plazo se debe realizar de forma ordinaria para las contrataciones, exceptuando las obras, desde la fecha de aprobación de los documentos que acrediten la conformidad con los bienes entregados o servicios prestados, </w:t>
      </w:r>
      <w:r>
        <w:rPr>
          <w:rFonts w:ascii="Arial" w:eastAsia="Arial" w:hAnsi="Arial" w:cs="Arial"/>
        </w:rPr>
        <w:t xml:space="preserve">hasta la fecha de pago material por parte de la Administración. Para el caso de las obras, desde la fecha de aprobación de las certificaciones de obra hasta la fecha de pago material por parte de la Administración. </w:t>
      </w:r>
    </w:p>
    <w:p w:rsidR="00FF384B" w:rsidRDefault="003E3BA9">
      <w:pPr>
        <w:spacing w:after="10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II.- </w:t>
      </w:r>
      <w:r>
        <w:rPr>
          <w:rFonts w:ascii="Arial" w:eastAsia="Arial" w:hAnsi="Arial" w:cs="Arial"/>
        </w:rPr>
        <w:t xml:space="preserve">Periodo Medio de Pago del Ayuntamiento de Candelaria. Primer trimestre 2021: De conformidad con la información extraída del aplicativo contable el 14 de abril de 2021, el PMP del Ayuntamiento es el siguiente: </w:t>
      </w:r>
    </w:p>
    <w:p w:rsidR="00FF384B" w:rsidRDefault="003E3BA9">
      <w:pPr>
        <w:spacing w:after="100"/>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5984" w:type="dxa"/>
        <w:tblInd w:w="962" w:type="dxa"/>
        <w:tblCellMar>
          <w:top w:w="7" w:type="dxa"/>
          <w:left w:w="115" w:type="dxa"/>
          <w:bottom w:w="0" w:type="dxa"/>
          <w:right w:w="115" w:type="dxa"/>
        </w:tblCellMar>
        <w:tblLook w:val="04A0" w:firstRow="1" w:lastRow="0" w:firstColumn="1" w:lastColumn="0" w:noHBand="0" w:noVBand="1"/>
      </w:tblPr>
      <w:tblGrid>
        <w:gridCol w:w="3574"/>
        <w:gridCol w:w="2410"/>
      </w:tblGrid>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
              <w:jc w:val="center"/>
            </w:pPr>
            <w:r>
              <w:rPr>
                <w:rFonts w:ascii="Arial" w:eastAsia="Arial" w:hAnsi="Arial" w:cs="Arial"/>
              </w:rPr>
              <w:t xml:space="preserve">Ratio medio de pago: </w:t>
            </w:r>
          </w:p>
        </w:tc>
        <w:tc>
          <w:tcPr>
            <w:tcW w:w="24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jc w:val="center"/>
            </w:pPr>
            <w:r>
              <w:rPr>
                <w:rFonts w:ascii="Arial" w:eastAsia="Arial" w:hAnsi="Arial" w:cs="Arial"/>
              </w:rPr>
              <w:t xml:space="preserve">22,01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7"/>
              <w:jc w:val="center"/>
            </w:pPr>
            <w:r>
              <w:rPr>
                <w:rFonts w:ascii="Arial" w:eastAsia="Arial" w:hAnsi="Arial" w:cs="Arial"/>
              </w:rPr>
              <w:t xml:space="preserve">Pagos realizados: </w:t>
            </w:r>
          </w:p>
        </w:tc>
        <w:tc>
          <w:tcPr>
            <w:tcW w:w="241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rPr>
              <w:t xml:space="preserve">1.837.246,10 </w:t>
            </w:r>
          </w:p>
        </w:tc>
      </w:tr>
      <w:tr w:rsidR="00FF384B">
        <w:trPr>
          <w:trHeight w:val="382"/>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2"/>
              <w:jc w:val="center"/>
            </w:pPr>
            <w:r>
              <w:rPr>
                <w:rFonts w:ascii="Arial" w:eastAsia="Arial" w:hAnsi="Arial" w:cs="Arial"/>
              </w:rPr>
              <w:t xml:space="preserve">Ratio medio pendiente de pago: </w:t>
            </w:r>
          </w:p>
        </w:tc>
        <w:tc>
          <w:tcPr>
            <w:tcW w:w="24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jc w:val="center"/>
            </w:pPr>
            <w:r>
              <w:rPr>
                <w:rFonts w:ascii="Arial" w:eastAsia="Arial" w:hAnsi="Arial" w:cs="Arial"/>
              </w:rPr>
              <w:t xml:space="preserve">20,75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
              <w:jc w:val="center"/>
            </w:pPr>
            <w:r>
              <w:rPr>
                <w:rFonts w:ascii="Arial" w:eastAsia="Arial" w:hAnsi="Arial" w:cs="Arial"/>
              </w:rPr>
              <w:t xml:space="preserve">Pagos pendientes: </w:t>
            </w:r>
          </w:p>
        </w:tc>
        <w:tc>
          <w:tcPr>
            <w:tcW w:w="241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rPr>
              <w:t xml:space="preserve">770.127,10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
              <w:jc w:val="center"/>
            </w:pPr>
            <w:r>
              <w:rPr>
                <w:rFonts w:ascii="Arial" w:eastAsia="Arial" w:hAnsi="Arial" w:cs="Arial"/>
                <w:b/>
              </w:rPr>
              <w:t xml:space="preserve">Resultado PMP Ayto </w:t>
            </w:r>
          </w:p>
        </w:tc>
        <w:tc>
          <w:tcPr>
            <w:tcW w:w="24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jc w:val="center"/>
            </w:pPr>
            <w:r>
              <w:rPr>
                <w:rFonts w:ascii="Arial" w:eastAsia="Arial" w:hAnsi="Arial" w:cs="Arial"/>
                <w:b/>
              </w:rPr>
              <w:t xml:space="preserve">21,64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III.- </w:t>
      </w:r>
      <w:r>
        <w:rPr>
          <w:rFonts w:ascii="Arial" w:eastAsia="Arial" w:hAnsi="Arial" w:cs="Arial"/>
        </w:rPr>
        <w:t xml:space="preserve">Periodo Medio de Pago EPELCAN. Primer trimestre 2021: De conformidad con los cálculos remitidos por la entidad pública empresarial, el PMP de EPELCAN es el siguiente es el siguiente: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6239" w:type="dxa"/>
        <w:tblInd w:w="962" w:type="dxa"/>
        <w:tblCellMar>
          <w:top w:w="7" w:type="dxa"/>
          <w:left w:w="113" w:type="dxa"/>
          <w:bottom w:w="0" w:type="dxa"/>
          <w:right w:w="54" w:type="dxa"/>
        </w:tblCellMar>
        <w:tblLook w:val="04A0" w:firstRow="1" w:lastRow="0" w:firstColumn="1" w:lastColumn="0" w:noHBand="0" w:noVBand="1"/>
      </w:tblPr>
      <w:tblGrid>
        <w:gridCol w:w="3575"/>
        <w:gridCol w:w="2664"/>
      </w:tblGrid>
      <w:tr w:rsidR="00FF384B">
        <w:trPr>
          <w:trHeight w:val="382"/>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Ratio medio de pago: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31,38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rPr>
              <w:t xml:space="preserve">Pagos realizados: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35.319,60 </w:t>
            </w:r>
          </w:p>
        </w:tc>
      </w:tr>
      <w:tr w:rsidR="00FF384B">
        <w:trPr>
          <w:trHeight w:val="382"/>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Ratio medio pendiente de pago: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30,89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Pagos pendientes: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11.893,30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Resultado PMP ent dependiente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31,26 </w:t>
            </w:r>
          </w:p>
        </w:tc>
      </w:tr>
    </w:tbl>
    <w:p w:rsidR="00FF384B" w:rsidRDefault="003E3BA9">
      <w:pPr>
        <w:spacing w:after="98"/>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664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1301" name="Group 4813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054" name="Picture 1054"/>
                          <pic:cNvPicPr/>
                        </pic:nvPicPr>
                        <pic:blipFill>
                          <a:blip r:embed="rId62"/>
                          <a:stretch>
                            <a:fillRect/>
                          </a:stretch>
                        </pic:blipFill>
                        <pic:spPr>
                          <a:xfrm rot="-5399999">
                            <a:off x="-1720849" y="1720849"/>
                            <a:ext cx="3797300" cy="355601"/>
                          </a:xfrm>
                          <a:prstGeom prst="rect">
                            <a:avLst/>
                          </a:prstGeom>
                        </pic:spPr>
                      </pic:pic>
                      <wps:wsp>
                        <wps:cNvPr id="1055" name="Rectangle 105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056" name="Rectangle 1056"/>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301" style="width:41.2715pt;height:299pt;position:absolute;mso-position-horizontal-relative:page;mso-position-horizontal:absolute;margin-left:653.71pt;mso-position-vertical-relative:page;margin-top:512.92pt;" coordsize="5241,37973">
                <v:shape id="Picture 1054" style="position:absolute;width:37973;height:3556;left:-17208;top:17208;rotation:-89;" filled="f">
                  <v:imagedata r:id="rId63"/>
                </v:shape>
                <v:rect id="Rectangle 10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056"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353 </w:t>
                        </w:r>
                      </w:p>
                    </w:txbxContent>
                  </v:textbox>
                </v:rect>
                <w10:wrap type="square"/>
              </v:group>
            </w:pict>
          </mc:Fallback>
        </mc:AlternateContent>
      </w:r>
      <w:r>
        <w:rPr>
          <w:rFonts w:ascii="Arial" w:eastAsia="Arial" w:hAnsi="Arial" w:cs="Arial"/>
        </w:rPr>
        <w:t>III.- Periodo Medio de Pago VIVIENDAS Y SERVICIOS MUNICIPALES DE CANDELARIA SL. Primer trimestre 2021: De conformidad con los cálculos remitidos por la entidad púb</w:t>
      </w:r>
      <w:r>
        <w:rPr>
          <w:rFonts w:ascii="Arial" w:eastAsia="Arial" w:hAnsi="Arial" w:cs="Arial"/>
        </w:rPr>
        <w:t xml:space="preserve">lica empresarial, el PMP de la entidad VIVIENDAS Y SERVICIOS MUNICIPALES DE CANDELARIA SL, es el siguiente: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6239" w:type="dxa"/>
        <w:tblInd w:w="962" w:type="dxa"/>
        <w:tblCellMar>
          <w:top w:w="7" w:type="dxa"/>
          <w:left w:w="113" w:type="dxa"/>
          <w:bottom w:w="0" w:type="dxa"/>
          <w:right w:w="54" w:type="dxa"/>
        </w:tblCellMar>
        <w:tblLook w:val="04A0" w:firstRow="1" w:lastRow="0" w:firstColumn="1" w:lastColumn="0" w:noHBand="0" w:noVBand="1"/>
      </w:tblPr>
      <w:tblGrid>
        <w:gridCol w:w="3575"/>
        <w:gridCol w:w="2664"/>
      </w:tblGrid>
      <w:tr w:rsidR="00FF384B">
        <w:trPr>
          <w:trHeight w:val="382"/>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Ratio medio de pago: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25,36 </w:t>
            </w:r>
          </w:p>
        </w:tc>
      </w:tr>
      <w:tr w:rsidR="00FF384B">
        <w:trPr>
          <w:trHeight w:val="385"/>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rPr>
              <w:t xml:space="preserve">Pagos realizados: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10.692,71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Ratio medio pendiente de pago: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rPr>
              <w:t xml:space="preserve">11,61 </w:t>
            </w:r>
          </w:p>
        </w:tc>
      </w:tr>
      <w:tr w:rsidR="00FF384B">
        <w:trPr>
          <w:trHeight w:val="382"/>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Pagos pendientes: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12.112,82 </w:t>
            </w:r>
          </w:p>
        </w:tc>
      </w:tr>
      <w:tr w:rsidR="00FF384B">
        <w:trPr>
          <w:trHeight w:val="384"/>
        </w:trPr>
        <w:tc>
          <w:tcPr>
            <w:tcW w:w="357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Resultado PMP ent dependiente </w:t>
            </w:r>
          </w:p>
        </w:tc>
        <w:tc>
          <w:tcPr>
            <w:tcW w:w="26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18,06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IV.- </w:t>
      </w:r>
      <w:r>
        <w:rPr>
          <w:rFonts w:ascii="Arial" w:eastAsia="Arial" w:hAnsi="Arial" w:cs="Arial"/>
        </w:rPr>
        <w:t xml:space="preserve">Periodo Medio de Pago FUNDACIÓN CANARIA CANDELARIA (CANDESOL). Primer trimestre 2021: De conformidad con la información remitida por la entidad dependiente, el PMP de la entidad FUNDACIÓN CANARIA CANDELARIA (CANDESOL). es el siguiente: </w:t>
      </w:r>
    </w:p>
    <w:p w:rsidR="00FF384B" w:rsidRDefault="003E3BA9">
      <w:pPr>
        <w:spacing w:after="0"/>
        <w:ind w:left="283"/>
      </w:pPr>
      <w:r>
        <w:rPr>
          <w:rFonts w:ascii="Arial" w:eastAsia="Arial" w:hAnsi="Arial" w:cs="Arial"/>
        </w:rPr>
        <w:t xml:space="preserve"> </w:t>
      </w:r>
    </w:p>
    <w:tbl>
      <w:tblPr>
        <w:tblStyle w:val="TableGrid"/>
        <w:tblW w:w="6236" w:type="dxa"/>
        <w:tblInd w:w="1106" w:type="dxa"/>
        <w:tblCellMar>
          <w:top w:w="7" w:type="dxa"/>
          <w:left w:w="115" w:type="dxa"/>
          <w:bottom w:w="0" w:type="dxa"/>
          <w:right w:w="97" w:type="dxa"/>
        </w:tblCellMar>
        <w:tblLook w:val="04A0" w:firstRow="1" w:lastRow="0" w:firstColumn="1" w:lastColumn="0" w:noHBand="0" w:noVBand="1"/>
      </w:tblPr>
      <w:tblGrid>
        <w:gridCol w:w="3430"/>
        <w:gridCol w:w="2806"/>
      </w:tblGrid>
      <w:tr w:rsidR="00FF384B">
        <w:trPr>
          <w:trHeight w:val="384"/>
        </w:trPr>
        <w:tc>
          <w:tcPr>
            <w:tcW w:w="343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
              <w:jc w:val="center"/>
            </w:pPr>
            <w:r>
              <w:rPr>
                <w:rFonts w:ascii="Arial" w:eastAsia="Arial" w:hAnsi="Arial" w:cs="Arial"/>
              </w:rPr>
              <w:t xml:space="preserve">Ratio medio de pago: </w:t>
            </w:r>
          </w:p>
        </w:tc>
        <w:tc>
          <w:tcPr>
            <w:tcW w:w="280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
              <w:jc w:val="center"/>
            </w:pPr>
            <w:r>
              <w:rPr>
                <w:rFonts w:ascii="Arial" w:eastAsia="Arial" w:hAnsi="Arial" w:cs="Arial"/>
              </w:rPr>
              <w:t xml:space="preserve">12,28 </w:t>
            </w:r>
          </w:p>
        </w:tc>
      </w:tr>
      <w:tr w:rsidR="00FF384B">
        <w:trPr>
          <w:trHeight w:val="384"/>
        </w:trPr>
        <w:tc>
          <w:tcPr>
            <w:tcW w:w="343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0"/>
              <w:jc w:val="center"/>
            </w:pPr>
            <w:r>
              <w:rPr>
                <w:rFonts w:ascii="Arial" w:eastAsia="Arial" w:hAnsi="Arial" w:cs="Arial"/>
              </w:rPr>
              <w:t xml:space="preserve">Pagos realizados: </w:t>
            </w:r>
          </w:p>
        </w:tc>
        <w:tc>
          <w:tcPr>
            <w:tcW w:w="280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11.847,34 </w:t>
            </w:r>
          </w:p>
        </w:tc>
      </w:tr>
      <w:tr w:rsidR="00FF384B">
        <w:trPr>
          <w:trHeight w:val="382"/>
        </w:trPr>
        <w:tc>
          <w:tcPr>
            <w:tcW w:w="343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Ratio medio pendiente de pago: </w:t>
            </w:r>
          </w:p>
        </w:tc>
        <w:tc>
          <w:tcPr>
            <w:tcW w:w="280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0,00 </w:t>
            </w:r>
          </w:p>
        </w:tc>
      </w:tr>
      <w:tr w:rsidR="00FF384B">
        <w:trPr>
          <w:trHeight w:val="384"/>
        </w:trPr>
        <w:tc>
          <w:tcPr>
            <w:tcW w:w="343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Pagos pendientes: </w:t>
            </w:r>
          </w:p>
        </w:tc>
        <w:tc>
          <w:tcPr>
            <w:tcW w:w="280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0,00 </w:t>
            </w:r>
          </w:p>
        </w:tc>
      </w:tr>
      <w:tr w:rsidR="00FF384B">
        <w:trPr>
          <w:trHeight w:val="636"/>
        </w:trPr>
        <w:tc>
          <w:tcPr>
            <w:tcW w:w="343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rPr>
              <w:t xml:space="preserve">Resultado PMP ent dependiente </w:t>
            </w:r>
          </w:p>
        </w:tc>
        <w:tc>
          <w:tcPr>
            <w:tcW w:w="280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5"/>
              <w:jc w:val="center"/>
            </w:pPr>
            <w:r>
              <w:rPr>
                <w:rFonts w:ascii="Arial" w:eastAsia="Arial" w:hAnsi="Arial" w:cs="Arial"/>
                <w:b/>
              </w:rPr>
              <w:t xml:space="preserve">12,28 </w:t>
            </w:r>
          </w:p>
        </w:tc>
      </w:tr>
    </w:tbl>
    <w:p w:rsidR="00FF384B" w:rsidRDefault="003E3BA9">
      <w:pPr>
        <w:spacing w:after="100"/>
        <w:ind w:left="283"/>
      </w:pPr>
      <w:r>
        <w:rPr>
          <w:rFonts w:ascii="Arial" w:eastAsia="Arial" w:hAnsi="Arial" w:cs="Arial"/>
        </w:rPr>
        <w:t xml:space="preserve"> </w:t>
      </w:r>
    </w:p>
    <w:p w:rsidR="00FF384B" w:rsidRDefault="003E3BA9">
      <w:pPr>
        <w:spacing w:after="98"/>
        <w:ind w:left="283"/>
      </w:pPr>
      <w:r>
        <w:rPr>
          <w:rFonts w:ascii="Arial" w:eastAsia="Arial" w:hAnsi="Arial" w:cs="Arial"/>
          <w:color w:val="262822"/>
        </w:rPr>
        <w:t>De conformidad con los datos anteriores, se obtiene el siguiente resultado global:</w:t>
      </w: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674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8855" name="Group 4488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427" name="Picture 1427"/>
                          <pic:cNvPicPr/>
                        </pic:nvPicPr>
                        <pic:blipFill>
                          <a:blip r:embed="rId62"/>
                          <a:stretch>
                            <a:fillRect/>
                          </a:stretch>
                        </pic:blipFill>
                        <pic:spPr>
                          <a:xfrm rot="-5399999">
                            <a:off x="-1720849" y="1720849"/>
                            <a:ext cx="3797300" cy="355601"/>
                          </a:xfrm>
                          <a:prstGeom prst="rect">
                            <a:avLst/>
                          </a:prstGeom>
                        </pic:spPr>
                      </pic:pic>
                      <wps:wsp>
                        <wps:cNvPr id="1428" name="Rectangle 142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429" name="Rectangle 1429"/>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8855" style="width:41.2715pt;height:299pt;position:absolute;mso-position-horizontal-relative:page;mso-position-horizontal:absolute;margin-left:653.71pt;mso-position-vertical-relative:page;margin-top:512.92pt;" coordsize="5241,37973">
                <v:shape id="Picture 1427" style="position:absolute;width:37973;height:3556;left:-17208;top:17208;rotation:-89;" filled="f">
                  <v:imagedata r:id="rId63"/>
                </v:shape>
                <v:rect id="Rectangle 142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429"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353 </w:t>
                        </w:r>
                      </w:p>
                    </w:txbxContent>
                  </v:textbox>
                </v:rect>
                <w10:wrap type="square"/>
              </v:group>
            </w:pict>
          </mc:Fallback>
        </mc:AlternateContent>
      </w:r>
      <w:r>
        <w:rPr>
          <w:rFonts w:ascii="Arial" w:eastAsia="Arial" w:hAnsi="Arial" w:cs="Arial"/>
        </w:rPr>
        <w:t xml:space="preserve"> </w:t>
      </w:r>
    </w:p>
    <w:tbl>
      <w:tblPr>
        <w:tblStyle w:val="TableGrid"/>
        <w:tblW w:w="8822" w:type="dxa"/>
        <w:tblInd w:w="288" w:type="dxa"/>
        <w:tblCellMar>
          <w:top w:w="7" w:type="dxa"/>
          <w:left w:w="106" w:type="dxa"/>
          <w:bottom w:w="0" w:type="dxa"/>
          <w:right w:w="47" w:type="dxa"/>
        </w:tblCellMar>
        <w:tblLook w:val="04A0" w:firstRow="1" w:lastRow="0" w:firstColumn="1" w:lastColumn="0" w:noHBand="0" w:noVBand="1"/>
      </w:tblPr>
      <w:tblGrid>
        <w:gridCol w:w="1558"/>
        <w:gridCol w:w="1465"/>
        <w:gridCol w:w="1502"/>
        <w:gridCol w:w="1464"/>
        <w:gridCol w:w="1416"/>
        <w:gridCol w:w="1417"/>
      </w:tblGrid>
      <w:tr w:rsidR="00FF384B">
        <w:trPr>
          <w:trHeight w:val="1382"/>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98"/>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Entidad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59"/>
              <w:jc w:val="center"/>
            </w:pPr>
            <w:r>
              <w:rPr>
                <w:rFonts w:ascii="Arial" w:eastAsia="Arial" w:hAnsi="Arial" w:cs="Arial"/>
              </w:rPr>
              <w:t xml:space="preserve">Ratio </w:t>
            </w:r>
          </w:p>
          <w:p w:rsidR="00FF384B" w:rsidRDefault="003E3BA9">
            <w:pPr>
              <w:spacing w:after="98"/>
              <w:ind w:left="2"/>
              <w:jc w:val="both"/>
            </w:pPr>
            <w:r>
              <w:rPr>
                <w:rFonts w:ascii="Arial" w:eastAsia="Arial" w:hAnsi="Arial" w:cs="Arial"/>
              </w:rPr>
              <w:t xml:space="preserve">Operaciones </w:t>
            </w:r>
          </w:p>
          <w:p w:rsidR="00FF384B" w:rsidRDefault="003E3BA9">
            <w:pPr>
              <w:spacing w:after="0"/>
              <w:ind w:right="57"/>
              <w:jc w:val="center"/>
            </w:pPr>
            <w:r>
              <w:rPr>
                <w:rFonts w:ascii="Arial" w:eastAsia="Arial" w:hAnsi="Arial" w:cs="Arial"/>
              </w:rPr>
              <w:t xml:space="preserve">Pagadas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122" w:line="238" w:lineRule="auto"/>
              <w:jc w:val="center"/>
            </w:pPr>
            <w:r>
              <w:rPr>
                <w:rFonts w:ascii="Arial" w:eastAsia="Arial" w:hAnsi="Arial" w:cs="Arial"/>
              </w:rPr>
              <w:t xml:space="preserve">Importe Pagos </w:t>
            </w:r>
          </w:p>
          <w:p w:rsidR="00FF384B" w:rsidRDefault="003E3BA9">
            <w:pPr>
              <w:spacing w:after="0"/>
              <w:ind w:left="98"/>
            </w:pPr>
            <w:r>
              <w:rPr>
                <w:rFonts w:ascii="Arial" w:eastAsia="Arial" w:hAnsi="Arial" w:cs="Arial"/>
              </w:rPr>
              <w:t xml:space="preserve">Realizados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Ratio </w:t>
            </w:r>
          </w:p>
          <w:p w:rsidR="00FF384B" w:rsidRDefault="003E3BA9">
            <w:pPr>
              <w:spacing w:after="98"/>
              <w:jc w:val="both"/>
            </w:pPr>
            <w:r>
              <w:rPr>
                <w:rFonts w:ascii="Arial" w:eastAsia="Arial" w:hAnsi="Arial" w:cs="Arial"/>
              </w:rPr>
              <w:t xml:space="preserve">Operaciones </w:t>
            </w:r>
          </w:p>
          <w:p w:rsidR="00FF384B" w:rsidRDefault="003E3BA9">
            <w:pPr>
              <w:spacing w:after="0"/>
              <w:ind w:left="72"/>
            </w:pPr>
            <w:r>
              <w:rPr>
                <w:rFonts w:ascii="Arial" w:eastAsia="Arial" w:hAnsi="Arial" w:cs="Arial"/>
              </w:rPr>
              <w:t xml:space="preserve">Pendientes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122" w:line="238" w:lineRule="auto"/>
              <w:jc w:val="center"/>
            </w:pPr>
            <w:r>
              <w:rPr>
                <w:rFonts w:ascii="Arial" w:eastAsia="Arial" w:hAnsi="Arial" w:cs="Arial"/>
              </w:rPr>
              <w:t xml:space="preserve">Importe Pagos </w:t>
            </w:r>
          </w:p>
          <w:p w:rsidR="00FF384B" w:rsidRDefault="003E3BA9">
            <w:pPr>
              <w:spacing w:after="0"/>
              <w:ind w:left="48"/>
            </w:pPr>
            <w:r>
              <w:rPr>
                <w:rFonts w:ascii="Arial" w:eastAsia="Arial" w:hAnsi="Arial" w:cs="Arial"/>
              </w:rPr>
              <w:t xml:space="preserve">Pendientes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98"/>
            </w:pPr>
            <w:r>
              <w:rPr>
                <w:rFonts w:ascii="Arial" w:eastAsia="Arial" w:hAnsi="Arial" w:cs="Arial"/>
              </w:rPr>
              <w:t xml:space="preserve"> </w:t>
            </w:r>
          </w:p>
          <w:p w:rsidR="00FF384B" w:rsidRDefault="003E3BA9">
            <w:pPr>
              <w:spacing w:after="0"/>
              <w:ind w:right="67"/>
              <w:jc w:val="center"/>
            </w:pPr>
            <w:r>
              <w:rPr>
                <w:rFonts w:ascii="Arial" w:eastAsia="Arial" w:hAnsi="Arial" w:cs="Arial"/>
              </w:rPr>
              <w:t xml:space="preserve">PMP </w:t>
            </w:r>
          </w:p>
        </w:tc>
      </w:tr>
      <w:tr w:rsidR="00FF384B">
        <w:trPr>
          <w:trHeight w:val="1011"/>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jc w:val="both"/>
            </w:pPr>
            <w:r>
              <w:rPr>
                <w:rFonts w:ascii="Arial" w:eastAsia="Arial" w:hAnsi="Arial" w:cs="Arial"/>
              </w:rPr>
              <w:t xml:space="preserve">Ayuntamiento </w:t>
            </w:r>
          </w:p>
          <w:p w:rsidR="00FF384B" w:rsidRDefault="003E3BA9">
            <w:pPr>
              <w:spacing w:after="0"/>
              <w:ind w:right="59"/>
              <w:jc w:val="center"/>
            </w:pPr>
            <w:r>
              <w:rPr>
                <w:rFonts w:ascii="Arial" w:eastAsia="Arial" w:hAnsi="Arial" w:cs="Arial"/>
              </w:rPr>
              <w:t xml:space="preserve">De </w:t>
            </w:r>
          </w:p>
          <w:p w:rsidR="00FF384B" w:rsidRDefault="003E3BA9">
            <w:pPr>
              <w:spacing w:after="0"/>
              <w:ind w:right="58"/>
              <w:jc w:val="center"/>
            </w:pPr>
            <w:r>
              <w:rPr>
                <w:rFonts w:ascii="Arial" w:eastAsia="Arial" w:hAnsi="Arial" w:cs="Arial"/>
              </w:rPr>
              <w:t xml:space="preserve">Candelaria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jc w:val="center"/>
            </w:pPr>
            <w:r>
              <w:rPr>
                <w:rFonts w:ascii="Arial" w:eastAsia="Arial" w:hAnsi="Arial" w:cs="Arial"/>
              </w:rPr>
              <w:t xml:space="preserve"> </w:t>
            </w:r>
          </w:p>
          <w:p w:rsidR="00FF384B" w:rsidRDefault="003E3BA9">
            <w:pPr>
              <w:spacing w:after="0"/>
              <w:ind w:right="59"/>
              <w:jc w:val="center"/>
            </w:pPr>
            <w:r>
              <w:rPr>
                <w:rFonts w:ascii="Arial" w:eastAsia="Arial" w:hAnsi="Arial" w:cs="Arial"/>
              </w:rPr>
              <w:t xml:space="preserve">22,01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left="2"/>
            </w:pPr>
            <w:r>
              <w:rPr>
                <w:rFonts w:ascii="Arial" w:eastAsia="Arial" w:hAnsi="Arial" w:cs="Arial"/>
              </w:rPr>
              <w:t xml:space="preserve">1.837.246,10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3"/>
              <w:jc w:val="center"/>
            </w:pPr>
            <w:r>
              <w:rPr>
                <w:rFonts w:ascii="Arial" w:eastAsia="Arial" w:hAnsi="Arial" w:cs="Arial"/>
              </w:rPr>
              <w:t xml:space="preserve">20,75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left="48"/>
            </w:pPr>
            <w:r>
              <w:rPr>
                <w:rFonts w:ascii="Arial" w:eastAsia="Arial" w:hAnsi="Arial" w:cs="Arial"/>
              </w:rPr>
              <w:t xml:space="preserve">770.127,10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2"/>
              <w:jc w:val="center"/>
            </w:pPr>
            <w:r>
              <w:rPr>
                <w:rFonts w:ascii="Arial" w:eastAsia="Arial" w:hAnsi="Arial" w:cs="Arial"/>
              </w:rPr>
              <w:t xml:space="preserve">21,64 </w:t>
            </w:r>
          </w:p>
        </w:tc>
      </w:tr>
      <w:tr w:rsidR="00FF384B">
        <w:trPr>
          <w:trHeight w:val="382"/>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58"/>
            </w:pPr>
            <w:r>
              <w:rPr>
                <w:rFonts w:ascii="Arial" w:eastAsia="Arial" w:hAnsi="Arial" w:cs="Arial"/>
              </w:rPr>
              <w:t xml:space="preserve">EPELCAN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31,38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35.319,60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30,89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11.893,30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31,26 </w:t>
            </w:r>
          </w:p>
        </w:tc>
      </w:tr>
      <w:tr w:rsidR="00FF384B">
        <w:trPr>
          <w:trHeight w:val="888"/>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40" w:lineRule="auto"/>
              <w:ind w:left="13" w:right="11"/>
              <w:jc w:val="center"/>
            </w:pPr>
            <w:r>
              <w:rPr>
                <w:rFonts w:ascii="Arial" w:eastAsia="Arial" w:hAnsi="Arial" w:cs="Arial"/>
              </w:rPr>
              <w:t xml:space="preserve">VIVIENDAS Y </w:t>
            </w:r>
          </w:p>
          <w:p w:rsidR="00FF384B" w:rsidRDefault="003E3BA9">
            <w:pPr>
              <w:spacing w:after="0"/>
              <w:ind w:left="74"/>
            </w:pPr>
            <w:r>
              <w:rPr>
                <w:rFonts w:ascii="Arial" w:eastAsia="Arial" w:hAnsi="Arial" w:cs="Arial"/>
              </w:rPr>
              <w:t xml:space="preserve">SERVICIOS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jc w:val="center"/>
            </w:pPr>
            <w:r>
              <w:rPr>
                <w:rFonts w:ascii="Arial" w:eastAsia="Arial" w:hAnsi="Arial" w:cs="Arial"/>
              </w:rPr>
              <w:t xml:space="preserve"> </w:t>
            </w:r>
          </w:p>
          <w:p w:rsidR="00FF384B" w:rsidRDefault="003E3BA9">
            <w:pPr>
              <w:spacing w:after="0"/>
              <w:ind w:right="59"/>
              <w:jc w:val="center"/>
            </w:pPr>
            <w:r>
              <w:rPr>
                <w:rFonts w:ascii="Arial" w:eastAsia="Arial" w:hAnsi="Arial" w:cs="Arial"/>
              </w:rPr>
              <w:t xml:space="preserve">25,36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1"/>
              <w:jc w:val="center"/>
            </w:pPr>
            <w:r>
              <w:rPr>
                <w:rFonts w:ascii="Arial" w:eastAsia="Arial" w:hAnsi="Arial" w:cs="Arial"/>
              </w:rPr>
              <w:t xml:space="preserve">10.692,71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11,61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3"/>
              <w:jc w:val="center"/>
            </w:pPr>
            <w:r>
              <w:rPr>
                <w:rFonts w:ascii="Arial" w:eastAsia="Arial" w:hAnsi="Arial" w:cs="Arial"/>
              </w:rPr>
              <w:t xml:space="preserve">12.112,82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2"/>
              <w:jc w:val="center"/>
            </w:pPr>
            <w:r>
              <w:rPr>
                <w:rFonts w:ascii="Arial" w:eastAsia="Arial" w:hAnsi="Arial" w:cs="Arial"/>
              </w:rPr>
              <w:t xml:space="preserve">18,06 </w:t>
            </w:r>
          </w:p>
        </w:tc>
      </w:tr>
      <w:tr w:rsidR="00FF384B">
        <w:trPr>
          <w:trHeight w:val="384"/>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7"/>
            </w:pPr>
            <w:r>
              <w:rPr>
                <w:rFonts w:ascii="Arial" w:eastAsia="Arial" w:hAnsi="Arial" w:cs="Arial"/>
              </w:rPr>
              <w:t xml:space="preserve">CANDESOL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12,28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11.847,34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center"/>
            </w:pPr>
            <w:r>
              <w:rPr>
                <w:rFonts w:ascii="Arial" w:eastAsia="Arial" w:hAnsi="Arial" w:cs="Arial"/>
              </w:rP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0,00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12,28 </w:t>
            </w:r>
          </w:p>
        </w:tc>
      </w:tr>
      <w:tr w:rsidR="00FF384B">
        <w:trPr>
          <w:trHeight w:val="384"/>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2"/>
            </w:pPr>
            <w:r>
              <w:rPr>
                <w:rFonts w:ascii="Arial" w:eastAsia="Arial" w:hAnsi="Arial" w:cs="Arial"/>
                <w:b/>
              </w:rPr>
              <w:t xml:space="preserve">PMP Global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1.895.105,75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794.133,22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21,74 </w:t>
            </w:r>
          </w:p>
        </w:tc>
      </w:tr>
    </w:tbl>
    <w:p w:rsidR="00FF384B" w:rsidRDefault="003E3BA9">
      <w:pPr>
        <w:spacing w:after="119"/>
        <w:ind w:left="283"/>
      </w:pPr>
      <w:r>
        <w:rPr>
          <w:rFonts w:ascii="Arial" w:eastAsia="Arial" w:hAnsi="Arial" w:cs="Arial"/>
        </w:rPr>
        <w:t xml:space="preserve"> </w:t>
      </w:r>
    </w:p>
    <w:p w:rsidR="00FF384B" w:rsidRDefault="003E3BA9">
      <w:pPr>
        <w:spacing w:after="111" w:line="247" w:lineRule="auto"/>
        <w:ind w:left="278" w:right="244" w:hanging="10"/>
        <w:jc w:val="both"/>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Consta en el expediente propuesta del Concejal delegado de Hacienda, D. Airam Pérez Chinea, de fecha 14 de abril de 2021, que transcrito literalmente dice: </w:t>
      </w:r>
    </w:p>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135"/>
        <w:ind w:left="283"/>
      </w:pPr>
      <w:r>
        <w:rPr>
          <w:rFonts w:ascii="Arial" w:eastAsia="Arial" w:hAnsi="Arial" w:cs="Arial"/>
        </w:rPr>
        <w:t xml:space="preserve"> </w:t>
      </w:r>
    </w:p>
    <w:p w:rsidR="00FF384B" w:rsidRDefault="003E3BA9">
      <w:pPr>
        <w:pStyle w:val="Ttulo1"/>
        <w:ind w:left="767" w:right="729"/>
      </w:pPr>
      <w:r>
        <w:t xml:space="preserve">“PROPUESTA DEL CONCEJAL DELEGADO DE HACIENDA </w:t>
      </w:r>
    </w:p>
    <w:p w:rsidR="00FF384B" w:rsidRDefault="003E3BA9">
      <w:pPr>
        <w:spacing w:after="0"/>
        <w:ind w:left="87"/>
        <w:jc w:val="center"/>
      </w:pPr>
      <w:r>
        <w:rPr>
          <w:rFonts w:ascii="Arial" w:eastAsia="Arial" w:hAnsi="Arial" w:cs="Arial"/>
        </w:rPr>
        <w:t xml:space="preserve"> </w:t>
      </w:r>
    </w:p>
    <w:p w:rsidR="00FF384B" w:rsidRDefault="003E3BA9">
      <w:pPr>
        <w:spacing w:after="111" w:line="247" w:lineRule="auto"/>
        <w:ind w:left="286" w:right="253" w:hanging="3"/>
        <w:jc w:val="both"/>
      </w:pPr>
      <w:r>
        <w:rPr>
          <w:rFonts w:ascii="Arial" w:eastAsia="Arial" w:hAnsi="Arial" w:cs="Arial"/>
          <w:b/>
        </w:rPr>
        <w:t xml:space="preserve">ASUNTO: Informe de Tesorería del Periodo Medio de Pago del Primer Trimestre de 2021 conforme el Real Decreto 1040/2017, de 22 de diciembre del Ayuntamiento de Candelaria </w:t>
      </w:r>
    </w:p>
    <w:p w:rsidR="00FF384B" w:rsidRDefault="003E3BA9">
      <w:pPr>
        <w:spacing w:after="100"/>
        <w:ind w:left="283"/>
      </w:pPr>
      <w:r>
        <w:rPr>
          <w:rFonts w:ascii="Arial" w:eastAsia="Arial" w:hAnsi="Arial" w:cs="Arial"/>
          <w:b/>
        </w:rPr>
        <w:t xml:space="preserve"> </w:t>
      </w:r>
    </w:p>
    <w:p w:rsidR="00FF384B" w:rsidRDefault="003E3BA9">
      <w:pPr>
        <w:pStyle w:val="Ttulo2"/>
        <w:spacing w:after="103"/>
        <w:ind w:left="767" w:right="726"/>
      </w:pPr>
      <w:r>
        <w:t xml:space="preserve">Consideraciones </w:t>
      </w:r>
    </w:p>
    <w:p w:rsidR="00FF384B" w:rsidRDefault="003E3BA9">
      <w:pPr>
        <w:spacing w:after="98"/>
        <w:ind w:left="87"/>
        <w:jc w:val="center"/>
      </w:pPr>
      <w:r>
        <w:rPr>
          <w:rFonts w:ascii="Arial" w:eastAsia="Arial" w:hAnsi="Arial" w:cs="Arial"/>
          <w:b/>
        </w:rPr>
        <w:t xml:space="preserve"> </w:t>
      </w:r>
    </w:p>
    <w:p w:rsidR="00FF384B" w:rsidRDefault="003E3BA9">
      <w:pPr>
        <w:spacing w:after="4" w:line="247" w:lineRule="auto"/>
        <w:ind w:left="278" w:right="244" w:hanging="10"/>
        <w:jc w:val="both"/>
      </w:pPr>
      <w:r>
        <w:rPr>
          <w:noProof/>
        </w:rPr>
        <mc:AlternateContent>
          <mc:Choice Requires="wpg">
            <w:drawing>
              <wp:anchor distT="0" distB="0" distL="114300" distR="114300" simplePos="0" relativeHeight="2516684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101" name="Group 4341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68" name="Picture 1568"/>
                          <pic:cNvPicPr/>
                        </pic:nvPicPr>
                        <pic:blipFill>
                          <a:blip r:embed="rId62"/>
                          <a:stretch>
                            <a:fillRect/>
                          </a:stretch>
                        </pic:blipFill>
                        <pic:spPr>
                          <a:xfrm rot="-5399999">
                            <a:off x="-1720849" y="1720849"/>
                            <a:ext cx="3797300" cy="355601"/>
                          </a:xfrm>
                          <a:prstGeom prst="rect">
                            <a:avLst/>
                          </a:prstGeom>
                        </pic:spPr>
                      </pic:pic>
                      <wps:wsp>
                        <wps:cNvPr id="1569" name="Rectangle 156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w:t>
                              </w:r>
                              <w:r>
                                <w:rPr>
                                  <w:rFonts w:ascii="Arial" w:eastAsia="Arial" w:hAnsi="Arial" w:cs="Arial"/>
                                  <w:sz w:val="12"/>
                                </w:rPr>
                                <w:t xml:space="preserve">tps://candelaria.sedelectronica.es/ </w:t>
                              </w:r>
                            </w:p>
                          </w:txbxContent>
                        </wps:txbx>
                        <wps:bodyPr horzOverflow="overflow" vert="horz" lIns="0" tIns="0" rIns="0" bIns="0" rtlCol="0">
                          <a:noAutofit/>
                        </wps:bodyPr>
                      </wps:wsp>
                      <wps:wsp>
                        <wps:cNvPr id="1570" name="Rectangle 1570"/>
                        <wps:cNvSpPr/>
                        <wps:spPr>
                          <a:xfrm rot="-5399999">
                            <a:off x="-1679406" y="1565651"/>
                            <a:ext cx="4350075"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101" style="width:41.2715pt;height:299pt;position:absolute;mso-position-horizontal-relative:page;mso-position-horizontal:absolute;margin-left:653.71pt;mso-position-vertical-relative:page;margin-top:512.92pt;" coordsize="5241,37973">
                <v:shape id="Picture 1568" style="position:absolute;width:37973;height:3556;left:-17208;top:17208;rotation:-89;" filled="f">
                  <v:imagedata r:id="rId63"/>
                </v:shape>
                <v:rect id="Rectangle 156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70" style="position:absolute;width:43500;height:1132;left:-16794;top:156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353 </w:t>
                        </w:r>
                      </w:p>
                    </w:txbxContent>
                  </v:textbox>
                </v:rect>
                <w10:wrap type="square"/>
              </v:group>
            </w:pict>
          </mc:Fallback>
        </mc:AlternateContent>
      </w:r>
      <w:r>
        <w:rPr>
          <w:rFonts w:ascii="Arial" w:eastAsia="Arial" w:hAnsi="Arial" w:cs="Arial"/>
          <w:b/>
        </w:rPr>
        <w:t xml:space="preserve">Única.- </w:t>
      </w:r>
      <w:r>
        <w:rPr>
          <w:rFonts w:ascii="Arial" w:eastAsia="Arial" w:hAnsi="Arial" w:cs="Arial"/>
        </w:rPr>
        <w:t>En cumplimiento de la Disposición Final 2ª, apartado 3º de la Ley Orgánica 2/2012, de 27 de abril, de Estabilidad Pr</w:t>
      </w:r>
      <w:r>
        <w:rPr>
          <w:rFonts w:ascii="Arial" w:eastAsia="Arial" w:hAnsi="Arial" w:cs="Arial"/>
        </w:rPr>
        <w:t>esupuestaria y Sostenibilidad Financiera (</w:t>
      </w:r>
      <w:r>
        <w:rPr>
          <w:rFonts w:ascii="Arial" w:eastAsia="Arial" w:hAnsi="Arial" w:cs="Arial"/>
          <w:i/>
        </w:rPr>
        <w:t>que señala que por Orden del Ministro de Hacienda y Administraciones Públicas, se desarrollará la metodología de cálculo del Periodo Medio de Pago a proveedores de las Administraciones Públicas conforme a criterios</w:t>
      </w:r>
      <w:r>
        <w:rPr>
          <w:rFonts w:ascii="Arial" w:eastAsia="Arial" w:hAnsi="Arial" w:cs="Arial"/>
          <w:i/>
        </w:rPr>
        <w:t xml:space="preserve"> homogéneos y que tendrá en cuenta los pagos efectuados y las operaciones pendientes de pago</w:t>
      </w:r>
      <w:r>
        <w:rPr>
          <w:rFonts w:ascii="Arial" w:eastAsia="Arial" w:hAnsi="Arial" w:cs="Arial"/>
        </w:rPr>
        <w:t xml:space="preserve">), se ha publicado, con fecha 30 de julio de 2014, el Real Decreto 635/2014, de 25 de julio, por el que se desarrolla la </w:t>
      </w:r>
    </w:p>
    <w:p w:rsidR="00FF384B" w:rsidRDefault="003E3BA9">
      <w:pPr>
        <w:spacing w:after="5" w:line="247" w:lineRule="auto"/>
        <w:ind w:left="278" w:right="244" w:hanging="10"/>
        <w:jc w:val="both"/>
      </w:pPr>
      <w:r>
        <w:rPr>
          <w:rFonts w:ascii="Arial" w:eastAsia="Arial" w:hAnsi="Arial" w:cs="Arial"/>
        </w:rPr>
        <w:t xml:space="preserve">Metodología de cálculo del Periodo Medio de Pago a proveedores de las </w:t>
      </w:r>
    </w:p>
    <w:p w:rsidR="00FF384B" w:rsidRDefault="003E3BA9">
      <w:pPr>
        <w:spacing w:after="112" w:line="247" w:lineRule="auto"/>
        <w:ind w:left="278" w:right="244" w:hanging="10"/>
        <w:jc w:val="both"/>
      </w:pPr>
      <w:r>
        <w:rPr>
          <w:rFonts w:ascii="Arial" w:eastAsia="Arial" w:hAnsi="Arial" w:cs="Arial"/>
        </w:rPr>
        <w:t>Administraciones Públicas y las condiciones y el procedimiento de retención de recursos de los regímenes de financiación previstos en la Ley Orgánica 2/2012 de 27 de abril, de Estabilid</w:t>
      </w:r>
      <w:r>
        <w:rPr>
          <w:rFonts w:ascii="Arial" w:eastAsia="Arial" w:hAnsi="Arial" w:cs="Arial"/>
        </w:rPr>
        <w:t xml:space="preserve">ad Presupuestaria y Sostenibilidad Financiera, posteriormente modificado por el Real Decreto 1040/2017 de 22 de diciembre. </w:t>
      </w:r>
    </w:p>
    <w:p w:rsidR="00FF384B" w:rsidRDefault="003E3BA9">
      <w:pPr>
        <w:spacing w:after="5" w:line="247" w:lineRule="auto"/>
        <w:ind w:left="278" w:right="244" w:hanging="10"/>
        <w:jc w:val="both"/>
      </w:pPr>
      <w:r>
        <w:rPr>
          <w:rFonts w:ascii="Arial" w:eastAsia="Arial" w:hAnsi="Arial" w:cs="Arial"/>
        </w:rPr>
        <w:t xml:space="preserve">    La última reforma de la Ley Orgánica 2/2012, de 27 de abril, redefinió el principio de sostenibilidad financiera incluyendo no s</w:t>
      </w:r>
      <w:r>
        <w:rPr>
          <w:rFonts w:ascii="Arial" w:eastAsia="Arial" w:hAnsi="Arial" w:cs="Arial"/>
        </w:rPr>
        <w:t xml:space="preserve">ólo el control de deuda pública, sino también el control de la deuda comercial.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La Ley Orgánica de Control de la Deuda Comercial, modifica la Ley Orgánica 2/2012, de 27 de abril, introduciendo el concepto del Periodo Medio de Pago, como expresión de</w:t>
      </w:r>
      <w:r>
        <w:rPr>
          <w:rFonts w:ascii="Arial" w:eastAsia="Arial" w:hAnsi="Arial" w:cs="Arial"/>
        </w:rPr>
        <w:t xml:space="preserve">l volumen de deuda comercial y establece la obligación de que todas las Administraciones Públicas hagan público su periodo Medio de Pago. </w:t>
      </w:r>
    </w:p>
    <w:p w:rsidR="00FF384B" w:rsidRDefault="003E3BA9">
      <w:pPr>
        <w:spacing w:after="0"/>
        <w:ind w:left="283"/>
      </w:pPr>
      <w:r>
        <w:rPr>
          <w:rFonts w:ascii="Arial" w:eastAsia="Arial" w:hAnsi="Arial" w:cs="Arial"/>
        </w:rPr>
        <w:t xml:space="preserve"> </w:t>
      </w:r>
    </w:p>
    <w:p w:rsidR="00FF384B" w:rsidRDefault="003E3BA9">
      <w:pPr>
        <w:spacing w:after="114" w:line="247" w:lineRule="auto"/>
        <w:ind w:left="278" w:right="244" w:hanging="10"/>
        <w:jc w:val="both"/>
      </w:pPr>
      <w:r>
        <w:rPr>
          <w:rFonts w:ascii="Arial" w:eastAsia="Arial" w:hAnsi="Arial" w:cs="Arial"/>
        </w:rPr>
        <w:t xml:space="preserve">    El Real Decreto 1040/2017, de 22 de diciembre, de 25 de julio, mide el retraso en el pago de la deuda comercial</w:t>
      </w:r>
      <w:r>
        <w:rPr>
          <w:rFonts w:ascii="Arial" w:eastAsia="Arial" w:hAnsi="Arial" w:cs="Arial"/>
        </w:rPr>
        <w:t xml:space="preserve"> en términos económicos, como indicador distinto respecto del periodo legal de pago en la Ley 3/2004 de 29 de diciembre, por la que se establecen medidas de lucha contra la morosidad en las operaciones comerciales. </w:t>
      </w:r>
    </w:p>
    <w:p w:rsidR="00FF384B" w:rsidRDefault="003E3BA9">
      <w:pPr>
        <w:spacing w:after="98"/>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Es por lo que, visto el informe emitid</w:t>
      </w:r>
      <w:r>
        <w:rPr>
          <w:rFonts w:ascii="Arial" w:eastAsia="Arial" w:hAnsi="Arial" w:cs="Arial"/>
        </w:rPr>
        <w:t xml:space="preserve">o por la Tesorería Municipal, de fecha 14 de abril de 2021 para el primer trimestre, esta Concejalía delegada de Hacienda PROPONE: </w:t>
      </w:r>
    </w:p>
    <w:p w:rsidR="00FF384B" w:rsidRDefault="003E3BA9">
      <w:pPr>
        <w:spacing w:after="98"/>
        <w:ind w:left="283"/>
      </w:pPr>
      <w:r>
        <w:rPr>
          <w:rFonts w:ascii="Arial" w:eastAsia="Arial" w:hAnsi="Arial" w:cs="Arial"/>
        </w:rPr>
        <w:t xml:space="preserve"> </w:t>
      </w:r>
    </w:p>
    <w:p w:rsidR="00FF384B" w:rsidRDefault="003E3BA9">
      <w:pPr>
        <w:spacing w:after="114" w:line="247" w:lineRule="auto"/>
        <w:ind w:left="278" w:right="244" w:hanging="10"/>
        <w:jc w:val="both"/>
      </w:pPr>
      <w:r>
        <w:rPr>
          <w:rFonts w:ascii="Arial" w:eastAsia="Arial" w:hAnsi="Arial" w:cs="Arial"/>
          <w:b/>
        </w:rPr>
        <w:t>Primero</w:t>
      </w:r>
      <w:r>
        <w:rPr>
          <w:rFonts w:ascii="Arial" w:eastAsia="Arial" w:hAnsi="Arial" w:cs="Arial"/>
        </w:rPr>
        <w:t>: Dar cuenta al Pleno del Periodo Medio de Pago previsto en el Real Decreto 1040/2017, de 22 de diciembre, por el que se desarrolla la Metodología de cálculo del Periodo Medio de Pago a proveedores de las Administraciones Públicas y las condiciones y el pr</w:t>
      </w:r>
      <w:r>
        <w:rPr>
          <w:rFonts w:ascii="Arial" w:eastAsia="Arial" w:hAnsi="Arial" w:cs="Arial"/>
        </w:rPr>
        <w:t>ocedimiento de retención de recursos de los regímenes de financiación previstos en la Ley Orgánica 2/2012 de 27 de abril, de Estabilidad Presupuestaria y Sostenibilidad Financiera, correspondiente al Primer Trimestre del año 2021, que presenta el siguiente</w:t>
      </w:r>
      <w:r>
        <w:rPr>
          <w:rFonts w:ascii="Arial" w:eastAsia="Arial" w:hAnsi="Arial" w:cs="Arial"/>
        </w:rPr>
        <w:t xml:space="preserve"> detalle: </w:t>
      </w:r>
    </w:p>
    <w:p w:rsidR="00FF384B" w:rsidRDefault="003E3BA9">
      <w:pPr>
        <w:spacing w:after="0"/>
        <w:ind w:left="283"/>
      </w:pPr>
      <w:r>
        <w:rPr>
          <w:noProof/>
        </w:rPr>
        <mc:AlternateContent>
          <mc:Choice Requires="wpg">
            <w:drawing>
              <wp:anchor distT="0" distB="0" distL="114300" distR="114300" simplePos="0" relativeHeight="2516695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7735" name="Group 46773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87" name="Picture 1887"/>
                          <pic:cNvPicPr/>
                        </pic:nvPicPr>
                        <pic:blipFill>
                          <a:blip r:embed="rId62"/>
                          <a:stretch>
                            <a:fillRect/>
                          </a:stretch>
                        </pic:blipFill>
                        <pic:spPr>
                          <a:xfrm rot="-5399999">
                            <a:off x="-1720849" y="1720849"/>
                            <a:ext cx="3797300" cy="355601"/>
                          </a:xfrm>
                          <a:prstGeom prst="rect">
                            <a:avLst/>
                          </a:prstGeom>
                        </pic:spPr>
                      </pic:pic>
                      <wps:wsp>
                        <wps:cNvPr id="1888" name="Rectangle 188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89" name="Rectangle 188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7735" style="width:41.2715pt;height:299pt;position:absolute;mso-position-horizontal-relative:page;mso-position-horizontal:absolute;margin-left:653.71pt;mso-position-vertical-relative:page;margin-top:512.92pt;" coordsize="5241,37973">
                <v:shape id="Picture 1887" style="position:absolute;width:37973;height:3556;left:-17208;top:17208;rotation:-89;" filled="f">
                  <v:imagedata r:id="rId63"/>
                </v:shape>
                <v:rect id="Rectangle 188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8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353 </w:t>
                        </w:r>
                      </w:p>
                    </w:txbxContent>
                  </v:textbox>
                </v:rect>
                <w10:wrap type="square"/>
              </v:group>
            </w:pict>
          </mc:Fallback>
        </mc:AlternateContent>
      </w:r>
      <w:r>
        <w:rPr>
          <w:rFonts w:ascii="Arial" w:eastAsia="Arial" w:hAnsi="Arial" w:cs="Arial"/>
        </w:rPr>
        <w:t xml:space="preserve"> </w:t>
      </w:r>
    </w:p>
    <w:tbl>
      <w:tblPr>
        <w:tblStyle w:val="TableGrid"/>
        <w:tblW w:w="8822" w:type="dxa"/>
        <w:tblInd w:w="288" w:type="dxa"/>
        <w:tblCellMar>
          <w:top w:w="7" w:type="dxa"/>
          <w:left w:w="106" w:type="dxa"/>
          <w:bottom w:w="0" w:type="dxa"/>
          <w:right w:w="47" w:type="dxa"/>
        </w:tblCellMar>
        <w:tblLook w:val="04A0" w:firstRow="1" w:lastRow="0" w:firstColumn="1" w:lastColumn="0" w:noHBand="0" w:noVBand="1"/>
      </w:tblPr>
      <w:tblGrid>
        <w:gridCol w:w="1558"/>
        <w:gridCol w:w="1465"/>
        <w:gridCol w:w="1502"/>
        <w:gridCol w:w="1464"/>
        <w:gridCol w:w="1416"/>
        <w:gridCol w:w="1417"/>
      </w:tblGrid>
      <w:tr w:rsidR="00FF384B">
        <w:trPr>
          <w:trHeight w:val="1382"/>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98"/>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Entidad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59"/>
              <w:jc w:val="center"/>
            </w:pPr>
            <w:r>
              <w:rPr>
                <w:rFonts w:ascii="Arial" w:eastAsia="Arial" w:hAnsi="Arial" w:cs="Arial"/>
              </w:rPr>
              <w:t xml:space="preserve">Ratio </w:t>
            </w:r>
          </w:p>
          <w:p w:rsidR="00FF384B" w:rsidRDefault="003E3BA9">
            <w:pPr>
              <w:spacing w:after="100"/>
              <w:ind w:left="2"/>
              <w:jc w:val="both"/>
            </w:pPr>
            <w:r>
              <w:rPr>
                <w:rFonts w:ascii="Arial" w:eastAsia="Arial" w:hAnsi="Arial" w:cs="Arial"/>
              </w:rPr>
              <w:t xml:space="preserve">Operaciones </w:t>
            </w:r>
          </w:p>
          <w:p w:rsidR="00FF384B" w:rsidRDefault="003E3BA9">
            <w:pPr>
              <w:spacing w:after="0"/>
              <w:ind w:right="57"/>
              <w:jc w:val="center"/>
            </w:pPr>
            <w:r>
              <w:rPr>
                <w:rFonts w:ascii="Arial" w:eastAsia="Arial" w:hAnsi="Arial" w:cs="Arial"/>
              </w:rPr>
              <w:t xml:space="preserve">Pagadas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118" w:line="240" w:lineRule="auto"/>
              <w:jc w:val="center"/>
            </w:pPr>
            <w:r>
              <w:rPr>
                <w:rFonts w:ascii="Arial" w:eastAsia="Arial" w:hAnsi="Arial" w:cs="Arial"/>
              </w:rPr>
              <w:t xml:space="preserve">Importe Pagos </w:t>
            </w:r>
          </w:p>
          <w:p w:rsidR="00FF384B" w:rsidRDefault="003E3BA9">
            <w:pPr>
              <w:spacing w:after="0"/>
              <w:ind w:left="98"/>
            </w:pPr>
            <w:r>
              <w:rPr>
                <w:rFonts w:ascii="Arial" w:eastAsia="Arial" w:hAnsi="Arial" w:cs="Arial"/>
              </w:rPr>
              <w:t xml:space="preserve">Realizados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Ratio </w:t>
            </w:r>
          </w:p>
          <w:p w:rsidR="00FF384B" w:rsidRDefault="003E3BA9">
            <w:pPr>
              <w:spacing w:after="100"/>
              <w:jc w:val="both"/>
            </w:pPr>
            <w:r>
              <w:rPr>
                <w:rFonts w:ascii="Arial" w:eastAsia="Arial" w:hAnsi="Arial" w:cs="Arial"/>
              </w:rPr>
              <w:t xml:space="preserve">Operaciones </w:t>
            </w:r>
          </w:p>
          <w:p w:rsidR="00FF384B" w:rsidRDefault="003E3BA9">
            <w:pPr>
              <w:spacing w:after="0"/>
              <w:ind w:left="72"/>
            </w:pPr>
            <w:r>
              <w:rPr>
                <w:rFonts w:ascii="Arial" w:eastAsia="Arial" w:hAnsi="Arial" w:cs="Arial"/>
              </w:rPr>
              <w:t xml:space="preserve">Pendientes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118" w:line="240" w:lineRule="auto"/>
              <w:jc w:val="center"/>
            </w:pPr>
            <w:r>
              <w:rPr>
                <w:rFonts w:ascii="Arial" w:eastAsia="Arial" w:hAnsi="Arial" w:cs="Arial"/>
              </w:rPr>
              <w:t xml:space="preserve">Importe Pagos </w:t>
            </w:r>
          </w:p>
          <w:p w:rsidR="00FF384B" w:rsidRDefault="003E3BA9">
            <w:pPr>
              <w:spacing w:after="0"/>
              <w:ind w:left="48"/>
            </w:pPr>
            <w:r>
              <w:rPr>
                <w:rFonts w:ascii="Arial" w:eastAsia="Arial" w:hAnsi="Arial" w:cs="Arial"/>
              </w:rPr>
              <w:t xml:space="preserve">Pendientes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98"/>
            </w:pPr>
            <w:r>
              <w:rPr>
                <w:rFonts w:ascii="Arial" w:eastAsia="Arial" w:hAnsi="Arial" w:cs="Arial"/>
              </w:rPr>
              <w:t xml:space="preserve"> </w:t>
            </w:r>
          </w:p>
          <w:p w:rsidR="00FF384B" w:rsidRDefault="003E3BA9">
            <w:pPr>
              <w:spacing w:after="0"/>
              <w:ind w:right="67"/>
              <w:jc w:val="center"/>
            </w:pPr>
            <w:r>
              <w:rPr>
                <w:rFonts w:ascii="Arial" w:eastAsia="Arial" w:hAnsi="Arial" w:cs="Arial"/>
              </w:rPr>
              <w:t xml:space="preserve">PMP </w:t>
            </w:r>
          </w:p>
        </w:tc>
      </w:tr>
      <w:tr w:rsidR="00FF384B">
        <w:trPr>
          <w:trHeight w:val="1008"/>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2"/>
              <w:jc w:val="both"/>
            </w:pPr>
            <w:r>
              <w:rPr>
                <w:rFonts w:ascii="Arial" w:eastAsia="Arial" w:hAnsi="Arial" w:cs="Arial"/>
              </w:rPr>
              <w:t xml:space="preserve">Ayuntamiento </w:t>
            </w:r>
          </w:p>
          <w:p w:rsidR="00FF384B" w:rsidRDefault="003E3BA9">
            <w:pPr>
              <w:spacing w:after="0"/>
              <w:ind w:right="59"/>
              <w:jc w:val="center"/>
            </w:pPr>
            <w:r>
              <w:rPr>
                <w:rFonts w:ascii="Arial" w:eastAsia="Arial" w:hAnsi="Arial" w:cs="Arial"/>
              </w:rPr>
              <w:t xml:space="preserve">De </w:t>
            </w:r>
          </w:p>
          <w:p w:rsidR="00FF384B" w:rsidRDefault="003E3BA9">
            <w:pPr>
              <w:spacing w:after="0"/>
              <w:ind w:right="58"/>
              <w:jc w:val="center"/>
            </w:pPr>
            <w:r>
              <w:rPr>
                <w:rFonts w:ascii="Arial" w:eastAsia="Arial" w:hAnsi="Arial" w:cs="Arial"/>
              </w:rPr>
              <w:t xml:space="preserve">Candelaria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2"/>
              <w:jc w:val="center"/>
            </w:pPr>
            <w:r>
              <w:rPr>
                <w:rFonts w:ascii="Arial" w:eastAsia="Arial" w:hAnsi="Arial" w:cs="Arial"/>
              </w:rPr>
              <w:t xml:space="preserve"> </w:t>
            </w:r>
          </w:p>
          <w:p w:rsidR="00FF384B" w:rsidRDefault="003E3BA9">
            <w:pPr>
              <w:spacing w:after="0"/>
              <w:ind w:right="59"/>
              <w:jc w:val="center"/>
            </w:pPr>
            <w:r>
              <w:rPr>
                <w:rFonts w:ascii="Arial" w:eastAsia="Arial" w:hAnsi="Arial" w:cs="Arial"/>
              </w:rPr>
              <w:t xml:space="preserve">22,01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left="2"/>
            </w:pPr>
            <w:r>
              <w:rPr>
                <w:rFonts w:ascii="Arial" w:eastAsia="Arial" w:hAnsi="Arial" w:cs="Arial"/>
              </w:rPr>
              <w:t xml:space="preserve">1.837.246,10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3"/>
              <w:jc w:val="center"/>
            </w:pPr>
            <w:r>
              <w:rPr>
                <w:rFonts w:ascii="Arial" w:eastAsia="Arial" w:hAnsi="Arial" w:cs="Arial"/>
              </w:rPr>
              <w:t xml:space="preserve">20,75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left="48"/>
            </w:pPr>
            <w:r>
              <w:rPr>
                <w:rFonts w:ascii="Arial" w:eastAsia="Arial" w:hAnsi="Arial" w:cs="Arial"/>
              </w:rPr>
              <w:t xml:space="preserve">770.127,10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2"/>
              <w:jc w:val="center"/>
            </w:pPr>
            <w:r>
              <w:rPr>
                <w:rFonts w:ascii="Arial" w:eastAsia="Arial" w:hAnsi="Arial" w:cs="Arial"/>
              </w:rPr>
              <w:t xml:space="preserve">21,64 </w:t>
            </w:r>
          </w:p>
        </w:tc>
      </w:tr>
      <w:tr w:rsidR="00FF384B">
        <w:trPr>
          <w:trHeight w:val="384"/>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58"/>
            </w:pPr>
            <w:r>
              <w:rPr>
                <w:rFonts w:ascii="Arial" w:eastAsia="Arial" w:hAnsi="Arial" w:cs="Arial"/>
              </w:rPr>
              <w:t xml:space="preserve">EPELCAN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31,38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35.319,60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30,89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11.893,30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31,26 </w:t>
            </w:r>
          </w:p>
        </w:tc>
      </w:tr>
      <w:tr w:rsidR="00FF384B">
        <w:trPr>
          <w:trHeight w:val="888"/>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2" w:line="238" w:lineRule="auto"/>
              <w:ind w:left="13" w:right="11"/>
              <w:jc w:val="center"/>
            </w:pPr>
            <w:r>
              <w:rPr>
                <w:rFonts w:ascii="Arial" w:eastAsia="Arial" w:hAnsi="Arial" w:cs="Arial"/>
              </w:rPr>
              <w:t xml:space="preserve">VIVIENDAS Y </w:t>
            </w:r>
          </w:p>
          <w:p w:rsidR="00FF384B" w:rsidRDefault="003E3BA9">
            <w:pPr>
              <w:spacing w:after="0"/>
              <w:ind w:left="74"/>
            </w:pPr>
            <w:r>
              <w:rPr>
                <w:rFonts w:ascii="Arial" w:eastAsia="Arial" w:hAnsi="Arial" w:cs="Arial"/>
              </w:rPr>
              <w:t xml:space="preserve">SERVICIOS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2"/>
              <w:jc w:val="center"/>
            </w:pPr>
            <w:r>
              <w:rPr>
                <w:rFonts w:ascii="Arial" w:eastAsia="Arial" w:hAnsi="Arial" w:cs="Arial"/>
              </w:rPr>
              <w:t xml:space="preserve"> </w:t>
            </w:r>
          </w:p>
          <w:p w:rsidR="00FF384B" w:rsidRDefault="003E3BA9">
            <w:pPr>
              <w:spacing w:after="0"/>
              <w:ind w:right="59"/>
              <w:jc w:val="center"/>
            </w:pPr>
            <w:r>
              <w:rPr>
                <w:rFonts w:ascii="Arial" w:eastAsia="Arial" w:hAnsi="Arial" w:cs="Arial"/>
              </w:rPr>
              <w:t xml:space="preserve">25,36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1"/>
              <w:jc w:val="center"/>
            </w:pPr>
            <w:r>
              <w:rPr>
                <w:rFonts w:ascii="Arial" w:eastAsia="Arial" w:hAnsi="Arial" w:cs="Arial"/>
              </w:rPr>
              <w:t xml:space="preserve">10.692,71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11,61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3"/>
              <w:jc w:val="center"/>
            </w:pPr>
            <w:r>
              <w:rPr>
                <w:rFonts w:ascii="Arial" w:eastAsia="Arial" w:hAnsi="Arial" w:cs="Arial"/>
              </w:rPr>
              <w:t xml:space="preserve">12.112,82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2"/>
              <w:jc w:val="center"/>
            </w:pPr>
            <w:r>
              <w:rPr>
                <w:rFonts w:ascii="Arial" w:eastAsia="Arial" w:hAnsi="Arial" w:cs="Arial"/>
              </w:rPr>
              <w:t xml:space="preserve"> </w:t>
            </w:r>
          </w:p>
          <w:p w:rsidR="00FF384B" w:rsidRDefault="003E3BA9">
            <w:pPr>
              <w:spacing w:after="0"/>
              <w:ind w:right="63"/>
              <w:jc w:val="center"/>
            </w:pPr>
            <w:r>
              <w:rPr>
                <w:rFonts w:ascii="Arial" w:eastAsia="Arial" w:hAnsi="Arial" w:cs="Arial"/>
              </w:rPr>
              <w:t xml:space="preserve">18,06 </w:t>
            </w:r>
          </w:p>
        </w:tc>
      </w:tr>
      <w:tr w:rsidR="00FF384B">
        <w:trPr>
          <w:trHeight w:val="384"/>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7"/>
            </w:pPr>
            <w:r>
              <w:rPr>
                <w:rFonts w:ascii="Arial" w:eastAsia="Arial" w:hAnsi="Arial" w:cs="Arial"/>
              </w:rPr>
              <w:t xml:space="preserve">CANDESOL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12,28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11.847,34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center"/>
            </w:pPr>
            <w:r>
              <w:rPr>
                <w:rFonts w:ascii="Arial" w:eastAsia="Arial" w:hAnsi="Arial" w:cs="Arial"/>
              </w:rP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0,00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12,28 </w:t>
            </w:r>
          </w:p>
        </w:tc>
      </w:tr>
      <w:tr w:rsidR="00FF384B">
        <w:trPr>
          <w:trHeight w:val="382"/>
        </w:trPr>
        <w:tc>
          <w:tcPr>
            <w:tcW w:w="15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2"/>
            </w:pPr>
            <w:r>
              <w:rPr>
                <w:rFonts w:ascii="Arial" w:eastAsia="Arial" w:hAnsi="Arial" w:cs="Arial"/>
                <w:b/>
              </w:rPr>
              <w:t xml:space="preserve">PMP Global </w:t>
            </w:r>
          </w:p>
        </w:tc>
        <w:tc>
          <w:tcPr>
            <w:tcW w:w="146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1.895.105,75 </w:t>
            </w:r>
          </w:p>
        </w:tc>
        <w:tc>
          <w:tcPr>
            <w:tcW w:w="146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794.133,22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21,74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b/>
        </w:rPr>
        <w:t>Segundo</w:t>
      </w:r>
      <w:r>
        <w:rPr>
          <w:rFonts w:ascii="Arial" w:eastAsia="Arial" w:hAnsi="Arial" w:cs="Arial"/>
        </w:rPr>
        <w:t>: Dar traslado de dicho acuerdo al Ministerio de Hacienda y Función Pública, a través de la plataforma telemática que habilita el propio Ministerio.</w:t>
      </w:r>
      <w:r>
        <w:rPr>
          <w:rFonts w:ascii="Arial" w:eastAsia="Arial" w:hAnsi="Arial" w:cs="Arial"/>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b/>
        </w:rPr>
        <w:t>Tercero</w:t>
      </w:r>
      <w:r>
        <w:rPr>
          <w:rFonts w:ascii="Arial" w:eastAsia="Arial" w:hAnsi="Arial" w:cs="Arial"/>
        </w:rPr>
        <w:t>: Publicar en el portal web del Ayuntamiento de Candelaria, el Periodo Medio de Pago del Primer T</w:t>
      </w:r>
      <w:r>
        <w:rPr>
          <w:rFonts w:ascii="Arial" w:eastAsia="Arial" w:hAnsi="Arial" w:cs="Arial"/>
        </w:rPr>
        <w:t xml:space="preserve">rimestre del ejercicio 2021, en cumplimiento el Real Decreto 1040/2017, de 22 de diciembre.” </w:t>
      </w:r>
    </w:p>
    <w:p w:rsidR="00FF384B" w:rsidRDefault="003E3BA9">
      <w:pPr>
        <w:spacing w:after="15" w:line="247" w:lineRule="auto"/>
        <w:ind w:left="286" w:hanging="3"/>
        <w:jc w:val="both"/>
      </w:pPr>
      <w:r>
        <w:rPr>
          <w:rFonts w:ascii="Arial" w:eastAsia="Arial" w:hAnsi="Arial" w:cs="Arial"/>
          <w:b/>
        </w:rPr>
        <w:t xml:space="preserve">DICTAMEN FAVORABLE DE LA COMISIÓN INFORMATIVA DE HACIENDA, RECURSOS HUMANOS Y SERVICIOS GENERALES DE 26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Los 7 concejales presentes tomaron c</w:t>
      </w:r>
      <w:r>
        <w:rPr>
          <w:rFonts w:ascii="Arial" w:eastAsia="Arial" w:hAnsi="Arial" w:cs="Arial"/>
        </w:rPr>
        <w:t xml:space="preserve">onocimiento: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4 concejales del Grupo Socialista: Don Airam Pérez Chinea, Don José Francisco Pinto Ramos, Don Olegario Francisco Alonso Bello y Don Jorge Baute Delgado. </w:t>
      </w:r>
    </w:p>
    <w:p w:rsidR="00FF384B" w:rsidRDefault="003E3BA9">
      <w:pPr>
        <w:spacing w:after="0"/>
        <w:ind w:left="283"/>
      </w:pPr>
      <w:r>
        <w:rPr>
          <w:rFonts w:ascii="Arial" w:eastAsia="Arial" w:hAnsi="Arial" w:cs="Arial"/>
        </w:rPr>
        <w:t xml:space="preserve"> </w:t>
      </w:r>
    </w:p>
    <w:p w:rsidR="00FF384B" w:rsidRDefault="003E3BA9">
      <w:pPr>
        <w:numPr>
          <w:ilvl w:val="0"/>
          <w:numId w:val="3"/>
        </w:numPr>
        <w:spacing w:after="5" w:line="247" w:lineRule="auto"/>
        <w:ind w:right="244" w:hanging="184"/>
        <w:jc w:val="both"/>
      </w:pPr>
      <w:r>
        <w:rPr>
          <w:rFonts w:ascii="Arial" w:eastAsia="Arial" w:hAnsi="Arial" w:cs="Arial"/>
        </w:rPr>
        <w:t xml:space="preserve">de la concejal del Grupo Popular, Doña Raquel Martín Castro. </w:t>
      </w:r>
    </w:p>
    <w:p w:rsidR="00FF384B" w:rsidRDefault="003E3BA9">
      <w:pPr>
        <w:spacing w:after="0"/>
        <w:ind w:left="283"/>
      </w:pPr>
      <w:r>
        <w:rPr>
          <w:rFonts w:ascii="Arial" w:eastAsia="Arial" w:hAnsi="Arial" w:cs="Arial"/>
        </w:rPr>
        <w:t xml:space="preserve"> </w:t>
      </w:r>
    </w:p>
    <w:p w:rsidR="00FF384B" w:rsidRDefault="003E3BA9">
      <w:pPr>
        <w:numPr>
          <w:ilvl w:val="0"/>
          <w:numId w:val="3"/>
        </w:numPr>
        <w:spacing w:after="5" w:line="247" w:lineRule="auto"/>
        <w:ind w:right="244" w:hanging="184"/>
        <w:jc w:val="both"/>
      </w:pPr>
      <w:r>
        <w:rPr>
          <w:rFonts w:ascii="Arial" w:eastAsia="Arial" w:hAnsi="Arial" w:cs="Arial"/>
        </w:rPr>
        <w:t>de los concejales d</w:t>
      </w:r>
      <w:r>
        <w:rPr>
          <w:rFonts w:ascii="Arial" w:eastAsia="Arial" w:hAnsi="Arial" w:cs="Arial"/>
        </w:rPr>
        <w:t xml:space="preserve">el Grupo Mixto: Lourdes del Carmen Mondéjar Rondón y Doña Ángela Cruz Perera.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JUNTA DE PORTAVOCES DE 26 DE ABRIL DE 2021.  </w:t>
      </w:r>
    </w:p>
    <w:p w:rsidR="00FF384B" w:rsidRDefault="003E3BA9">
      <w:pPr>
        <w:spacing w:after="5" w:line="247" w:lineRule="auto"/>
        <w:ind w:left="278" w:right="244" w:hanging="10"/>
        <w:jc w:val="both"/>
      </w:pPr>
      <w:r>
        <w:rPr>
          <w:rFonts w:ascii="Arial" w:eastAsia="Arial" w:hAnsi="Arial" w:cs="Arial"/>
        </w:rPr>
        <w:t xml:space="preserve">Quedó oída.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TOMA DE CONOCIMIENTO EN EL PLENO DE 29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1001" w:right="244" w:hanging="10"/>
        <w:jc w:val="both"/>
      </w:pPr>
      <w:r>
        <w:rPr>
          <w:rFonts w:ascii="Arial" w:eastAsia="Arial" w:hAnsi="Arial" w:cs="Arial"/>
        </w:rPr>
        <w:t xml:space="preserve">Los siguientes 17 concejales presentes tomaron conocimiento: </w:t>
      </w:r>
    </w:p>
    <w:p w:rsidR="00FF384B" w:rsidRDefault="003E3BA9">
      <w:pPr>
        <w:spacing w:after="0"/>
        <w:ind w:left="283"/>
      </w:pPr>
      <w:r>
        <w:rPr>
          <w:rFonts w:ascii="Arial" w:eastAsia="Arial" w:hAnsi="Arial" w:cs="Arial"/>
        </w:rPr>
        <w:t xml:space="preserve"> </w:t>
      </w:r>
    </w:p>
    <w:p w:rsidR="00FF384B" w:rsidRDefault="003E3BA9">
      <w:pPr>
        <w:spacing w:after="112" w:line="247" w:lineRule="auto"/>
        <w:ind w:left="268" w:right="244" w:firstLine="708"/>
        <w:jc w:val="both"/>
      </w:pPr>
      <w:r>
        <w:rPr>
          <w:noProof/>
        </w:rPr>
        <mc:AlternateContent>
          <mc:Choice Requires="wpg">
            <w:drawing>
              <wp:anchor distT="0" distB="0" distL="114300" distR="114300" simplePos="0" relativeHeight="2516705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297" name="Group 46029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07" name="Picture 2207"/>
                          <pic:cNvPicPr/>
                        </pic:nvPicPr>
                        <pic:blipFill>
                          <a:blip r:embed="rId62"/>
                          <a:stretch>
                            <a:fillRect/>
                          </a:stretch>
                        </pic:blipFill>
                        <pic:spPr>
                          <a:xfrm rot="-5399999">
                            <a:off x="-1720849" y="1720849"/>
                            <a:ext cx="3797300" cy="355601"/>
                          </a:xfrm>
                          <a:prstGeom prst="rect">
                            <a:avLst/>
                          </a:prstGeom>
                        </pic:spPr>
                      </pic:pic>
                      <wps:wsp>
                        <wps:cNvPr id="2208" name="Rectangle 220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09" name="Rectangle 2209"/>
                        <wps:cNvSpPr/>
                        <wps:spPr>
                          <a:xfrm rot="-5399999">
                            <a:off x="-1703831" y="1541226"/>
                            <a:ext cx="4398923"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 de </w:t>
                              </w:r>
                              <w:r>
                                <w:rPr>
                                  <w:rFonts w:ascii="Arial" w:eastAsia="Arial" w:hAnsi="Arial" w:cs="Arial"/>
                                  <w:sz w:val="12"/>
                                </w:rPr>
                                <w:t xml:space="preserve">353 </w:t>
                              </w:r>
                            </w:p>
                          </w:txbxContent>
                        </wps:txbx>
                        <wps:bodyPr horzOverflow="overflow" vert="horz" lIns="0" tIns="0" rIns="0" bIns="0" rtlCol="0">
                          <a:noAutofit/>
                        </wps:bodyPr>
                      </wps:wsp>
                    </wpg:wgp>
                  </a:graphicData>
                </a:graphic>
              </wp:anchor>
            </w:drawing>
          </mc:Choice>
          <mc:Fallback xmlns:a="http://schemas.openxmlformats.org/drawingml/2006/main">
            <w:pict>
              <v:group id="Group 460297" style="width:41.2715pt;height:299pt;position:absolute;mso-position-horizontal-relative:page;mso-position-horizontal:absolute;margin-left:653.71pt;mso-position-vertical-relative:page;margin-top:512.92pt;" coordsize="5241,37973">
                <v:shape id="Picture 2207" style="position:absolute;width:37973;height:3556;left:-17208;top:17208;rotation:-89;" filled="f">
                  <v:imagedata r:id="rId63"/>
                </v:shape>
                <v:rect id="Rectangle 220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09" style="position:absolute;width:43989;height:1132;left:-17038;top:1541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353 </w:t>
                        </w:r>
                      </w:p>
                    </w:txbxContent>
                  </v:textbox>
                </v:rect>
                <w10:wrap type="square"/>
              </v:group>
            </w:pict>
          </mc:Fallback>
        </mc:AlternateContent>
      </w:r>
      <w:r>
        <w:rPr>
          <w:rFonts w:ascii="Arial" w:eastAsia="Arial" w:hAnsi="Arial" w:cs="Arial"/>
        </w:rPr>
        <w:t xml:space="preserve">11 concejales del Grupo Socialista: Doña María Concepción Brito Núñez, Don Jorge Baute Delgado, Doña Olivia Concepción Pérez Díaz, Don José Francisco Pinto Ramos, Doña Hilaria Cecilia Otazo González, Don Airam Pérez Chinea, Doña Margarita Eva Tendero </w:t>
      </w:r>
      <w:r>
        <w:rPr>
          <w:rFonts w:ascii="Arial" w:eastAsia="Arial" w:hAnsi="Arial" w:cs="Arial"/>
        </w:rPr>
        <w:t xml:space="preserve">Barroso, Don Manuel Alberto González Pestano, Doña María del Carmen Clemente Díaz, Don Olegario Francisco Alonso Bello y Don Reinaldo José Triviño Blanco. </w:t>
      </w:r>
    </w:p>
    <w:p w:rsidR="00FF384B" w:rsidRDefault="003E3BA9">
      <w:pPr>
        <w:numPr>
          <w:ilvl w:val="0"/>
          <w:numId w:val="3"/>
        </w:numPr>
        <w:spacing w:after="112" w:line="247" w:lineRule="auto"/>
        <w:ind w:right="244" w:hanging="184"/>
        <w:jc w:val="both"/>
      </w:pPr>
      <w:r>
        <w:rPr>
          <w:rFonts w:ascii="Arial" w:eastAsia="Arial" w:hAnsi="Arial" w:cs="Arial"/>
        </w:rPr>
        <w:t>concejales del Grupo Popular: Don Andrés Rodríguez Delgado, Don Jacobo López Fariña y Doña Raquel Ma</w:t>
      </w:r>
      <w:r>
        <w:rPr>
          <w:rFonts w:ascii="Arial" w:eastAsia="Arial" w:hAnsi="Arial" w:cs="Arial"/>
        </w:rPr>
        <w:t xml:space="preserve">rtín Castro. </w:t>
      </w:r>
    </w:p>
    <w:p w:rsidR="00FF384B" w:rsidRDefault="003E3BA9">
      <w:pPr>
        <w:spacing w:after="112" w:line="247" w:lineRule="auto"/>
        <w:ind w:left="268" w:right="244" w:firstLine="708"/>
        <w:jc w:val="both"/>
      </w:pPr>
      <w:r>
        <w:rPr>
          <w:rFonts w:ascii="Arial" w:eastAsia="Arial" w:hAnsi="Arial" w:cs="Arial"/>
        </w:rPr>
        <w:t xml:space="preserve">3 concejales del Grupo Mixto: Don Antonio Delgado García y Lourdes del Carmen Mondéjar Rondón (SSP) y Doña Ángela Cruz Perera (CC-PNC).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pStyle w:val="Ttulo1"/>
        <w:spacing w:after="103"/>
        <w:ind w:left="767" w:right="1131"/>
      </w:pPr>
      <w:r>
        <w:t xml:space="preserve">ACUERDO DEL PLENO </w:t>
      </w:r>
    </w:p>
    <w:p w:rsidR="00FF384B" w:rsidRDefault="003E3BA9">
      <w:pPr>
        <w:spacing w:after="114" w:line="247" w:lineRule="auto"/>
        <w:ind w:left="283" w:right="251" w:firstLine="708"/>
        <w:jc w:val="both"/>
      </w:pPr>
      <w:r>
        <w:rPr>
          <w:rFonts w:ascii="Arial" w:eastAsia="Arial" w:hAnsi="Arial" w:cs="Arial"/>
          <w:b/>
        </w:rPr>
        <w:t xml:space="preserve">Primero: Dar cuenta al Pleno del Periodo Medio de Pago previsto en el Real Decreto 1040/2017, de 22 de diciembre, por el que se desarrolla la Metodología de cálculo del Periodo Medio de Pago a proveedores de las Administraciones Públicas y las condiciones </w:t>
      </w:r>
      <w:r>
        <w:rPr>
          <w:rFonts w:ascii="Arial" w:eastAsia="Arial" w:hAnsi="Arial" w:cs="Arial"/>
          <w:b/>
        </w:rPr>
        <w:t>y el procedimiento de retención de recursos de los regímenes de financiación previstos en la Ley Orgánica 2/2012 de 27 de abril, de Estabilidad Presupuestaria y Sostenibilidad Financiera, correspondiente al Primer Trimestre del año 2021, que presenta el si</w:t>
      </w:r>
      <w:r>
        <w:rPr>
          <w:rFonts w:ascii="Arial" w:eastAsia="Arial" w:hAnsi="Arial" w:cs="Arial"/>
          <w:b/>
        </w:rPr>
        <w:t>guiente detalle:</w:t>
      </w: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tbl>
      <w:tblPr>
        <w:tblStyle w:val="TableGrid"/>
        <w:tblW w:w="9107" w:type="dxa"/>
        <w:tblInd w:w="288" w:type="dxa"/>
        <w:tblCellMar>
          <w:top w:w="7" w:type="dxa"/>
          <w:left w:w="108" w:type="dxa"/>
          <w:bottom w:w="0" w:type="dxa"/>
          <w:right w:w="47" w:type="dxa"/>
        </w:tblCellMar>
        <w:tblLook w:val="04A0" w:firstRow="1" w:lastRow="0" w:firstColumn="1" w:lastColumn="0" w:noHBand="0" w:noVBand="1"/>
      </w:tblPr>
      <w:tblGrid>
        <w:gridCol w:w="1675"/>
        <w:gridCol w:w="1549"/>
        <w:gridCol w:w="1502"/>
        <w:gridCol w:w="1548"/>
        <w:gridCol w:w="1417"/>
        <w:gridCol w:w="1416"/>
      </w:tblGrid>
      <w:tr w:rsidR="00FF384B">
        <w:trPr>
          <w:trHeight w:val="1382"/>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100"/>
              <w:jc w:val="center"/>
            </w:pPr>
            <w:r>
              <w:rPr>
                <w:rFonts w:ascii="Arial" w:eastAsia="Arial" w:hAnsi="Arial" w:cs="Arial"/>
                <w:b/>
              </w:rPr>
              <w:t xml:space="preserve"> </w:t>
            </w:r>
          </w:p>
          <w:p w:rsidR="00FF384B" w:rsidRDefault="003E3BA9">
            <w:pPr>
              <w:spacing w:after="0"/>
              <w:ind w:right="59"/>
              <w:jc w:val="center"/>
            </w:pPr>
            <w:r>
              <w:rPr>
                <w:rFonts w:ascii="Arial" w:eastAsia="Arial" w:hAnsi="Arial" w:cs="Arial"/>
                <w:b/>
              </w:rPr>
              <w:t xml:space="preserve">Entidad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59"/>
              <w:jc w:val="center"/>
            </w:pPr>
            <w:r>
              <w:rPr>
                <w:rFonts w:ascii="Arial" w:eastAsia="Arial" w:hAnsi="Arial" w:cs="Arial"/>
                <w:b/>
              </w:rPr>
              <w:t xml:space="preserve">Ratio </w:t>
            </w:r>
          </w:p>
          <w:p w:rsidR="00FF384B" w:rsidRDefault="003E3BA9">
            <w:pPr>
              <w:spacing w:after="98"/>
              <w:jc w:val="both"/>
            </w:pPr>
            <w:r>
              <w:rPr>
                <w:rFonts w:ascii="Arial" w:eastAsia="Arial" w:hAnsi="Arial" w:cs="Arial"/>
                <w:b/>
              </w:rPr>
              <w:t xml:space="preserve">Operaciones </w:t>
            </w:r>
          </w:p>
          <w:p w:rsidR="00FF384B" w:rsidRDefault="003E3BA9">
            <w:pPr>
              <w:spacing w:after="0"/>
              <w:ind w:right="61"/>
              <w:jc w:val="center"/>
            </w:pPr>
            <w:r>
              <w:rPr>
                <w:rFonts w:ascii="Arial" w:eastAsia="Arial" w:hAnsi="Arial" w:cs="Arial"/>
                <w:b/>
              </w:rPr>
              <w:t xml:space="preserve">Pagadas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5"/>
              <w:jc w:val="center"/>
            </w:pPr>
            <w:r>
              <w:rPr>
                <w:rFonts w:ascii="Arial" w:eastAsia="Arial" w:hAnsi="Arial" w:cs="Arial"/>
                <w:b/>
              </w:rPr>
              <w:t xml:space="preserve"> </w:t>
            </w:r>
          </w:p>
          <w:p w:rsidR="00FF384B" w:rsidRDefault="003E3BA9">
            <w:pPr>
              <w:spacing w:after="122" w:line="238" w:lineRule="auto"/>
              <w:jc w:val="center"/>
            </w:pPr>
            <w:r>
              <w:rPr>
                <w:rFonts w:ascii="Arial" w:eastAsia="Arial" w:hAnsi="Arial" w:cs="Arial"/>
                <w:b/>
              </w:rPr>
              <w:t xml:space="preserve">Importe Pagos </w:t>
            </w:r>
          </w:p>
          <w:p w:rsidR="00FF384B" w:rsidRDefault="003E3BA9">
            <w:pPr>
              <w:spacing w:after="0"/>
              <w:ind w:left="67"/>
            </w:pPr>
            <w:r>
              <w:rPr>
                <w:rFonts w:ascii="Arial" w:eastAsia="Arial" w:hAnsi="Arial" w:cs="Arial"/>
                <w:b/>
              </w:rPr>
              <w:t xml:space="preserve">Realizados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Ratio </w:t>
            </w:r>
          </w:p>
          <w:p w:rsidR="00FF384B" w:rsidRDefault="003E3BA9">
            <w:pPr>
              <w:spacing w:after="98"/>
              <w:jc w:val="both"/>
            </w:pPr>
            <w:r>
              <w:rPr>
                <w:rFonts w:ascii="Arial" w:eastAsia="Arial" w:hAnsi="Arial" w:cs="Arial"/>
                <w:b/>
              </w:rPr>
              <w:t xml:space="preserve">Operaciones </w:t>
            </w:r>
          </w:p>
          <w:p w:rsidR="00FF384B" w:rsidRDefault="003E3BA9">
            <w:pPr>
              <w:spacing w:after="0"/>
              <w:ind w:left="79"/>
            </w:pPr>
            <w:r>
              <w:rPr>
                <w:rFonts w:ascii="Arial" w:eastAsia="Arial" w:hAnsi="Arial" w:cs="Arial"/>
                <w:b/>
              </w:rPr>
              <w:t xml:space="preserve">Pendientes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b/>
              </w:rPr>
              <w:t xml:space="preserve"> </w:t>
            </w:r>
          </w:p>
          <w:p w:rsidR="00FF384B" w:rsidRDefault="003E3BA9">
            <w:pPr>
              <w:spacing w:after="122" w:line="238" w:lineRule="auto"/>
              <w:jc w:val="center"/>
            </w:pPr>
            <w:r>
              <w:rPr>
                <w:rFonts w:ascii="Arial" w:eastAsia="Arial" w:hAnsi="Arial" w:cs="Arial"/>
                <w:b/>
              </w:rPr>
              <w:t xml:space="preserve">Importe Pagos </w:t>
            </w:r>
          </w:p>
          <w:p w:rsidR="00FF384B" w:rsidRDefault="003E3BA9">
            <w:pPr>
              <w:spacing w:after="0"/>
              <w:ind w:left="12"/>
            </w:pPr>
            <w:r>
              <w:rPr>
                <w:rFonts w:ascii="Arial" w:eastAsia="Arial" w:hAnsi="Arial" w:cs="Arial"/>
                <w:b/>
              </w:rPr>
              <w:t xml:space="preserve">Pendientes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b/>
              </w:rPr>
              <w:t xml:space="preserve"> </w:t>
            </w:r>
          </w:p>
          <w:p w:rsidR="00FF384B" w:rsidRDefault="003E3BA9">
            <w:pPr>
              <w:spacing w:after="0"/>
              <w:ind w:right="63"/>
              <w:jc w:val="center"/>
            </w:pPr>
            <w:r>
              <w:rPr>
                <w:rFonts w:ascii="Arial" w:eastAsia="Arial" w:hAnsi="Arial" w:cs="Arial"/>
                <w:b/>
              </w:rPr>
              <w:t xml:space="preserve">PMP </w:t>
            </w:r>
          </w:p>
        </w:tc>
      </w:tr>
      <w:tr w:rsidR="00FF384B">
        <w:trPr>
          <w:trHeight w:val="1008"/>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100"/>
              <w:jc w:val="both"/>
            </w:pPr>
            <w:r>
              <w:rPr>
                <w:rFonts w:ascii="Arial" w:eastAsia="Arial" w:hAnsi="Arial" w:cs="Arial"/>
                <w:b/>
              </w:rPr>
              <w:t xml:space="preserve">Ayuntamiento </w:t>
            </w:r>
          </w:p>
          <w:p w:rsidR="00FF384B" w:rsidRDefault="003E3BA9">
            <w:pPr>
              <w:spacing w:after="0"/>
              <w:ind w:right="64"/>
              <w:jc w:val="center"/>
            </w:pPr>
            <w:r>
              <w:rPr>
                <w:rFonts w:ascii="Arial" w:eastAsia="Arial" w:hAnsi="Arial" w:cs="Arial"/>
                <w:b/>
              </w:rPr>
              <w:t xml:space="preserve">De </w:t>
            </w:r>
          </w:p>
          <w:p w:rsidR="00FF384B" w:rsidRDefault="003E3BA9">
            <w:pPr>
              <w:spacing w:after="0"/>
              <w:ind w:right="61"/>
              <w:jc w:val="center"/>
            </w:pPr>
            <w:r>
              <w:rPr>
                <w:rFonts w:ascii="Arial" w:eastAsia="Arial" w:hAnsi="Arial" w:cs="Arial"/>
                <w:b/>
              </w:rPr>
              <w:t xml:space="preserve">Candelaria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b/>
              </w:rPr>
              <w:t xml:space="preserve"> </w:t>
            </w:r>
          </w:p>
          <w:p w:rsidR="00FF384B" w:rsidRDefault="003E3BA9">
            <w:pPr>
              <w:spacing w:after="0"/>
              <w:ind w:right="59"/>
              <w:jc w:val="center"/>
            </w:pPr>
            <w:r>
              <w:rPr>
                <w:rFonts w:ascii="Arial" w:eastAsia="Arial" w:hAnsi="Arial" w:cs="Arial"/>
                <w:b/>
              </w:rPr>
              <w:t xml:space="preserve">22,01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5"/>
              <w:jc w:val="center"/>
            </w:pPr>
            <w:r>
              <w:rPr>
                <w:rFonts w:ascii="Arial" w:eastAsia="Arial" w:hAnsi="Arial" w:cs="Arial"/>
                <w:b/>
              </w:rPr>
              <w:t xml:space="preserve"> </w:t>
            </w:r>
          </w:p>
          <w:p w:rsidR="00FF384B" w:rsidRDefault="003E3BA9">
            <w:pPr>
              <w:spacing w:after="0"/>
            </w:pPr>
            <w:r>
              <w:rPr>
                <w:rFonts w:ascii="Arial" w:eastAsia="Arial" w:hAnsi="Arial" w:cs="Arial"/>
                <w:b/>
              </w:rPr>
              <w:t xml:space="preserve">1.837.246,10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b/>
              </w:rPr>
              <w:t xml:space="preserve"> </w:t>
            </w:r>
          </w:p>
          <w:p w:rsidR="00FF384B" w:rsidRDefault="003E3BA9">
            <w:pPr>
              <w:spacing w:after="0"/>
              <w:ind w:right="58"/>
              <w:jc w:val="center"/>
            </w:pPr>
            <w:r>
              <w:rPr>
                <w:rFonts w:ascii="Arial" w:eastAsia="Arial" w:hAnsi="Arial" w:cs="Arial"/>
                <w:b/>
              </w:rPr>
              <w:t xml:space="preserve">20,75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b/>
              </w:rPr>
              <w:t xml:space="preserve"> </w:t>
            </w:r>
          </w:p>
          <w:p w:rsidR="00FF384B" w:rsidRDefault="003E3BA9">
            <w:pPr>
              <w:spacing w:after="0"/>
              <w:ind w:left="48"/>
            </w:pPr>
            <w:r>
              <w:rPr>
                <w:rFonts w:ascii="Arial" w:eastAsia="Arial" w:hAnsi="Arial" w:cs="Arial"/>
                <w:b/>
              </w:rPr>
              <w:t xml:space="preserve">770.127,10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100"/>
              <w:jc w:val="center"/>
            </w:pPr>
            <w:r>
              <w:rPr>
                <w:rFonts w:ascii="Arial" w:eastAsia="Arial" w:hAnsi="Arial" w:cs="Arial"/>
                <w:b/>
              </w:rPr>
              <w:t xml:space="preserve"> </w:t>
            </w:r>
          </w:p>
          <w:p w:rsidR="00FF384B" w:rsidRDefault="003E3BA9">
            <w:pPr>
              <w:spacing w:after="0"/>
              <w:ind w:right="61"/>
              <w:jc w:val="center"/>
            </w:pPr>
            <w:r>
              <w:rPr>
                <w:rFonts w:ascii="Arial" w:eastAsia="Arial" w:hAnsi="Arial" w:cs="Arial"/>
                <w:b/>
              </w:rPr>
              <w:t xml:space="preserve">21,64 </w:t>
            </w:r>
          </w:p>
        </w:tc>
      </w:tr>
      <w:tr w:rsidR="00FF384B">
        <w:trPr>
          <w:trHeight w:val="384"/>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EPELCAN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b/>
              </w:rPr>
              <w:t xml:space="preserve">31,38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b/>
              </w:rPr>
              <w:t xml:space="preserve">35.319,60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b/>
              </w:rPr>
              <w:t xml:space="preserve">30,89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11.893,30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b/>
              </w:rPr>
              <w:t xml:space="preserve">31,26 </w:t>
            </w:r>
          </w:p>
        </w:tc>
      </w:tr>
      <w:tr w:rsidR="00FF384B">
        <w:trPr>
          <w:trHeight w:val="756"/>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rPr>
              <w:t xml:space="preserve">VIVIENDAS Y SERVICIOS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b/>
              </w:rPr>
              <w:t xml:space="preserve"> </w:t>
            </w:r>
          </w:p>
          <w:p w:rsidR="00FF384B" w:rsidRDefault="003E3BA9">
            <w:pPr>
              <w:spacing w:after="0"/>
              <w:ind w:right="59"/>
              <w:jc w:val="center"/>
            </w:pPr>
            <w:r>
              <w:rPr>
                <w:rFonts w:ascii="Arial" w:eastAsia="Arial" w:hAnsi="Arial" w:cs="Arial"/>
                <w:b/>
              </w:rPr>
              <w:t xml:space="preserve">25,36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5"/>
              <w:jc w:val="center"/>
            </w:pPr>
            <w:r>
              <w:rPr>
                <w:rFonts w:ascii="Arial" w:eastAsia="Arial" w:hAnsi="Arial" w:cs="Arial"/>
                <w:b/>
              </w:rPr>
              <w:t xml:space="preserve"> </w:t>
            </w:r>
          </w:p>
          <w:p w:rsidR="00FF384B" w:rsidRDefault="003E3BA9">
            <w:pPr>
              <w:spacing w:after="0"/>
              <w:ind w:right="64"/>
              <w:jc w:val="center"/>
            </w:pPr>
            <w:r>
              <w:rPr>
                <w:rFonts w:ascii="Arial" w:eastAsia="Arial" w:hAnsi="Arial" w:cs="Arial"/>
                <w:b/>
              </w:rPr>
              <w:t xml:space="preserve">10.692,71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b/>
              </w:rPr>
              <w:t xml:space="preserve"> </w:t>
            </w:r>
          </w:p>
          <w:p w:rsidR="00FF384B" w:rsidRDefault="003E3BA9">
            <w:pPr>
              <w:spacing w:after="0"/>
              <w:ind w:right="61"/>
              <w:jc w:val="center"/>
            </w:pPr>
            <w:r>
              <w:rPr>
                <w:rFonts w:ascii="Arial" w:eastAsia="Arial" w:hAnsi="Arial" w:cs="Arial"/>
                <w:b/>
              </w:rPr>
              <w:t xml:space="preserve">11,61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b/>
              </w:rPr>
              <w:t xml:space="preserve"> </w:t>
            </w:r>
          </w:p>
          <w:p w:rsidR="00FF384B" w:rsidRDefault="003E3BA9">
            <w:pPr>
              <w:spacing w:after="0"/>
              <w:ind w:right="61"/>
              <w:jc w:val="center"/>
            </w:pPr>
            <w:r>
              <w:rPr>
                <w:rFonts w:ascii="Arial" w:eastAsia="Arial" w:hAnsi="Arial" w:cs="Arial"/>
                <w:b/>
              </w:rPr>
              <w:t xml:space="preserve">12.112,82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100"/>
              <w:jc w:val="center"/>
            </w:pPr>
            <w:r>
              <w:rPr>
                <w:rFonts w:ascii="Arial" w:eastAsia="Arial" w:hAnsi="Arial" w:cs="Arial"/>
                <w:b/>
              </w:rPr>
              <w:t xml:space="preserve"> </w:t>
            </w:r>
          </w:p>
          <w:p w:rsidR="00FF384B" w:rsidRDefault="003E3BA9">
            <w:pPr>
              <w:spacing w:after="0"/>
              <w:ind w:right="61"/>
              <w:jc w:val="center"/>
            </w:pPr>
            <w:r>
              <w:rPr>
                <w:rFonts w:ascii="Arial" w:eastAsia="Arial" w:hAnsi="Arial" w:cs="Arial"/>
                <w:b/>
              </w:rPr>
              <w:t xml:space="preserve">18,06 </w:t>
            </w:r>
          </w:p>
        </w:tc>
      </w:tr>
      <w:tr w:rsidR="00FF384B">
        <w:trPr>
          <w:trHeight w:val="384"/>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3"/>
            </w:pPr>
            <w:r>
              <w:rPr>
                <w:rFonts w:ascii="Arial" w:eastAsia="Arial" w:hAnsi="Arial" w:cs="Arial"/>
                <w:b/>
              </w:rPr>
              <w:t xml:space="preserve">CANDESOL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b/>
              </w:rPr>
              <w:t xml:space="preserve">12,28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b/>
              </w:rPr>
              <w:t xml:space="preserve">11.847,34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b/>
              </w:rP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7"/>
              <w:jc w:val="center"/>
            </w:pPr>
            <w:r>
              <w:rPr>
                <w:rFonts w:ascii="Arial" w:eastAsia="Arial" w:hAnsi="Arial" w:cs="Arial"/>
                <w:b/>
              </w:rPr>
              <w:t xml:space="preserve">0,00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b/>
              </w:rPr>
              <w:t xml:space="preserve">12,28 </w:t>
            </w:r>
          </w:p>
        </w:tc>
      </w:tr>
      <w:tr w:rsidR="00FF384B">
        <w:trPr>
          <w:trHeight w:val="384"/>
        </w:trPr>
        <w:tc>
          <w:tcPr>
            <w:tcW w:w="16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20"/>
            </w:pPr>
            <w:r>
              <w:rPr>
                <w:rFonts w:ascii="Arial" w:eastAsia="Arial" w:hAnsi="Arial" w:cs="Arial"/>
                <w:b/>
              </w:rPr>
              <w:t xml:space="preserve">PMP Global </w:t>
            </w:r>
          </w:p>
        </w:tc>
        <w:tc>
          <w:tcPr>
            <w:tcW w:w="15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1.895.105,75 </w:t>
            </w:r>
          </w:p>
        </w:tc>
        <w:tc>
          <w:tcPr>
            <w:tcW w:w="1548"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794.133,22 </w:t>
            </w:r>
          </w:p>
        </w:tc>
        <w:tc>
          <w:tcPr>
            <w:tcW w:w="141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b/>
              </w:rPr>
              <w:t xml:space="preserve">21,74 </w:t>
            </w:r>
          </w:p>
        </w:tc>
      </w:tr>
    </w:tbl>
    <w:p w:rsidR="00FF384B" w:rsidRDefault="003E3BA9">
      <w:pPr>
        <w:spacing w:after="98"/>
        <w:ind w:left="283"/>
      </w:pPr>
      <w:r>
        <w:rPr>
          <w:rFonts w:ascii="Arial" w:eastAsia="Arial" w:hAnsi="Arial" w:cs="Arial"/>
          <w:b/>
        </w:rPr>
        <w:t xml:space="preserve"> </w:t>
      </w:r>
    </w:p>
    <w:p w:rsidR="00FF384B" w:rsidRDefault="003E3BA9">
      <w:pPr>
        <w:spacing w:after="98"/>
        <w:ind w:left="283"/>
      </w:pPr>
      <w:r>
        <w:rPr>
          <w:rFonts w:ascii="Arial" w:eastAsia="Arial" w:hAnsi="Arial" w:cs="Arial"/>
          <w:b/>
        </w:rPr>
        <w:t xml:space="preserve"> </w:t>
      </w:r>
    </w:p>
    <w:p w:rsidR="00FF384B" w:rsidRDefault="003E3BA9">
      <w:pPr>
        <w:spacing w:after="15" w:line="247" w:lineRule="auto"/>
        <w:ind w:left="283" w:firstLine="708"/>
        <w:jc w:val="both"/>
      </w:pPr>
      <w:r>
        <w:rPr>
          <w:rFonts w:ascii="Arial" w:eastAsia="Arial" w:hAnsi="Arial" w:cs="Arial"/>
          <w:b/>
        </w:rPr>
        <w:t>Segundo: Dar traslado de dicho acuerdo al Ministerio de Hacienda y Función Pública, a través de la plataforma telemática que habilita el propio Ministerio.</w:t>
      </w:r>
      <w:r>
        <w:rPr>
          <w:rFonts w:ascii="Arial" w:eastAsia="Arial" w:hAnsi="Arial" w:cs="Arial"/>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116" w:line="247" w:lineRule="auto"/>
        <w:ind w:left="283" w:right="258" w:firstLine="708"/>
        <w:jc w:val="both"/>
      </w:pPr>
      <w:r>
        <w:rPr>
          <w:rFonts w:ascii="Arial" w:eastAsia="Arial" w:hAnsi="Arial" w:cs="Arial"/>
          <w:b/>
        </w:rPr>
        <w:t>Tercero: Publicar en el portal web del Ayuntamiento de Candelaria, el Periodo Medio de Pago del P</w:t>
      </w:r>
      <w:r>
        <w:rPr>
          <w:rFonts w:ascii="Arial" w:eastAsia="Arial" w:hAnsi="Arial" w:cs="Arial"/>
          <w:b/>
        </w:rPr>
        <w:t>rimer Trimestre del ejercicio 2021, en cumplimiento el Real Decreto 1040/2017, de 22 de diciembre.</w:t>
      </w: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2" w:line="247" w:lineRule="auto"/>
        <w:ind w:left="286" w:right="253" w:hanging="3"/>
        <w:jc w:val="both"/>
      </w:pPr>
      <w:r>
        <w:rPr>
          <w:rFonts w:ascii="Arial" w:eastAsia="Arial" w:hAnsi="Arial" w:cs="Arial"/>
          <w:b/>
        </w:rPr>
        <w:t>2.-</w:t>
      </w:r>
      <w:r>
        <w:rPr>
          <w:rFonts w:ascii="Arial" w:eastAsia="Arial" w:hAnsi="Arial" w:cs="Arial"/>
        </w:rPr>
        <w:t xml:space="preserve"> </w:t>
      </w:r>
      <w:r>
        <w:rPr>
          <w:rFonts w:ascii="Arial" w:eastAsia="Arial" w:hAnsi="Arial" w:cs="Arial"/>
          <w:b/>
        </w:rPr>
        <w:t>Expediente 3357/2021. Propuesta del Concejal delegado de Hacienda de 14 de abril de 2021 al Pleno de toma de conocimiento del informe del Tesorería de 14 de abril de 2021 del cumplimiento de plazos de la Ley 15/2010 correspondiente al Primer Trimestre 2021</w:t>
      </w:r>
      <w:r>
        <w:rPr>
          <w:rFonts w:ascii="Arial" w:eastAsia="Arial" w:hAnsi="Arial" w:cs="Arial"/>
          <w:b/>
        </w:rPr>
        <w:t>.</w:t>
      </w:r>
      <w:r>
        <w:rPr>
          <w:rFonts w:ascii="Arial" w:eastAsia="Arial" w:hAnsi="Arial" w:cs="Arial"/>
        </w:rPr>
        <w:t xml:space="preserve"> </w:t>
      </w:r>
    </w:p>
    <w:p w:rsidR="00FF384B" w:rsidRDefault="003E3BA9">
      <w:pPr>
        <w:spacing w:after="98"/>
        <w:ind w:left="283"/>
      </w:pPr>
      <w:r>
        <w:rPr>
          <w:rFonts w:ascii="Arial" w:eastAsia="Arial" w:hAnsi="Arial" w:cs="Arial"/>
          <w:b/>
        </w:rPr>
        <w:t xml:space="preserve"> </w:t>
      </w:r>
    </w:p>
    <w:p w:rsidR="00FF384B" w:rsidRDefault="003E3BA9">
      <w:pPr>
        <w:spacing w:after="15" w:line="247" w:lineRule="auto"/>
        <w:ind w:left="283" w:right="255" w:firstLine="708"/>
        <w:jc w:val="both"/>
      </w:pPr>
      <w:r>
        <w:rPr>
          <w:rFonts w:ascii="Arial" w:eastAsia="Arial" w:hAnsi="Arial" w:cs="Arial"/>
          <w:b/>
        </w:rPr>
        <w:t xml:space="preserve">Consta en el expediente Informe de Tesorería emitido por Don Zebenzui Mesa Marcelino, que desempeña el puesto de trabajo de Tesorero Municipal, de 14 de abril de 2021, del siguiente tenor literal: </w:t>
      </w:r>
    </w:p>
    <w:p w:rsidR="00FF384B" w:rsidRDefault="003E3BA9">
      <w:pPr>
        <w:spacing w:after="135"/>
        <w:ind w:left="283"/>
      </w:pPr>
      <w:r>
        <w:rPr>
          <w:noProof/>
        </w:rPr>
        <mc:AlternateContent>
          <mc:Choice Requires="wpg">
            <w:drawing>
              <wp:anchor distT="0" distB="0" distL="114300" distR="114300" simplePos="0" relativeHeight="2516715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9414" name="Group 44941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20" name="Picture 2420"/>
                          <pic:cNvPicPr/>
                        </pic:nvPicPr>
                        <pic:blipFill>
                          <a:blip r:embed="rId62"/>
                          <a:stretch>
                            <a:fillRect/>
                          </a:stretch>
                        </pic:blipFill>
                        <pic:spPr>
                          <a:xfrm rot="-5399999">
                            <a:off x="-1720849" y="1720849"/>
                            <a:ext cx="3797300" cy="355601"/>
                          </a:xfrm>
                          <a:prstGeom prst="rect">
                            <a:avLst/>
                          </a:prstGeom>
                        </pic:spPr>
                      </pic:pic>
                      <wps:wsp>
                        <wps:cNvPr id="2421" name="Rectangle 242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2422" name="Rectangle 242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9414" style="width:41.2715pt;height:299pt;position:absolute;mso-position-horizontal-relative:page;mso-position-horizontal:absolute;margin-left:653.71pt;mso-position-vertical-relative:page;margin-top:512.92pt;" coordsize="5241,37973">
                <v:shape id="Picture 2420" style="position:absolute;width:37973;height:3556;left:-17208;top:17208;rotation:-89;" filled="f">
                  <v:imagedata r:id="rId63"/>
                </v:shape>
                <v:rect id="Rectangle 24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2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353 </w:t>
                        </w:r>
                      </w:p>
                    </w:txbxContent>
                  </v:textbox>
                </v:rect>
                <w10:wrap type="square"/>
              </v:group>
            </w:pict>
          </mc:Fallback>
        </mc:AlternateContent>
      </w:r>
      <w:r>
        <w:rPr>
          <w:rFonts w:ascii="Arial" w:eastAsia="Arial" w:hAnsi="Arial" w:cs="Arial"/>
          <w:b/>
        </w:rPr>
        <w:t xml:space="preserve"> </w:t>
      </w:r>
    </w:p>
    <w:p w:rsidR="00FF384B" w:rsidRDefault="003E3BA9">
      <w:pPr>
        <w:pStyle w:val="Ttulo1"/>
        <w:spacing w:after="106"/>
        <w:ind w:left="767" w:right="1016"/>
      </w:pPr>
      <w:r>
        <w:t xml:space="preserve">“INFORME </w:t>
      </w:r>
    </w:p>
    <w:p w:rsidR="00FF384B" w:rsidRDefault="003E3BA9">
      <w:pPr>
        <w:spacing w:after="15" w:line="247" w:lineRule="auto"/>
        <w:ind w:left="283" w:firstLine="708"/>
        <w:jc w:val="both"/>
      </w:pPr>
      <w:r>
        <w:rPr>
          <w:rFonts w:ascii="Arial" w:eastAsia="Arial" w:hAnsi="Arial" w:cs="Arial"/>
          <w:b/>
        </w:rPr>
        <w:t xml:space="preserve">Visto el expediente antedicho, el funcionario, Zebenzui Mesa Marcelino, que desempeña el puesto de trabajo de Tesorero, emite el siguiente informe:  </w:t>
      </w:r>
    </w:p>
    <w:p w:rsidR="00FF384B" w:rsidRDefault="003E3BA9">
      <w:pPr>
        <w:spacing w:after="0"/>
        <w:ind w:left="283"/>
      </w:pPr>
      <w:r>
        <w:rPr>
          <w:rFonts w:ascii="Arial" w:eastAsia="Arial" w:hAnsi="Arial" w:cs="Arial"/>
        </w:rPr>
        <w:t xml:space="preserve"> </w:t>
      </w:r>
    </w:p>
    <w:p w:rsidR="00FF384B" w:rsidRDefault="003E3BA9">
      <w:pPr>
        <w:pStyle w:val="Ttulo2"/>
        <w:ind w:left="767" w:right="729"/>
      </w:pPr>
      <w:r>
        <w:t xml:space="preserve">Antecedentes de hecho </w:t>
      </w:r>
    </w:p>
    <w:p w:rsidR="00FF384B" w:rsidRDefault="003E3BA9">
      <w:pPr>
        <w:spacing w:after="0"/>
        <w:ind w:left="87"/>
        <w:jc w:val="center"/>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I.- Ha sido remitida a esta Tesorería información de los entes dependientes par</w:t>
      </w:r>
      <w:r>
        <w:rPr>
          <w:rFonts w:ascii="Arial" w:eastAsia="Arial" w:hAnsi="Arial" w:cs="Arial"/>
        </w:rPr>
        <w:t xml:space="preserve">a el cálculo del informe de morosidad del primer trimestre del ejercicio 2021.  </w:t>
      </w:r>
    </w:p>
    <w:p w:rsidR="00FF384B" w:rsidRDefault="003E3BA9">
      <w:pPr>
        <w:spacing w:after="0"/>
        <w:ind w:left="283"/>
      </w:pPr>
      <w:r>
        <w:rPr>
          <w:rFonts w:ascii="Arial" w:eastAsia="Arial" w:hAnsi="Arial" w:cs="Arial"/>
        </w:rPr>
        <w:t xml:space="preserve"> </w:t>
      </w:r>
    </w:p>
    <w:p w:rsidR="00FF384B" w:rsidRDefault="003E3BA9">
      <w:pPr>
        <w:pStyle w:val="Ttulo1"/>
        <w:ind w:left="767" w:right="369"/>
      </w:pPr>
      <w:r>
        <w:t xml:space="preserve">CONCLUSIONES </w:t>
      </w:r>
    </w:p>
    <w:p w:rsidR="00FF384B" w:rsidRDefault="003E3BA9">
      <w:pPr>
        <w:spacing w:after="0"/>
        <w:ind w:left="87"/>
        <w:jc w:val="center"/>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rPr>
        <w:t>Primera. - El Funcionario que suscribe, Tesorero del Ayuntamiento de Candelaria, dando cumplimiento a lo dispuesto en el artículo 4 de la Ley 15/2010, de 5 d</w:t>
      </w:r>
      <w:r>
        <w:rPr>
          <w:rFonts w:ascii="Arial" w:eastAsia="Arial" w:hAnsi="Arial" w:cs="Arial"/>
        </w:rPr>
        <w:t xml:space="preserve">e julio, de modificación de la Ley 3/2004, de 29 de diciembre, que establece que: </w:t>
      </w:r>
      <w:r>
        <w:rPr>
          <w:rFonts w:ascii="Arial" w:eastAsia="Arial" w:hAnsi="Arial" w:cs="Arial"/>
          <w:i/>
        </w:rPr>
        <w:t xml:space="preserve">“. Los Tesoreros o, en su defecto, Interventores de las Corporaciones locales elaborarán trimestralmente un informe sobre el cumplimiento de los plazos previstos en esta Ley </w:t>
      </w:r>
      <w:r>
        <w:rPr>
          <w:rFonts w:ascii="Arial" w:eastAsia="Arial" w:hAnsi="Arial" w:cs="Arial"/>
          <w:i/>
        </w:rPr>
        <w:t>para el pago de las obligaciones de cada Entidad local, que incluirá necesariamente el número y cuantía global de las obligaciones pendientes en las que se esté incumpliendo el plazo.</w:t>
      </w:r>
      <w:r>
        <w:rPr>
          <w:rFonts w:ascii="Arial" w:eastAsia="Arial" w:hAnsi="Arial" w:cs="Arial"/>
          <w:sz w:val="24"/>
        </w:rPr>
        <w:t xml:space="preserve"> </w:t>
      </w:r>
    </w:p>
    <w:p w:rsidR="00FF384B" w:rsidRDefault="003E3BA9">
      <w:pPr>
        <w:spacing w:after="100"/>
        <w:ind w:left="283"/>
      </w:pPr>
      <w:r>
        <w:rPr>
          <w:rFonts w:ascii="Arial" w:eastAsia="Arial" w:hAnsi="Arial" w:cs="Arial"/>
          <w:i/>
        </w:rPr>
        <w:t xml:space="preserve"> </w:t>
      </w:r>
    </w:p>
    <w:p w:rsidR="00FF384B" w:rsidRDefault="003E3BA9">
      <w:pPr>
        <w:spacing w:after="112" w:line="247" w:lineRule="auto"/>
        <w:ind w:left="278" w:right="244" w:hanging="10"/>
        <w:jc w:val="both"/>
      </w:pPr>
      <w:r>
        <w:rPr>
          <w:rFonts w:ascii="Arial" w:eastAsia="Arial" w:hAnsi="Arial" w:cs="Arial"/>
          <w:i/>
        </w:rPr>
        <w:t>4. Sin perjuicio de su posible presentación y debate en el Pleno de la Corporación local, dicho informe deberá remitirse, en todo caso, a los órganos competentes del Ministerio de Economía y Hacienda y, en su respectivo ámbito territorial, a los de las Com</w:t>
      </w:r>
      <w:r>
        <w:rPr>
          <w:rFonts w:ascii="Arial" w:eastAsia="Arial" w:hAnsi="Arial" w:cs="Arial"/>
          <w:i/>
        </w:rPr>
        <w:t xml:space="preserve">unidades Autónomas que, con arreglo a sus respectivos Estatutos de Autonomía, tengan atribuida la tutela financiera de las Entidades locales. Tales órganos podrán igualmente requerir la remisión de los citados informes. (...)” </w:t>
      </w:r>
      <w:r>
        <w:rPr>
          <w:rFonts w:ascii="Arial" w:eastAsia="Arial" w:hAnsi="Arial" w:cs="Arial"/>
        </w:rPr>
        <w:t>tiene a bien informar que</w:t>
      </w:r>
      <w:r>
        <w:rPr>
          <w:rFonts w:ascii="Arial" w:eastAsia="Arial" w:hAnsi="Arial" w:cs="Arial"/>
          <w:i/>
        </w:rPr>
        <w:t xml:space="preserve">, </w:t>
      </w:r>
      <w:r>
        <w:rPr>
          <w:rFonts w:ascii="Arial" w:eastAsia="Arial" w:hAnsi="Arial" w:cs="Arial"/>
        </w:rPr>
        <w:t>se</w:t>
      </w:r>
      <w:r>
        <w:rPr>
          <w:rFonts w:ascii="Arial" w:eastAsia="Arial" w:hAnsi="Arial" w:cs="Arial"/>
        </w:rPr>
        <w:t xml:space="preserve">gún los datos obrantes en la contabilidad a fecha 14 de abril de 2021, el resumen de los plazos de pago en esta corporación ha sido el siguiente: </w:t>
      </w:r>
    </w:p>
    <w:p w:rsidR="00FF384B" w:rsidRDefault="003E3BA9">
      <w:pPr>
        <w:spacing w:after="100"/>
        <w:ind w:left="283"/>
      </w:pPr>
      <w:r>
        <w:rPr>
          <w:rFonts w:ascii="Arial" w:eastAsia="Arial" w:hAnsi="Arial" w:cs="Arial"/>
        </w:rPr>
        <w:t xml:space="preserve"> </w:t>
      </w:r>
    </w:p>
    <w:p w:rsidR="00FF384B" w:rsidRDefault="003E3BA9">
      <w:pPr>
        <w:spacing w:after="98"/>
        <w:ind w:left="283"/>
      </w:pPr>
      <w:r>
        <w:rPr>
          <w:noProof/>
        </w:rPr>
        <mc:AlternateContent>
          <mc:Choice Requires="wpg">
            <w:drawing>
              <wp:anchor distT="0" distB="0" distL="114300" distR="114300" simplePos="0" relativeHeight="25167257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481468" name="Group 48146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08" name="Picture 2908"/>
                          <pic:cNvPicPr/>
                        </pic:nvPicPr>
                        <pic:blipFill>
                          <a:blip r:embed="rId62"/>
                          <a:stretch>
                            <a:fillRect/>
                          </a:stretch>
                        </pic:blipFill>
                        <pic:spPr>
                          <a:xfrm rot="-5399999">
                            <a:off x="-1720849" y="1720849"/>
                            <a:ext cx="3797300" cy="355601"/>
                          </a:xfrm>
                          <a:prstGeom prst="rect">
                            <a:avLst/>
                          </a:prstGeom>
                        </pic:spPr>
                      </pic:pic>
                      <wps:wsp>
                        <wps:cNvPr id="2909" name="Rectangle 290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10" name="Rectangle 291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w:t>
                              </w:r>
                              <w:r>
                                <w:rPr>
                                  <w:rFonts w:ascii="Arial" w:eastAsia="Arial" w:hAnsi="Arial" w:cs="Arial"/>
                                  <w:sz w:val="12"/>
                                </w:rPr>
                                <w:t xml:space="preserve">mento firmado electrónicamente desde la plataforma esPublico Gestiona | Página 13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468" style="width:41.2715pt;height:299pt;position:absolute;mso-position-horizontal-relative:page;mso-position-horizontal:absolute;margin-left:653.71pt;mso-position-vertical-relative:page;margin-top:512.92pt;" coordsize="5241,37973">
                <v:shape id="Picture 2908" style="position:absolute;width:37973;height:3556;left:-17208;top:17208;rotation:-89;" filled="f">
                  <v:imagedata r:id="rId63"/>
                </v:shape>
                <v:rect id="Rectangle 290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1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353 </w:t>
                        </w:r>
                      </w:p>
                    </w:txbxContent>
                  </v:textbox>
                </v:rect>
                <w10:wrap type="topAndBottom"/>
              </v:group>
            </w:pict>
          </mc:Fallback>
        </mc:AlternateContent>
      </w: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8617" w:type="dxa"/>
        <w:tblInd w:w="289" w:type="dxa"/>
        <w:tblCellMar>
          <w:top w:w="3" w:type="dxa"/>
          <w:left w:w="107" w:type="dxa"/>
          <w:bottom w:w="0" w:type="dxa"/>
          <w:right w:w="0" w:type="dxa"/>
        </w:tblCellMar>
        <w:tblLook w:val="04A0" w:firstRow="1" w:lastRow="0" w:firstColumn="1" w:lastColumn="0" w:noHBand="0" w:noVBand="1"/>
      </w:tblPr>
      <w:tblGrid>
        <w:gridCol w:w="2949"/>
        <w:gridCol w:w="1010"/>
        <w:gridCol w:w="919"/>
        <w:gridCol w:w="1503"/>
        <w:gridCol w:w="918"/>
        <w:gridCol w:w="1318"/>
      </w:tblGrid>
      <w:tr w:rsidR="00FF384B">
        <w:trPr>
          <w:trHeight w:val="415"/>
        </w:trPr>
        <w:tc>
          <w:tcPr>
            <w:tcW w:w="294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FF384B" w:rsidRDefault="003E3BA9">
            <w:pPr>
              <w:spacing w:after="0"/>
              <w:jc w:val="center"/>
            </w:pPr>
            <w:r>
              <w:rPr>
                <w:rFonts w:ascii="Arial" w:eastAsia="Arial" w:hAnsi="Arial" w:cs="Arial"/>
              </w:rPr>
              <w:t xml:space="preserve">Pagos Realizados en el Periodo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2" w:line="238" w:lineRule="auto"/>
              <w:ind w:left="1"/>
            </w:pPr>
            <w:r>
              <w:rPr>
                <w:rFonts w:ascii="Arial" w:eastAsia="Arial" w:hAnsi="Arial" w:cs="Arial"/>
              </w:rPr>
              <w:t xml:space="preserve">Periodo Medio de </w:t>
            </w:r>
          </w:p>
          <w:p w:rsidR="00FF384B" w:rsidRDefault="003E3BA9">
            <w:pPr>
              <w:spacing w:after="0"/>
              <w:ind w:left="1"/>
            </w:pPr>
            <w:r>
              <w:rPr>
                <w:rFonts w:ascii="Arial" w:eastAsia="Arial" w:hAnsi="Arial" w:cs="Arial"/>
              </w:rPr>
              <w:t xml:space="preserve">Pago </w:t>
            </w:r>
          </w:p>
          <w:p w:rsidR="00FF384B" w:rsidRDefault="003E3BA9">
            <w:pPr>
              <w:spacing w:after="0"/>
              <w:ind w:left="85"/>
            </w:pPr>
            <w:r>
              <w:rPr>
                <w:rFonts w:ascii="Arial" w:eastAsia="Arial" w:hAnsi="Arial" w:cs="Arial"/>
              </w:rPr>
              <w:t xml:space="preserve">(PMP) </w:t>
            </w:r>
          </w:p>
          <w:p w:rsidR="00FF384B" w:rsidRDefault="003E3BA9">
            <w:pPr>
              <w:spacing w:after="0"/>
              <w:ind w:right="110"/>
              <w:jc w:val="center"/>
            </w:pPr>
            <w:r>
              <w:rPr>
                <w:rFonts w:ascii="Arial" w:eastAsia="Arial" w:hAnsi="Arial" w:cs="Arial"/>
              </w:rPr>
              <w:t xml:space="preserve">(días) </w:t>
            </w:r>
          </w:p>
        </w:tc>
        <w:tc>
          <w:tcPr>
            <w:tcW w:w="4658" w:type="dxa"/>
            <w:gridSpan w:val="4"/>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08"/>
              <w:jc w:val="center"/>
            </w:pPr>
            <w:r>
              <w:rPr>
                <w:rFonts w:ascii="Arial" w:eastAsia="Arial" w:hAnsi="Arial" w:cs="Arial"/>
              </w:rPr>
              <w:t xml:space="preserve">Pagos realizados en el trimestre </w:t>
            </w:r>
          </w:p>
        </w:tc>
      </w:tr>
      <w:tr w:rsidR="00FF384B">
        <w:trPr>
          <w:trHeight w:val="771"/>
        </w:trPr>
        <w:tc>
          <w:tcPr>
            <w:tcW w:w="0" w:type="auto"/>
            <w:vMerge/>
            <w:tcBorders>
              <w:top w:val="nil"/>
              <w:left w:val="single" w:sz="4" w:space="0" w:color="000000"/>
              <w:bottom w:val="nil"/>
              <w:right w:val="single" w:sz="4" w:space="0" w:color="000000"/>
            </w:tcBorders>
          </w:tcPr>
          <w:p w:rsidR="00FF384B" w:rsidRDefault="00FF384B"/>
        </w:tc>
        <w:tc>
          <w:tcPr>
            <w:tcW w:w="0" w:type="auto"/>
            <w:vMerge/>
            <w:tcBorders>
              <w:top w:val="nil"/>
              <w:left w:val="single" w:sz="4" w:space="0" w:color="000000"/>
              <w:bottom w:val="nil"/>
              <w:right w:val="single" w:sz="4" w:space="0" w:color="000000"/>
            </w:tcBorders>
          </w:tcPr>
          <w:p w:rsidR="00FF384B" w:rsidRDefault="00FF384B"/>
        </w:tc>
        <w:tc>
          <w:tcPr>
            <w:tcW w:w="2422"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38"/>
              <w:jc w:val="center"/>
            </w:pPr>
            <w:r>
              <w:rPr>
                <w:rFonts w:ascii="Arial" w:eastAsia="Arial" w:hAnsi="Arial" w:cs="Arial"/>
              </w:rPr>
              <w:t xml:space="preserve">Dentro periodo legal de pago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Fuera periodo legal de pago </w:t>
            </w:r>
          </w:p>
        </w:tc>
      </w:tr>
      <w:tr w:rsidR="00FF384B">
        <w:trPr>
          <w:trHeight w:val="1019"/>
        </w:trPr>
        <w:tc>
          <w:tcPr>
            <w:tcW w:w="0" w:type="auto"/>
            <w:vMerge/>
            <w:tcBorders>
              <w:top w:val="nil"/>
              <w:left w:val="single" w:sz="4" w:space="0" w:color="000000"/>
              <w:bottom w:val="single" w:sz="4" w:space="0" w:color="000000"/>
              <w:right w:val="single" w:sz="4" w:space="0" w:color="000000"/>
            </w:tcBorders>
          </w:tcPr>
          <w:p w:rsidR="00FF384B" w:rsidRDefault="00FF384B"/>
        </w:tc>
        <w:tc>
          <w:tcPr>
            <w:tcW w:w="0" w:type="auto"/>
            <w:vMerge/>
            <w:tcBorders>
              <w:top w:val="nil"/>
              <w:left w:val="single" w:sz="4" w:space="0" w:color="000000"/>
              <w:bottom w:val="single" w:sz="4" w:space="0" w:color="000000"/>
              <w:right w:val="single" w:sz="4" w:space="0" w:color="000000"/>
            </w:tcBorders>
          </w:tcPr>
          <w:p w:rsidR="00FF384B" w:rsidRDefault="00FF384B"/>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right="3"/>
            </w:pPr>
            <w:r>
              <w:rPr>
                <w:rFonts w:ascii="Arial" w:eastAsia="Arial" w:hAnsi="Arial" w:cs="Arial"/>
              </w:rPr>
              <w:t xml:space="preserve">Número de pagos </w:t>
            </w:r>
          </w:p>
        </w:tc>
        <w:tc>
          <w:tcPr>
            <w:tcW w:w="1503"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25" w:right="73"/>
              <w:jc w:val="center"/>
            </w:pPr>
            <w:r>
              <w:rPr>
                <w:rFonts w:ascii="Arial" w:eastAsia="Arial" w:hAnsi="Arial" w:cs="Arial"/>
              </w:rPr>
              <w:t xml:space="preserve">Importe Total  </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right="2"/>
            </w:pPr>
            <w:r>
              <w:rPr>
                <w:rFonts w:ascii="Arial" w:eastAsia="Arial" w:hAnsi="Arial" w:cs="Arial"/>
              </w:rPr>
              <w:t xml:space="preserve">Número de pagos </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6"/>
              <w:jc w:val="center"/>
            </w:pPr>
            <w:r>
              <w:rPr>
                <w:rFonts w:ascii="Arial" w:eastAsia="Arial" w:hAnsi="Arial" w:cs="Arial"/>
              </w:rPr>
              <w:t xml:space="preserve">Importe total </w:t>
            </w:r>
          </w:p>
        </w:tc>
      </w:tr>
      <w:tr w:rsidR="00FF384B">
        <w:trPr>
          <w:trHeight w:val="1278"/>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40" w:lineRule="auto"/>
            </w:pPr>
            <w:r>
              <w:rPr>
                <w:rFonts w:ascii="Arial" w:eastAsia="Arial" w:hAnsi="Arial" w:cs="Arial"/>
              </w:rPr>
              <w:t xml:space="preserve">Gastos en Bienes Corrientes y Servicios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20.- Arrendamientos y Cánones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20,61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41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180.925,65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6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4.268,06  </w:t>
            </w:r>
          </w:p>
        </w:tc>
      </w:tr>
      <w:tr w:rsidR="00FF384B">
        <w:trPr>
          <w:trHeight w:val="517"/>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21.- </w:t>
            </w:r>
            <w:r>
              <w:rPr>
                <w:rFonts w:ascii="Arial" w:eastAsia="Arial" w:hAnsi="Arial" w:cs="Arial"/>
              </w:rPr>
              <w:t xml:space="preserve">Reparaciones Mantenimiento y Conservación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19,63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98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182583,59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7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7.146,86  </w:t>
            </w:r>
          </w:p>
        </w:tc>
      </w:tr>
      <w:tr w:rsidR="00FF384B">
        <w:trPr>
          <w:trHeight w:val="514"/>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 Material, Suministros y </w:t>
            </w:r>
          </w:p>
          <w:p w:rsidR="00FF384B" w:rsidRDefault="003E3BA9">
            <w:pPr>
              <w:spacing w:after="0"/>
            </w:pPr>
            <w:r>
              <w:rPr>
                <w:rFonts w:ascii="Arial" w:eastAsia="Arial" w:hAnsi="Arial" w:cs="Arial"/>
              </w:rPr>
              <w:t xml:space="preserve">Otros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22,12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540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1.199.05,18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250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140.358,83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23.- Indemnizaciones por razón del servicio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9"/>
              <w:jc w:val="right"/>
            </w:pPr>
            <w:r>
              <w:rPr>
                <w:rFonts w:ascii="Arial" w:eastAsia="Arial" w:hAnsi="Arial" w:cs="Arial"/>
              </w:rPr>
              <w:t xml:space="preserve">0,00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24.- </w:t>
            </w:r>
            <w:r>
              <w:rPr>
                <w:rFonts w:ascii="Arial" w:eastAsia="Arial" w:hAnsi="Arial" w:cs="Arial"/>
              </w:rPr>
              <w:t xml:space="preserve">Gastos de Publicaciones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9"/>
              <w:jc w:val="right"/>
            </w:pPr>
            <w:r>
              <w:rPr>
                <w:rFonts w:ascii="Arial" w:eastAsia="Arial" w:hAnsi="Arial" w:cs="Arial"/>
              </w:rPr>
              <w:t xml:space="preserve">0,00  </w:t>
            </w:r>
          </w:p>
        </w:tc>
      </w:tr>
      <w:tr w:rsidR="00FF384B">
        <w:trPr>
          <w:trHeight w:val="770"/>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4"/>
            </w:pPr>
            <w:r>
              <w:rPr>
                <w:rFonts w:ascii="Arial" w:eastAsia="Arial" w:hAnsi="Arial" w:cs="Arial"/>
              </w:rPr>
              <w:t xml:space="preserve">26.- Trabajos realizados por Instituciones s.f. de lucro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0,00 </w:t>
            </w:r>
          </w:p>
        </w:tc>
      </w:tr>
      <w:tr w:rsidR="00FF384B">
        <w:trPr>
          <w:trHeight w:val="461"/>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51,72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84.361,19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9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49.406,30 </w:t>
            </w:r>
          </w:p>
        </w:tc>
      </w:tr>
      <w:tr w:rsidR="00FF384B">
        <w:trPr>
          <w:trHeight w:val="519"/>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Otros Pagos realizados por operaciones comerciales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15,25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5.409,56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0,00 </w:t>
            </w:r>
          </w:p>
        </w:tc>
      </w:tr>
      <w:tr w:rsidR="00FF384B">
        <w:trPr>
          <w:trHeight w:val="772"/>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7"/>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r>
      <w:tr w:rsidR="00FF384B">
        <w:trPr>
          <w:trHeight w:val="514"/>
        </w:trPr>
        <w:tc>
          <w:tcPr>
            <w:tcW w:w="294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right"/>
            </w:pPr>
            <w:r>
              <w:rPr>
                <w:rFonts w:ascii="Arial" w:eastAsia="Arial" w:hAnsi="Arial" w:cs="Arial"/>
                <w:b/>
              </w:rPr>
              <w:t>TOTAL pagos realizados en el trimestre</w:t>
            </w:r>
            <w:r>
              <w:rPr>
                <w:rFonts w:ascii="Arial" w:eastAsia="Arial" w:hAnsi="Arial" w:cs="Arial"/>
                <w:sz w:val="24"/>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4"/>
              <w:jc w:val="right"/>
            </w:pPr>
            <w:r>
              <w:rPr>
                <w:rFonts w:ascii="Arial" w:eastAsia="Arial" w:hAnsi="Arial" w:cs="Arial"/>
                <w:b/>
              </w:rPr>
              <w:t>23,83</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701</w:t>
            </w:r>
            <w:r>
              <w:rPr>
                <w:rFonts w:ascii="Arial" w:eastAsia="Arial" w:hAnsi="Arial" w:cs="Arial"/>
                <w:sz w:val="24"/>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2"/>
            </w:pPr>
            <w:r>
              <w:rPr>
                <w:rFonts w:ascii="Arial" w:eastAsia="Arial" w:hAnsi="Arial" w:cs="Arial"/>
                <w:b/>
              </w:rPr>
              <w:t>1.652.331,17</w:t>
            </w:r>
            <w:r>
              <w:rPr>
                <w:rFonts w:ascii="Arial" w:eastAsia="Arial" w:hAnsi="Arial" w:cs="Arial"/>
                <w:sz w:val="24"/>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272</w:t>
            </w:r>
            <w:r>
              <w:rPr>
                <w:rFonts w:ascii="Arial" w:eastAsia="Arial" w:hAnsi="Arial" w:cs="Arial"/>
                <w:sz w:val="24"/>
              </w:rPr>
              <w:t xml:space="preserve"> </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201.180,05 </w:t>
            </w:r>
          </w:p>
        </w:tc>
      </w:tr>
    </w:tbl>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73600"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487448" name="Group 48744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18" name="Picture 3318"/>
                          <pic:cNvPicPr/>
                        </pic:nvPicPr>
                        <pic:blipFill>
                          <a:blip r:embed="rId62"/>
                          <a:stretch>
                            <a:fillRect/>
                          </a:stretch>
                        </pic:blipFill>
                        <pic:spPr>
                          <a:xfrm rot="-5399999">
                            <a:off x="-1720849" y="1720849"/>
                            <a:ext cx="3797300" cy="355601"/>
                          </a:xfrm>
                          <a:prstGeom prst="rect">
                            <a:avLst/>
                          </a:prstGeom>
                        </pic:spPr>
                      </pic:pic>
                      <wps:wsp>
                        <wps:cNvPr id="3319" name="Rectangle 331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20" name="Rectangle 332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7448" style="width:41.2715pt;height:299pt;position:absolute;mso-position-horizontal-relative:page;mso-position-horizontal:absolute;margin-left:653.71pt;mso-position-vertical-relative:page;margin-top:512.92pt;" coordsize="5241,37973">
                <v:shape id="Picture 3318" style="position:absolute;width:37973;height:3556;left:-17208;top:17208;rotation:-89;" filled="f">
                  <v:imagedata r:id="rId63"/>
                </v:shape>
                <v:rect id="Rectangle 331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2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353 </w:t>
                        </w:r>
                      </w:p>
                    </w:txbxContent>
                  </v:textbox>
                </v:rect>
                <w10:wrap type="topAndBottom"/>
              </v:group>
            </w:pict>
          </mc:Fallback>
        </mc:AlternateContent>
      </w:r>
      <w:r>
        <w:rPr>
          <w:rFonts w:ascii="Arial" w:eastAsia="Arial" w:hAnsi="Arial" w:cs="Arial"/>
        </w:rPr>
        <w:t xml:space="preserve"> </w:t>
      </w:r>
    </w:p>
    <w:tbl>
      <w:tblPr>
        <w:tblStyle w:val="TableGrid"/>
        <w:tblW w:w="8417" w:type="dxa"/>
        <w:tblInd w:w="289" w:type="dxa"/>
        <w:tblCellMar>
          <w:top w:w="0" w:type="dxa"/>
          <w:left w:w="107" w:type="dxa"/>
          <w:bottom w:w="0" w:type="dxa"/>
          <w:right w:w="39" w:type="dxa"/>
        </w:tblCellMar>
        <w:tblLook w:val="04A0" w:firstRow="1" w:lastRow="0" w:firstColumn="1" w:lastColumn="0" w:noHBand="0" w:noVBand="1"/>
      </w:tblPr>
      <w:tblGrid>
        <w:gridCol w:w="5340"/>
        <w:gridCol w:w="1387"/>
        <w:gridCol w:w="1690"/>
      </w:tblGrid>
      <w:tr w:rsidR="00FF384B">
        <w:trPr>
          <w:trHeight w:val="788"/>
        </w:trPr>
        <w:tc>
          <w:tcPr>
            <w:tcW w:w="534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71"/>
              <w:jc w:val="center"/>
            </w:pPr>
            <w:r>
              <w:rPr>
                <w:rFonts w:ascii="Arial" w:eastAsia="Arial" w:hAnsi="Arial" w:cs="Arial"/>
              </w:rPr>
              <w:t xml:space="preserve">Intereses de demora pagados en el trimestre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2"/>
              <w:jc w:val="center"/>
            </w:pPr>
            <w:r>
              <w:rPr>
                <w:rFonts w:ascii="Arial" w:eastAsia="Arial" w:hAnsi="Arial" w:cs="Arial"/>
              </w:rPr>
              <w:t xml:space="preserve">Intereses de demora pagados en el periodo </w:t>
            </w:r>
          </w:p>
        </w:tc>
      </w:tr>
      <w:tr w:rsidR="00FF384B">
        <w:trPr>
          <w:trHeight w:val="788"/>
        </w:trPr>
        <w:tc>
          <w:tcPr>
            <w:tcW w:w="0" w:type="auto"/>
            <w:vMerge/>
            <w:tcBorders>
              <w:top w:val="nil"/>
              <w:left w:val="single" w:sz="4" w:space="0" w:color="000000"/>
              <w:bottom w:val="single" w:sz="4" w:space="0" w:color="000000"/>
              <w:right w:val="single" w:sz="4" w:space="0" w:color="000000"/>
            </w:tcBorders>
          </w:tcPr>
          <w:p w:rsidR="00FF384B" w:rsidRDefault="00FF384B"/>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Número de pagos </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57" w:right="161"/>
              <w:jc w:val="center"/>
            </w:pPr>
            <w:r>
              <w:rPr>
                <w:rFonts w:ascii="Arial" w:eastAsia="Arial" w:hAnsi="Arial" w:cs="Arial"/>
              </w:rPr>
              <w:t xml:space="preserve">Importe total </w:t>
            </w:r>
          </w:p>
        </w:tc>
      </w:tr>
      <w:tr w:rsidR="00FF384B">
        <w:trPr>
          <w:trHeight w:val="493"/>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Gastos Corrientes en Bienes y Servicios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7"/>
              <w:jc w:val="right"/>
            </w:pPr>
            <w:r>
              <w:rPr>
                <w:rFonts w:ascii="Arial" w:eastAsia="Arial" w:hAnsi="Arial" w:cs="Arial"/>
              </w:rPr>
              <w:t xml:space="preserve">0,00 </w:t>
            </w:r>
          </w:p>
        </w:tc>
      </w:tr>
      <w:tr w:rsidR="00FF384B">
        <w:trPr>
          <w:trHeight w:val="461"/>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7"/>
              <w:jc w:val="right"/>
            </w:pPr>
            <w:r>
              <w:rPr>
                <w:rFonts w:ascii="Arial" w:eastAsia="Arial" w:hAnsi="Arial" w:cs="Arial"/>
              </w:rPr>
              <w:t xml:space="preserve">0,00 </w:t>
            </w:r>
          </w:p>
        </w:tc>
      </w:tr>
      <w:tr w:rsidR="00FF384B">
        <w:trPr>
          <w:trHeight w:val="572"/>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Otros Pagos realizados por operaciones comerciales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1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3.089,08 </w:t>
            </w:r>
          </w:p>
        </w:tc>
      </w:tr>
      <w:tr w:rsidR="00FF384B">
        <w:trPr>
          <w:trHeight w:val="518"/>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460"/>
        </w:trPr>
        <w:tc>
          <w:tcPr>
            <w:tcW w:w="534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8"/>
              <w:jc w:val="right"/>
            </w:pPr>
            <w:r>
              <w:rPr>
                <w:rFonts w:ascii="Arial" w:eastAsia="Arial" w:hAnsi="Arial" w:cs="Arial"/>
                <w:b/>
              </w:rPr>
              <w:t>TOTAL intereses de demora pagados</w:t>
            </w:r>
            <w:r>
              <w:rPr>
                <w:rFonts w:ascii="Arial" w:eastAsia="Arial" w:hAnsi="Arial" w:cs="Arial"/>
                <w:sz w:val="24"/>
              </w:rP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9"/>
              <w:jc w:val="right"/>
            </w:pPr>
            <w:r>
              <w:rPr>
                <w:rFonts w:ascii="Arial" w:eastAsia="Arial" w:hAnsi="Arial" w:cs="Arial"/>
                <w:b/>
              </w:rPr>
              <w:t>1</w:t>
            </w:r>
            <w:r>
              <w:rPr>
                <w:rFonts w:ascii="Arial" w:eastAsia="Arial" w:hAnsi="Arial" w:cs="Arial"/>
                <w:sz w:val="24"/>
              </w:rPr>
              <w:t xml:space="preserve"> </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5"/>
              <w:jc w:val="right"/>
            </w:pPr>
            <w:r>
              <w:rPr>
                <w:rFonts w:ascii="Arial" w:eastAsia="Arial" w:hAnsi="Arial" w:cs="Arial"/>
                <w:b/>
              </w:rPr>
              <w:t>3.089,08</w:t>
            </w:r>
            <w:r>
              <w:rPr>
                <w:rFonts w:ascii="Arial" w:eastAsia="Arial" w:hAnsi="Arial" w:cs="Arial"/>
                <w:sz w:val="24"/>
              </w:rPr>
              <w:t xml:space="preserve"> </w:t>
            </w:r>
          </w:p>
        </w:tc>
      </w:tr>
    </w:tbl>
    <w:p w:rsidR="00FF384B" w:rsidRDefault="003E3BA9">
      <w:pPr>
        <w:spacing w:after="0"/>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8435" w:type="dxa"/>
        <w:tblInd w:w="289" w:type="dxa"/>
        <w:tblCellMar>
          <w:top w:w="3" w:type="dxa"/>
          <w:left w:w="107" w:type="dxa"/>
          <w:bottom w:w="0" w:type="dxa"/>
          <w:right w:w="40" w:type="dxa"/>
        </w:tblCellMar>
        <w:tblLook w:val="04A0" w:firstRow="1" w:lastRow="0" w:firstColumn="1" w:lastColumn="0" w:noHBand="0" w:noVBand="1"/>
      </w:tblPr>
      <w:tblGrid>
        <w:gridCol w:w="2228"/>
        <w:gridCol w:w="960"/>
        <w:gridCol w:w="1347"/>
        <w:gridCol w:w="1278"/>
        <w:gridCol w:w="1347"/>
        <w:gridCol w:w="1275"/>
      </w:tblGrid>
      <w:tr w:rsidR="00FF384B">
        <w:trPr>
          <w:trHeight w:val="414"/>
        </w:trPr>
        <w:tc>
          <w:tcPr>
            <w:tcW w:w="2949" w:type="dxa"/>
            <w:tcBorders>
              <w:top w:val="single" w:sz="4" w:space="0" w:color="000000"/>
              <w:left w:val="single" w:sz="4" w:space="0" w:color="000000"/>
              <w:bottom w:val="nil"/>
              <w:right w:val="single" w:sz="4" w:space="0" w:color="000000"/>
            </w:tcBorders>
            <w:shd w:val="clear" w:color="auto" w:fill="D9D9D9"/>
          </w:tcPr>
          <w:p w:rsidR="00FF384B" w:rsidRDefault="00FF384B"/>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2"/>
            </w:pPr>
            <w:r>
              <w:rPr>
                <w:rFonts w:ascii="Arial" w:eastAsia="Arial" w:hAnsi="Arial" w:cs="Arial"/>
              </w:rPr>
              <w:t xml:space="preserve">Periodo Medio de Pago </w:t>
            </w:r>
          </w:p>
        </w:tc>
        <w:tc>
          <w:tcPr>
            <w:tcW w:w="4476" w:type="dxa"/>
            <w:gridSpan w:val="4"/>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41"/>
              <w:jc w:val="center"/>
            </w:pPr>
            <w:r>
              <w:rPr>
                <w:rFonts w:ascii="Arial" w:eastAsia="Arial" w:hAnsi="Arial" w:cs="Arial"/>
              </w:rPr>
              <w:t xml:space="preserve">Pendientes de pago al final del trimestre  </w:t>
            </w:r>
          </w:p>
        </w:tc>
      </w:tr>
      <w:tr w:rsidR="00FF384B">
        <w:trPr>
          <w:trHeight w:val="606"/>
        </w:trPr>
        <w:tc>
          <w:tcPr>
            <w:tcW w:w="2949" w:type="dxa"/>
            <w:tcBorders>
              <w:top w:val="nil"/>
              <w:left w:val="single" w:sz="4" w:space="0" w:color="000000"/>
              <w:bottom w:val="single" w:sz="4" w:space="0" w:color="000000"/>
              <w:right w:val="single" w:sz="4" w:space="0" w:color="000000"/>
            </w:tcBorders>
            <w:shd w:val="clear" w:color="auto" w:fill="D9D9D9"/>
          </w:tcPr>
          <w:p w:rsidR="00FF384B" w:rsidRDefault="00FF384B"/>
        </w:tc>
        <w:tc>
          <w:tcPr>
            <w:tcW w:w="0" w:type="auto"/>
            <w:vMerge/>
            <w:tcBorders>
              <w:top w:val="nil"/>
              <w:left w:val="single" w:sz="4" w:space="0" w:color="000000"/>
              <w:bottom w:val="single" w:sz="4" w:space="0" w:color="000000"/>
              <w:right w:val="single" w:sz="4" w:space="0" w:color="000000"/>
            </w:tcBorders>
          </w:tcPr>
          <w:p w:rsidR="00FF384B" w:rsidRDefault="00FF384B"/>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Dentro periodo legal de pago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Fuera periodo legal de pago </w:t>
            </w:r>
          </w:p>
        </w:tc>
      </w:tr>
      <w:tr w:rsidR="00FF384B">
        <w:trPr>
          <w:trHeight w:val="412"/>
        </w:trPr>
        <w:tc>
          <w:tcPr>
            <w:tcW w:w="2949" w:type="dxa"/>
            <w:tcBorders>
              <w:top w:val="single" w:sz="4" w:space="0" w:color="000000"/>
              <w:left w:val="nil"/>
              <w:bottom w:val="nil"/>
              <w:right w:val="nil"/>
            </w:tcBorders>
            <w:shd w:val="clear" w:color="auto" w:fill="D9D9D9"/>
          </w:tcPr>
          <w:p w:rsidR="00FF384B" w:rsidRDefault="00FF384B"/>
        </w:tc>
        <w:tc>
          <w:tcPr>
            <w:tcW w:w="5486" w:type="dxa"/>
            <w:gridSpan w:val="5"/>
            <w:tcBorders>
              <w:top w:val="single" w:sz="4" w:space="0" w:color="000000"/>
              <w:left w:val="nil"/>
              <w:bottom w:val="nil"/>
              <w:right w:val="nil"/>
            </w:tcBorders>
          </w:tcPr>
          <w:p w:rsidR="00FF384B" w:rsidRDefault="00FF384B"/>
        </w:tc>
      </w:tr>
      <w:tr w:rsidR="00FF384B">
        <w:trPr>
          <w:trHeight w:val="515"/>
        </w:trPr>
        <w:tc>
          <w:tcPr>
            <w:tcW w:w="294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FF384B" w:rsidRDefault="003E3BA9">
            <w:pPr>
              <w:spacing w:after="0"/>
              <w:ind w:right="71"/>
              <w:jc w:val="center"/>
            </w:pPr>
            <w:r>
              <w:rPr>
                <w:rFonts w:ascii="Arial" w:eastAsia="Arial" w:hAnsi="Arial" w:cs="Arial"/>
              </w:rPr>
              <w:t xml:space="preserve">Facturas o Documentos </w:t>
            </w:r>
          </w:p>
          <w:p w:rsidR="00FF384B" w:rsidRDefault="003E3BA9">
            <w:pPr>
              <w:spacing w:after="0"/>
              <w:jc w:val="center"/>
            </w:pPr>
            <w:r>
              <w:rPr>
                <w:rFonts w:ascii="Arial" w:eastAsia="Arial" w:hAnsi="Arial" w:cs="Arial"/>
              </w:rPr>
              <w:t xml:space="preserve">Justificativos Pendientes de Pago al Final del Período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 </w:t>
            </w:r>
          </w:p>
          <w:p w:rsidR="00FF384B" w:rsidRDefault="003E3BA9">
            <w:pPr>
              <w:spacing w:after="0"/>
              <w:ind w:left="1"/>
            </w:pPr>
            <w:r>
              <w:rPr>
                <w:rFonts w:ascii="Arial" w:eastAsia="Arial" w:hAnsi="Arial" w:cs="Arial"/>
              </w:rPr>
              <w:t xml:space="preserve"> </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FF384B"/>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FF384B"/>
        </w:tc>
      </w:tr>
      <w:tr w:rsidR="00FF384B">
        <w:trPr>
          <w:trHeight w:val="278"/>
        </w:trPr>
        <w:tc>
          <w:tcPr>
            <w:tcW w:w="0" w:type="auto"/>
            <w:vMerge/>
            <w:tcBorders>
              <w:top w:val="nil"/>
              <w:left w:val="single" w:sz="4" w:space="0" w:color="000000"/>
              <w:bottom w:val="nil"/>
              <w:right w:val="single" w:sz="4" w:space="0" w:color="000000"/>
            </w:tcBorders>
          </w:tcPr>
          <w:p w:rsidR="00FF384B" w:rsidRDefault="00FF384B"/>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Pen-</w:t>
            </w:r>
          </w:p>
          <w:p w:rsidR="00FF384B" w:rsidRDefault="003E3BA9">
            <w:pPr>
              <w:spacing w:after="0"/>
              <w:ind w:left="1"/>
            </w:pPr>
            <w:r>
              <w:rPr>
                <w:rFonts w:ascii="Arial" w:eastAsia="Arial" w:hAnsi="Arial" w:cs="Arial"/>
              </w:rPr>
              <w:t xml:space="preserve">diente </w:t>
            </w:r>
          </w:p>
          <w:p w:rsidR="00FF384B" w:rsidRDefault="003E3BA9">
            <w:pPr>
              <w:spacing w:after="0"/>
              <w:ind w:left="13"/>
            </w:pPr>
            <w:r>
              <w:rPr>
                <w:rFonts w:ascii="Arial" w:eastAsia="Arial" w:hAnsi="Arial" w:cs="Arial"/>
              </w:rPr>
              <w:t xml:space="preserve">(PMPP) </w:t>
            </w:r>
          </w:p>
          <w:p w:rsidR="00FF384B" w:rsidRDefault="003E3BA9">
            <w:pPr>
              <w:spacing w:after="0"/>
              <w:ind w:right="70"/>
              <w:jc w:val="center"/>
            </w:pPr>
            <w:r>
              <w:rPr>
                <w:rFonts w:ascii="Arial" w:eastAsia="Arial" w:hAnsi="Arial" w:cs="Arial"/>
              </w:rPr>
              <w:t>(días)</w:t>
            </w:r>
            <w:r>
              <w:rPr>
                <w:rFonts w:ascii="Arial" w:eastAsia="Arial" w:hAnsi="Arial" w:cs="Arial"/>
                <w:sz w:val="24"/>
              </w:rPr>
              <w:t xml:space="preserve"> </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rPr>
              <w:t xml:space="preserve">A final del trimestre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68"/>
            </w:pPr>
            <w:r>
              <w:rPr>
                <w:rFonts w:ascii="Arial" w:eastAsia="Arial" w:hAnsi="Arial" w:cs="Arial"/>
              </w:rPr>
              <w:t xml:space="preserve">A final del trimestre </w:t>
            </w:r>
          </w:p>
        </w:tc>
      </w:tr>
      <w:tr w:rsidR="00FF384B">
        <w:trPr>
          <w:trHeight w:val="1274"/>
        </w:trPr>
        <w:tc>
          <w:tcPr>
            <w:tcW w:w="0" w:type="auto"/>
            <w:vMerge/>
            <w:tcBorders>
              <w:top w:val="nil"/>
              <w:left w:val="single" w:sz="4" w:space="0" w:color="000000"/>
              <w:bottom w:val="single" w:sz="4" w:space="0" w:color="000000"/>
              <w:right w:val="single" w:sz="4" w:space="0" w:color="000000"/>
            </w:tcBorders>
          </w:tcPr>
          <w:p w:rsidR="00FF384B" w:rsidRDefault="00FF384B"/>
        </w:tc>
        <w:tc>
          <w:tcPr>
            <w:tcW w:w="0" w:type="auto"/>
            <w:vMerge/>
            <w:tcBorders>
              <w:top w:val="nil"/>
              <w:left w:val="single" w:sz="4" w:space="0" w:color="000000"/>
              <w:bottom w:val="single" w:sz="4" w:space="0" w:color="000000"/>
              <w:right w:val="single" w:sz="4" w:space="0" w:color="000000"/>
            </w:tcBorders>
          </w:tcPr>
          <w:p w:rsidR="00FF384B" w:rsidRDefault="00FF384B"/>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Número de operaciones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Importe Total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Número de operaciones </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Importe total </w:t>
            </w:r>
          </w:p>
        </w:tc>
      </w:tr>
      <w:tr w:rsidR="00FF384B">
        <w:trPr>
          <w:trHeight w:val="127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40" w:lineRule="auto"/>
            </w:pPr>
            <w:r>
              <w:rPr>
                <w:rFonts w:ascii="Arial" w:eastAsia="Arial" w:hAnsi="Arial" w:cs="Arial"/>
              </w:rPr>
              <w:t xml:space="preserve">Gastos en Bienes Corrientes y Servicios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20.- Arrendamientos y Cánones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22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6.569,29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577,86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21.- Reparaciones Mantenimiento y Conservación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6,89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63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68.938,25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11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8.621,78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 Material, Suministros y </w:t>
            </w:r>
          </w:p>
          <w:p w:rsidR="00FF384B" w:rsidRDefault="003E3BA9">
            <w:pPr>
              <w:spacing w:after="0"/>
            </w:pPr>
            <w:r>
              <w:rPr>
                <w:rFonts w:ascii="Arial" w:eastAsia="Arial" w:hAnsi="Arial" w:cs="Arial"/>
              </w:rPr>
              <w:t xml:space="preserve">Otros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-2,76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260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398.355,68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162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69.124,72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23.- Indemnizaciones por razón del servicio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-24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311,95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24.- Gastos de Publicaciones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770"/>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pPr>
            <w:r>
              <w:rPr>
                <w:rFonts w:ascii="Arial" w:eastAsia="Arial" w:hAnsi="Arial" w:cs="Arial"/>
              </w:rPr>
              <w:t xml:space="preserve">26.- Trabajos realizados por Instituciones s.f. de lucro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461"/>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19,89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8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47.901,40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3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18.396,10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Otros Pagos realizados por operaciones comerciales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3,61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60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119.523,99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29.185,87 </w:t>
            </w:r>
          </w:p>
        </w:tc>
      </w:tr>
      <w:tr w:rsidR="00FF384B">
        <w:trPr>
          <w:trHeight w:val="772"/>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514"/>
        </w:trPr>
        <w:tc>
          <w:tcPr>
            <w:tcW w:w="294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7"/>
              <w:jc w:val="right"/>
            </w:pPr>
            <w:r>
              <w:rPr>
                <w:rFonts w:ascii="Arial" w:eastAsia="Arial" w:hAnsi="Arial" w:cs="Arial"/>
                <w:b/>
              </w:rPr>
              <w:t>TOTAL pagos realizados en el trimestre</w:t>
            </w:r>
            <w:r>
              <w:rPr>
                <w:rFonts w:ascii="Arial" w:eastAsia="Arial" w:hAnsi="Arial" w:cs="Arial"/>
                <w:sz w:val="24"/>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5"/>
              <w:jc w:val="right"/>
            </w:pPr>
            <w:r>
              <w:rPr>
                <w:rFonts w:ascii="Arial" w:eastAsia="Arial" w:hAnsi="Arial" w:cs="Arial"/>
                <w:b/>
              </w:rPr>
              <w:t>1,44</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8"/>
              <w:jc w:val="right"/>
            </w:pPr>
            <w:r>
              <w:rPr>
                <w:rFonts w:ascii="Arial" w:eastAsia="Arial" w:hAnsi="Arial" w:cs="Arial"/>
                <w:b/>
              </w:rPr>
              <w:t>414</w:t>
            </w:r>
            <w:r>
              <w:rPr>
                <w:rFonts w:ascii="Arial" w:eastAsia="Arial" w:hAnsi="Arial" w:cs="Arial"/>
                <w:sz w:val="24"/>
              </w:rP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4"/>
            </w:pPr>
            <w:r>
              <w:rPr>
                <w:rFonts w:ascii="Arial" w:eastAsia="Arial" w:hAnsi="Arial" w:cs="Arial"/>
                <w:b/>
              </w:rPr>
              <w:t>641.600,56</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190</w:t>
            </w:r>
            <w:r>
              <w:rPr>
                <w:rFonts w:ascii="Arial" w:eastAsia="Arial" w:hAnsi="Arial" w:cs="Arial"/>
                <w:sz w:val="24"/>
              </w:rPr>
              <w:t xml:space="preserve"> </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125.806,33</w:t>
            </w:r>
            <w:r>
              <w:rPr>
                <w:rFonts w:ascii="Arial" w:eastAsia="Arial" w:hAnsi="Arial" w:cs="Arial"/>
                <w:sz w:val="24"/>
              </w:rPr>
              <w:t xml:space="preserve">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Segunda. - El resto de entes han hecho llegar sus datos a esta Tesorería con los siguientes datos: </w:t>
      </w:r>
    </w:p>
    <w:p w:rsidR="00FF384B" w:rsidRDefault="003E3BA9">
      <w:pPr>
        <w:spacing w:after="100"/>
        <w:ind w:left="283"/>
      </w:pPr>
      <w:r>
        <w:rPr>
          <w:rFonts w:ascii="Arial" w:eastAsia="Arial" w:hAnsi="Arial" w:cs="Arial"/>
        </w:rPr>
        <w:t xml:space="preserve"> </w:t>
      </w:r>
    </w:p>
    <w:p w:rsidR="00FF384B" w:rsidRDefault="003E3BA9">
      <w:pPr>
        <w:spacing w:after="95"/>
        <w:ind w:left="283"/>
      </w:pPr>
      <w:r>
        <w:rPr>
          <w:noProof/>
        </w:rPr>
        <mc:AlternateContent>
          <mc:Choice Requires="wpg">
            <w:drawing>
              <wp:anchor distT="0" distB="0" distL="114300" distR="114300" simplePos="0" relativeHeight="2516746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2235" name="Group 49223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14" name="Picture 3914"/>
                          <pic:cNvPicPr/>
                        </pic:nvPicPr>
                        <pic:blipFill>
                          <a:blip r:embed="rId62"/>
                          <a:stretch>
                            <a:fillRect/>
                          </a:stretch>
                        </pic:blipFill>
                        <pic:spPr>
                          <a:xfrm rot="-5399999">
                            <a:off x="-1720849" y="1720849"/>
                            <a:ext cx="3797300" cy="355601"/>
                          </a:xfrm>
                          <a:prstGeom prst="rect">
                            <a:avLst/>
                          </a:prstGeom>
                        </pic:spPr>
                      </pic:pic>
                      <wps:wsp>
                        <wps:cNvPr id="3915" name="Rectangle 391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916" name="Rectangle 391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2235" style="width:41.2715pt;height:299pt;position:absolute;mso-position-horizontal-relative:page;mso-position-horizontal:absolute;margin-left:653.71pt;mso-position-vertical-relative:page;margin-top:512.92pt;" coordsize="5241,37973">
                <v:shape id="Picture 3914" style="position:absolute;width:37973;height:3556;left:-17208;top:17208;rotation:-89;" filled="f">
                  <v:imagedata r:id="rId63"/>
                </v:shape>
                <v:rect id="Rectangle 391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1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353 </w:t>
                        </w:r>
                      </w:p>
                    </w:txbxContent>
                  </v:textbox>
                </v:rect>
                <w10:wrap type="square"/>
              </v:group>
            </w:pict>
          </mc:Fallback>
        </mc:AlternateContent>
      </w:r>
      <w:r>
        <w:rPr>
          <w:rFonts w:ascii="Arial" w:eastAsia="Arial" w:hAnsi="Arial" w:cs="Arial"/>
        </w:rPr>
        <w:t xml:space="preserve"> </w:t>
      </w:r>
    </w:p>
    <w:p w:rsidR="00FF384B" w:rsidRDefault="003E3BA9">
      <w:pPr>
        <w:spacing w:after="113" w:line="247" w:lineRule="auto"/>
        <w:ind w:left="286" w:hanging="3"/>
        <w:jc w:val="both"/>
      </w:pPr>
      <w:r>
        <w:rPr>
          <w:rFonts w:ascii="Arial" w:eastAsia="Arial" w:hAnsi="Arial" w:cs="Arial"/>
          <w:b/>
        </w:rPr>
        <w:t xml:space="preserve">EPELCAN </w:t>
      </w:r>
    </w:p>
    <w:p w:rsidR="00FF384B" w:rsidRDefault="003E3BA9">
      <w:pPr>
        <w:spacing w:after="109" w:line="247" w:lineRule="auto"/>
        <w:ind w:left="278" w:right="244" w:hanging="10"/>
        <w:jc w:val="both"/>
      </w:pPr>
      <w:r>
        <w:rPr>
          <w:rFonts w:ascii="Arial" w:eastAsia="Arial" w:hAnsi="Arial" w:cs="Arial"/>
        </w:rPr>
        <w:t xml:space="preserve">PAGOS REALIZADOS EN </w:t>
      </w:r>
    </w:p>
    <w:p w:rsidR="00FF384B" w:rsidRDefault="003E3BA9">
      <w:pPr>
        <w:spacing w:after="109" w:line="247" w:lineRule="auto"/>
        <w:ind w:left="278" w:right="244" w:hanging="10"/>
        <w:jc w:val="both"/>
      </w:pPr>
      <w:r>
        <w:rPr>
          <w:rFonts w:ascii="Arial" w:eastAsia="Arial" w:hAnsi="Arial" w:cs="Arial"/>
        </w:rPr>
        <w:t xml:space="preserve">EL PERIODO </w:t>
      </w:r>
    </w:p>
    <w:p w:rsidR="00FF384B" w:rsidRDefault="003E3BA9">
      <w:pPr>
        <w:spacing w:after="0"/>
        <w:ind w:left="283"/>
      </w:pPr>
      <w:r>
        <w:rPr>
          <w:rFonts w:ascii="Arial" w:eastAsia="Arial" w:hAnsi="Arial" w:cs="Arial"/>
        </w:rPr>
        <w:t xml:space="preserve"> </w:t>
      </w:r>
    </w:p>
    <w:tbl>
      <w:tblPr>
        <w:tblStyle w:val="TableGrid"/>
        <w:tblW w:w="8500" w:type="dxa"/>
        <w:tblInd w:w="288" w:type="dxa"/>
        <w:tblCellMar>
          <w:top w:w="9" w:type="dxa"/>
          <w:left w:w="106" w:type="dxa"/>
          <w:bottom w:w="0" w:type="dxa"/>
          <w:right w:w="47" w:type="dxa"/>
        </w:tblCellMar>
        <w:tblLook w:val="04A0" w:firstRow="1" w:lastRow="0" w:firstColumn="1" w:lastColumn="0" w:noHBand="0" w:noVBand="1"/>
      </w:tblPr>
      <w:tblGrid>
        <w:gridCol w:w="1704"/>
        <w:gridCol w:w="1695"/>
        <w:gridCol w:w="1702"/>
        <w:gridCol w:w="1699"/>
        <w:gridCol w:w="1700"/>
      </w:tblGrid>
      <w:tr w:rsidR="00FF384B">
        <w:trPr>
          <w:trHeight w:val="384"/>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 </w:t>
            </w:r>
          </w:p>
        </w:tc>
        <w:tc>
          <w:tcPr>
            <w:tcW w:w="3397"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Fuera del Período Legal Pago </w:t>
            </w:r>
          </w:p>
        </w:tc>
      </w:tr>
      <w:tr w:rsidR="00FF384B">
        <w:trPr>
          <w:trHeight w:val="756"/>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Período Medio de Pago (días) </w:t>
            </w:r>
          </w:p>
        </w:tc>
        <w:tc>
          <w:tcPr>
            <w:tcW w:w="1695"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left="7"/>
              <w:jc w:val="both"/>
            </w:pPr>
            <w:r>
              <w:rPr>
                <w:rFonts w:ascii="Arial" w:eastAsia="Arial" w:hAnsi="Arial" w:cs="Arial"/>
              </w:rPr>
              <w:t xml:space="preserve">Número Pagos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3"/>
              <w:jc w:val="center"/>
            </w:pPr>
            <w:r>
              <w:rPr>
                <w:rFonts w:ascii="Arial" w:eastAsia="Arial" w:hAnsi="Arial" w:cs="Arial"/>
              </w:rPr>
              <w:t xml:space="preserve"> </w:t>
            </w:r>
          </w:p>
          <w:p w:rsidR="00FF384B" w:rsidRDefault="003E3BA9">
            <w:pPr>
              <w:spacing w:after="0"/>
              <w:ind w:left="10"/>
              <w:jc w:val="both"/>
            </w:pPr>
            <w:r>
              <w:rPr>
                <w:rFonts w:ascii="Arial" w:eastAsia="Arial" w:hAnsi="Arial" w:cs="Arial"/>
              </w:rPr>
              <w:t xml:space="preserve">Número Pagos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right="56"/>
              <w:jc w:val="center"/>
            </w:pPr>
            <w:r>
              <w:rPr>
                <w:rFonts w:ascii="Arial" w:eastAsia="Arial" w:hAnsi="Arial" w:cs="Arial"/>
              </w:rPr>
              <w:t xml:space="preserve">Importe Total </w:t>
            </w:r>
          </w:p>
        </w:tc>
      </w:tr>
      <w:tr w:rsidR="00FF384B">
        <w:trPr>
          <w:trHeight w:val="384"/>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31,38 </w:t>
            </w:r>
          </w:p>
        </w:tc>
        <w:tc>
          <w:tcPr>
            <w:tcW w:w="169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31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23.437,50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40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11.882,10 </w:t>
            </w:r>
          </w:p>
        </w:tc>
      </w:tr>
    </w:tbl>
    <w:p w:rsidR="00FF384B" w:rsidRDefault="003E3BA9">
      <w:pPr>
        <w:spacing w:after="98"/>
        <w:ind w:left="283"/>
      </w:pPr>
      <w:r>
        <w:rPr>
          <w:rFonts w:ascii="Arial" w:eastAsia="Arial" w:hAnsi="Arial" w:cs="Arial"/>
        </w:rPr>
        <w:t xml:space="preserve"> </w:t>
      </w:r>
    </w:p>
    <w:p w:rsidR="00FF384B" w:rsidRDefault="003E3BA9">
      <w:pPr>
        <w:spacing w:after="101"/>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rFonts w:ascii="Arial" w:eastAsia="Arial" w:hAnsi="Arial" w:cs="Arial"/>
        </w:rPr>
        <w:t xml:space="preserve">FINAL DEL PERIODO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26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118" w:line="240" w:lineRule="auto"/>
              <w:ind w:left="2"/>
              <w:jc w:val="both"/>
            </w:pPr>
            <w:r>
              <w:rPr>
                <w:rFonts w:ascii="Arial" w:eastAsia="Arial" w:hAnsi="Arial" w:cs="Arial"/>
              </w:rPr>
              <w:t xml:space="preserve">Período Medio de Pago </w:t>
            </w:r>
          </w:p>
          <w:p w:rsidR="00FF384B" w:rsidRDefault="003E3BA9">
            <w:pPr>
              <w:spacing w:after="0"/>
              <w:ind w:left="2"/>
            </w:pPr>
            <w:r>
              <w:rPr>
                <w:rFonts w:ascii="Arial" w:eastAsia="Arial" w:hAnsi="Arial" w:cs="Arial"/>
              </w:rPr>
              <w:t xml:space="preserve">Pendiente </w:t>
            </w:r>
          </w:p>
          <w:p w:rsidR="00FF384B" w:rsidRDefault="003E3BA9">
            <w:pPr>
              <w:spacing w:after="0"/>
              <w:ind w:left="2"/>
            </w:pPr>
            <w:r>
              <w:rPr>
                <w:rFonts w:ascii="Arial" w:eastAsia="Arial" w:hAnsi="Arial" w:cs="Arial"/>
              </w:rPr>
              <w:t xml:space="preserv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Número </w:t>
            </w:r>
          </w:p>
          <w:p w:rsidR="00FF384B" w:rsidRDefault="003E3BA9">
            <w:pPr>
              <w:spacing w:after="0"/>
              <w:ind w:right="61"/>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Número </w:t>
            </w:r>
          </w:p>
          <w:p w:rsidR="00FF384B" w:rsidRDefault="003E3BA9">
            <w:pPr>
              <w:spacing w:after="0"/>
              <w:ind w:right="53"/>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8"/>
              <w:jc w:val="center"/>
            </w:pPr>
            <w:r>
              <w:rPr>
                <w:rFonts w:ascii="Arial" w:eastAsia="Arial" w:hAnsi="Arial" w:cs="Arial"/>
              </w:rPr>
              <w:t xml:space="preserve">30,89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32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11.246,93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646,37 </w:t>
            </w:r>
          </w:p>
        </w:tc>
      </w:tr>
    </w:tbl>
    <w:p w:rsidR="00FF384B" w:rsidRDefault="003E3BA9">
      <w:pPr>
        <w:spacing w:after="96"/>
        <w:ind w:left="283"/>
      </w:pPr>
      <w:r>
        <w:rPr>
          <w:rFonts w:ascii="Arial" w:eastAsia="Arial" w:hAnsi="Arial" w:cs="Arial"/>
        </w:rPr>
        <w:t xml:space="preserve"> </w:t>
      </w:r>
    </w:p>
    <w:p w:rsidR="00FF384B" w:rsidRDefault="003E3BA9">
      <w:pPr>
        <w:spacing w:after="111" w:line="247" w:lineRule="auto"/>
        <w:ind w:left="286" w:hanging="3"/>
        <w:jc w:val="both"/>
      </w:pPr>
      <w:r>
        <w:rPr>
          <w:rFonts w:ascii="Arial" w:eastAsia="Arial" w:hAnsi="Arial" w:cs="Arial"/>
          <w:b/>
        </w:rPr>
        <w:t xml:space="preserve">VIVIENDAS Y SERVICIOS MUNICIPALES </w:t>
      </w:r>
    </w:p>
    <w:p w:rsidR="00FF384B" w:rsidRDefault="003E3BA9">
      <w:pPr>
        <w:spacing w:after="111" w:line="247" w:lineRule="auto"/>
        <w:ind w:left="286" w:hanging="3"/>
        <w:jc w:val="both"/>
      </w:pPr>
      <w:r>
        <w:rPr>
          <w:rFonts w:ascii="Arial" w:eastAsia="Arial" w:hAnsi="Arial" w:cs="Arial"/>
          <w:b/>
        </w:rPr>
        <w:t xml:space="preserve">DE CANDELARIA </w:t>
      </w:r>
    </w:p>
    <w:p w:rsidR="00FF384B" w:rsidRDefault="003E3BA9">
      <w:pPr>
        <w:spacing w:after="109" w:line="247" w:lineRule="auto"/>
        <w:ind w:left="278" w:right="244" w:hanging="10"/>
        <w:jc w:val="both"/>
      </w:pPr>
      <w:r>
        <w:rPr>
          <w:rFonts w:ascii="Arial" w:eastAsia="Arial" w:hAnsi="Arial" w:cs="Arial"/>
        </w:rPr>
        <w:t xml:space="preserve">PAGOS REALIZADOS EN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756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3193" name="Group 47319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73" name="Picture 4373"/>
                          <pic:cNvPicPr/>
                        </pic:nvPicPr>
                        <pic:blipFill>
                          <a:blip r:embed="rId62"/>
                          <a:stretch>
                            <a:fillRect/>
                          </a:stretch>
                        </pic:blipFill>
                        <pic:spPr>
                          <a:xfrm rot="-5399999">
                            <a:off x="-1720849" y="1720849"/>
                            <a:ext cx="3797300" cy="355601"/>
                          </a:xfrm>
                          <a:prstGeom prst="rect">
                            <a:avLst/>
                          </a:prstGeom>
                        </pic:spPr>
                      </pic:pic>
                      <wps:wsp>
                        <wps:cNvPr id="4374" name="Rectangle 43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75" name="Rectangle 437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3193" style="width:41.2715pt;height:299pt;position:absolute;mso-position-horizontal-relative:page;mso-position-horizontal:absolute;margin-left:653.71pt;mso-position-vertical-relative:page;margin-top:512.92pt;" coordsize="5241,37973">
                <v:shape id="Picture 4373" style="position:absolute;width:37973;height:3556;left:-17208;top:17208;rotation:-89;" filled="f">
                  <v:imagedata r:id="rId63"/>
                </v:shape>
                <v:rect id="Rectangle 43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7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353 </w:t>
                        </w:r>
                      </w:p>
                    </w:txbxContent>
                  </v:textbox>
                </v:rect>
                <w10:wrap type="square"/>
              </v:group>
            </w:pict>
          </mc:Fallback>
        </mc:AlternateContent>
      </w:r>
      <w:r>
        <w:rPr>
          <w:rFonts w:ascii="Arial" w:eastAsia="Arial" w:hAnsi="Arial" w:cs="Arial"/>
        </w:rPr>
        <w:t xml:space="preserve">EL PERIODO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Fuera del Período</w:t>
            </w:r>
            <w:r>
              <w:rPr>
                <w:rFonts w:ascii="Arial" w:eastAsia="Arial" w:hAnsi="Arial" w:cs="Arial"/>
              </w:rPr>
              <w:t xml:space="preserve"> Legal Pago </w:t>
            </w:r>
          </w:p>
        </w:tc>
      </w:tr>
      <w:tr w:rsidR="00FF384B">
        <w:trPr>
          <w:trHeight w:val="756"/>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jc w:val="both"/>
            </w:pPr>
            <w:r>
              <w:rPr>
                <w:rFonts w:ascii="Arial" w:eastAsia="Arial" w:hAnsi="Arial" w:cs="Arial"/>
              </w:rPr>
              <w:t xml:space="preserve">Período Medio de Pago (días)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left="5"/>
              <w:jc w:val="both"/>
            </w:pPr>
            <w:r>
              <w:rPr>
                <w:rFonts w:ascii="Arial" w:eastAsia="Arial" w:hAnsi="Arial" w:cs="Arial"/>
              </w:rPr>
              <w:t xml:space="preserve">Número Pagos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left="10"/>
              <w:jc w:val="both"/>
            </w:pPr>
            <w:r>
              <w:rPr>
                <w:rFonts w:ascii="Arial" w:eastAsia="Arial" w:hAnsi="Arial" w:cs="Arial"/>
              </w:rPr>
              <w:t xml:space="preserve">Número Pagos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8"/>
              <w:jc w:val="center"/>
            </w:pPr>
            <w:r>
              <w:rPr>
                <w:rFonts w:ascii="Arial" w:eastAsia="Arial" w:hAnsi="Arial" w:cs="Arial"/>
              </w:rPr>
              <w:t xml:space="preserve">25,36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19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7.053,08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15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3.639,63 </w:t>
            </w:r>
          </w:p>
        </w:tc>
      </w:tr>
    </w:tbl>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rFonts w:ascii="Arial" w:eastAsia="Arial" w:hAnsi="Arial" w:cs="Arial"/>
        </w:rPr>
        <w:t xml:space="preserve">FINAL DEL PERÍODO </w:t>
      </w:r>
    </w:p>
    <w:tbl>
      <w:tblPr>
        <w:tblStyle w:val="TableGrid"/>
        <w:tblW w:w="8500" w:type="dxa"/>
        <w:tblInd w:w="288" w:type="dxa"/>
        <w:tblCellMar>
          <w:top w:w="9" w:type="dxa"/>
          <w:left w:w="106" w:type="dxa"/>
          <w:bottom w:w="0" w:type="dxa"/>
          <w:right w:w="49"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89"/>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right="57"/>
              <w:jc w:val="center"/>
            </w:pPr>
            <w:r>
              <w:rPr>
                <w:rFonts w:ascii="Arial" w:eastAsia="Arial" w:hAnsi="Arial" w:cs="Arial"/>
              </w:rPr>
              <w:t xml:space="preserve">Fuera del Período Legal Pago </w:t>
            </w:r>
          </w:p>
        </w:tc>
      </w:tr>
      <w:tr w:rsidR="00FF384B">
        <w:trPr>
          <w:trHeight w:val="114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line="240" w:lineRule="auto"/>
              <w:ind w:left="2"/>
              <w:jc w:val="both"/>
            </w:pPr>
            <w:r>
              <w:rPr>
                <w:rFonts w:ascii="Arial" w:eastAsia="Arial" w:hAnsi="Arial" w:cs="Arial"/>
              </w:rPr>
              <w:t xml:space="preserve">Período Medio de Pago </w:t>
            </w:r>
          </w:p>
          <w:p w:rsidR="00FF384B" w:rsidRDefault="003E3BA9">
            <w:pPr>
              <w:spacing w:after="0"/>
              <w:ind w:left="2"/>
            </w:pPr>
            <w:r>
              <w:rPr>
                <w:rFonts w:ascii="Arial" w:eastAsia="Arial" w:hAnsi="Arial" w:cs="Arial"/>
              </w:rPr>
              <w:t xml:space="preserve">Pendiente </w:t>
            </w:r>
          </w:p>
          <w:p w:rsidR="00FF384B" w:rsidRDefault="003E3BA9">
            <w:pPr>
              <w:spacing w:after="0"/>
              <w:ind w:left="2"/>
            </w:pPr>
            <w:r>
              <w:rPr>
                <w:rFonts w:ascii="Arial" w:eastAsia="Arial" w:hAnsi="Arial" w:cs="Arial"/>
              </w:rPr>
              <w:t xml:space="preserv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Número </w:t>
            </w:r>
          </w:p>
          <w:p w:rsidR="00FF384B" w:rsidRDefault="003E3BA9">
            <w:pPr>
              <w:spacing w:after="0"/>
              <w:ind w:right="62"/>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right="59"/>
              <w:jc w:val="center"/>
            </w:pPr>
            <w:r>
              <w:rPr>
                <w:rFonts w:ascii="Arial" w:eastAsia="Arial" w:hAnsi="Arial" w:cs="Arial"/>
              </w:rPr>
              <w:t xml:space="preserve">Número </w:t>
            </w:r>
          </w:p>
          <w:p w:rsidR="00FF384B" w:rsidRDefault="003E3BA9">
            <w:pPr>
              <w:spacing w:after="0"/>
              <w:ind w:right="54"/>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61"/>
              <w:jc w:val="center"/>
            </w:pPr>
            <w:r>
              <w:rPr>
                <w:rFonts w:ascii="Arial" w:eastAsia="Arial" w:hAnsi="Arial" w:cs="Arial"/>
              </w:rPr>
              <w:t xml:space="preserve">11,61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16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11.852,80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260,02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3" w:line="247" w:lineRule="auto"/>
        <w:ind w:left="286" w:hanging="3"/>
        <w:jc w:val="both"/>
      </w:pPr>
      <w:r>
        <w:rPr>
          <w:rFonts w:ascii="Arial" w:eastAsia="Arial" w:hAnsi="Arial" w:cs="Arial"/>
          <w:b/>
        </w:rPr>
        <w:t xml:space="preserve">CANDESOL </w:t>
      </w:r>
    </w:p>
    <w:p w:rsidR="00FF384B" w:rsidRDefault="003E3BA9">
      <w:pPr>
        <w:spacing w:after="109" w:line="247" w:lineRule="auto"/>
        <w:ind w:left="278" w:right="244" w:hanging="10"/>
        <w:jc w:val="both"/>
      </w:pPr>
      <w:r>
        <w:rPr>
          <w:rFonts w:ascii="Arial" w:eastAsia="Arial" w:hAnsi="Arial" w:cs="Arial"/>
        </w:rPr>
        <w:t xml:space="preserve">PAGOS REALIZADOS EN </w:t>
      </w:r>
    </w:p>
    <w:p w:rsidR="00FF384B" w:rsidRDefault="003E3BA9">
      <w:pPr>
        <w:spacing w:after="5" w:line="247" w:lineRule="auto"/>
        <w:ind w:left="278" w:right="244" w:hanging="10"/>
        <w:jc w:val="both"/>
      </w:pPr>
      <w:r>
        <w:rPr>
          <w:rFonts w:ascii="Arial" w:eastAsia="Arial" w:hAnsi="Arial" w:cs="Arial"/>
        </w:rPr>
        <w:t xml:space="preserve">EL PERÍODO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696"/>
        <w:gridCol w:w="1695"/>
        <w:gridCol w:w="1707"/>
        <w:gridCol w:w="1697"/>
        <w:gridCol w:w="1705"/>
      </w:tblGrid>
      <w:tr w:rsidR="00FF384B">
        <w:trPr>
          <w:trHeight w:val="384"/>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402"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401"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129"/>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0" w:line="240" w:lineRule="auto"/>
              <w:ind w:left="2"/>
              <w:jc w:val="both"/>
            </w:pPr>
            <w:r>
              <w:rPr>
                <w:rFonts w:ascii="Arial" w:eastAsia="Arial" w:hAnsi="Arial" w:cs="Arial"/>
              </w:rPr>
              <w:t xml:space="preserve">Período Medio de Pagos </w:t>
            </w:r>
          </w:p>
          <w:p w:rsidR="00FF384B" w:rsidRDefault="003E3BA9">
            <w:pPr>
              <w:spacing w:after="0"/>
              <w:ind w:left="2"/>
            </w:pPr>
            <w:r>
              <w:rPr>
                <w:rFonts w:ascii="Arial" w:eastAsia="Arial" w:hAnsi="Arial" w:cs="Arial"/>
              </w:rPr>
              <w:t xml:space="preserve">(días) </w:t>
            </w:r>
          </w:p>
        </w:tc>
        <w:tc>
          <w:tcPr>
            <w:tcW w:w="1695" w:type="dxa"/>
            <w:tcBorders>
              <w:top w:val="single" w:sz="4" w:space="0" w:color="000000"/>
              <w:left w:val="single" w:sz="6" w:space="0" w:color="000000"/>
              <w:bottom w:val="single" w:sz="4" w:space="0" w:color="000000"/>
              <w:right w:val="single" w:sz="4" w:space="0" w:color="000000"/>
            </w:tcBorders>
          </w:tcPr>
          <w:p w:rsidR="00FF384B" w:rsidRDefault="003E3BA9">
            <w:pPr>
              <w:spacing w:after="101"/>
              <w:ind w:left="1"/>
              <w:jc w:val="center"/>
            </w:pPr>
            <w:r>
              <w:rPr>
                <w:rFonts w:ascii="Arial" w:eastAsia="Arial" w:hAnsi="Arial" w:cs="Arial"/>
              </w:rPr>
              <w:t xml:space="preserve"> </w:t>
            </w:r>
          </w:p>
          <w:p w:rsidR="00FF384B" w:rsidRDefault="003E3BA9">
            <w:pPr>
              <w:spacing w:after="0"/>
              <w:ind w:left="7"/>
              <w:jc w:val="both"/>
            </w:pPr>
            <w:r>
              <w:rPr>
                <w:rFonts w:ascii="Arial" w:eastAsia="Arial" w:hAnsi="Arial" w:cs="Arial"/>
              </w:rPr>
              <w:t xml:space="preserve">Número Pagos </w:t>
            </w:r>
          </w:p>
        </w:tc>
        <w:tc>
          <w:tcPr>
            <w:tcW w:w="1707" w:type="dxa"/>
            <w:tcBorders>
              <w:top w:val="single" w:sz="4" w:space="0" w:color="000000"/>
              <w:left w:val="single" w:sz="4" w:space="0" w:color="000000"/>
              <w:bottom w:val="single" w:sz="4" w:space="0" w:color="000000"/>
              <w:right w:val="single" w:sz="4" w:space="0" w:color="000000"/>
            </w:tcBorders>
          </w:tcPr>
          <w:p w:rsidR="00FF384B" w:rsidRDefault="003E3BA9">
            <w:pPr>
              <w:spacing w:after="101"/>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7"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left="3"/>
              <w:jc w:val="center"/>
            </w:pPr>
            <w:r>
              <w:rPr>
                <w:rFonts w:ascii="Arial" w:eastAsia="Arial" w:hAnsi="Arial" w:cs="Arial"/>
              </w:rPr>
              <w:t xml:space="preserve"> </w:t>
            </w:r>
          </w:p>
          <w:p w:rsidR="00FF384B" w:rsidRDefault="003E3BA9">
            <w:pPr>
              <w:spacing w:after="98"/>
              <w:ind w:right="56"/>
              <w:jc w:val="center"/>
            </w:pPr>
            <w:r>
              <w:rPr>
                <w:rFonts w:ascii="Arial" w:eastAsia="Arial" w:hAnsi="Arial" w:cs="Arial"/>
              </w:rPr>
              <w:t xml:space="preserve">Número </w:t>
            </w:r>
          </w:p>
          <w:p w:rsidR="00FF384B" w:rsidRDefault="003E3BA9">
            <w:pPr>
              <w:spacing w:after="0"/>
              <w:ind w:right="56"/>
              <w:jc w:val="center"/>
            </w:pPr>
            <w:r>
              <w:rPr>
                <w:rFonts w:ascii="Arial" w:eastAsia="Arial" w:hAnsi="Arial" w:cs="Arial"/>
              </w:rPr>
              <w:t xml:space="preserve">Pagos </w:t>
            </w:r>
          </w:p>
        </w:tc>
        <w:tc>
          <w:tcPr>
            <w:tcW w:w="1705"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871"/>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98"/>
              <w:ind w:left="3"/>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12,28 </w:t>
            </w:r>
          </w:p>
        </w:tc>
        <w:tc>
          <w:tcPr>
            <w:tcW w:w="1695" w:type="dxa"/>
            <w:tcBorders>
              <w:top w:val="single" w:sz="4" w:space="0" w:color="000000"/>
              <w:left w:val="single" w:sz="6" w:space="0" w:color="000000"/>
              <w:bottom w:val="single" w:sz="4" w:space="0" w:color="000000"/>
              <w:right w:val="single" w:sz="4" w:space="0" w:color="000000"/>
            </w:tcBorders>
          </w:tcPr>
          <w:p w:rsidR="00FF384B" w:rsidRDefault="003E3BA9">
            <w:pPr>
              <w:spacing w:after="98"/>
              <w:ind w:left="1"/>
              <w:jc w:val="center"/>
            </w:pPr>
            <w:r>
              <w:rPr>
                <w:rFonts w:ascii="Arial" w:eastAsia="Arial" w:hAnsi="Arial" w:cs="Arial"/>
              </w:rPr>
              <w:t xml:space="preserve"> </w:t>
            </w:r>
          </w:p>
          <w:p w:rsidR="00FF384B" w:rsidRDefault="003E3BA9">
            <w:pPr>
              <w:spacing w:after="0"/>
              <w:ind w:right="60"/>
              <w:jc w:val="center"/>
            </w:pPr>
            <w:r>
              <w:rPr>
                <w:rFonts w:ascii="Arial" w:eastAsia="Arial" w:hAnsi="Arial" w:cs="Arial"/>
              </w:rPr>
              <w:t xml:space="preserve">56 </w:t>
            </w:r>
          </w:p>
        </w:tc>
        <w:tc>
          <w:tcPr>
            <w:tcW w:w="1707"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 </w:t>
            </w:r>
          </w:p>
          <w:p w:rsidR="00FF384B" w:rsidRDefault="003E3BA9">
            <w:pPr>
              <w:spacing w:after="0"/>
              <w:ind w:right="56"/>
              <w:jc w:val="center"/>
            </w:pPr>
            <w:r>
              <w:rPr>
                <w:rFonts w:ascii="Arial" w:eastAsia="Arial" w:hAnsi="Arial" w:cs="Arial"/>
              </w:rPr>
              <w:t>11.598,23€</w:t>
            </w:r>
            <w:r>
              <w:rPr>
                <w:rFonts w:ascii="Times New Roman" w:eastAsia="Times New Roman" w:hAnsi="Times New Roman" w:cs="Times New Roman"/>
                <w:sz w:val="24"/>
              </w:rPr>
              <w:t xml:space="preserve"> </w:t>
            </w:r>
          </w:p>
          <w:p w:rsidR="00FF384B" w:rsidRDefault="003E3BA9">
            <w:pPr>
              <w:spacing w:after="0"/>
              <w:ind w:right="56"/>
              <w:jc w:val="center"/>
            </w:pPr>
            <w:r>
              <w:rPr>
                <w:rFonts w:ascii="Arial" w:eastAsia="Arial" w:hAnsi="Arial" w:cs="Arial"/>
                <w:sz w:val="2"/>
              </w:rPr>
              <w:t xml:space="preserve"> </w:t>
            </w:r>
          </w:p>
        </w:tc>
        <w:tc>
          <w:tcPr>
            <w:tcW w:w="1697"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3"/>
              <w:jc w:val="center"/>
            </w:pPr>
            <w:r>
              <w:rPr>
                <w:rFonts w:ascii="Arial" w:eastAsia="Arial" w:hAnsi="Arial" w:cs="Arial"/>
              </w:rPr>
              <w:t xml:space="preserve"> </w:t>
            </w:r>
          </w:p>
          <w:p w:rsidR="00FF384B" w:rsidRDefault="003E3BA9">
            <w:pPr>
              <w:spacing w:after="0"/>
              <w:ind w:right="56"/>
              <w:jc w:val="center"/>
            </w:pPr>
            <w:r>
              <w:rPr>
                <w:rFonts w:ascii="Arial" w:eastAsia="Arial" w:hAnsi="Arial" w:cs="Arial"/>
              </w:rPr>
              <w:t xml:space="preserve">3 </w:t>
            </w:r>
          </w:p>
        </w:tc>
        <w:tc>
          <w:tcPr>
            <w:tcW w:w="1705" w:type="dxa"/>
            <w:tcBorders>
              <w:top w:val="single" w:sz="4" w:space="0" w:color="000000"/>
              <w:left w:val="single" w:sz="4" w:space="0" w:color="000000"/>
              <w:bottom w:val="single" w:sz="4" w:space="0" w:color="000000"/>
              <w:right w:val="single" w:sz="4" w:space="0" w:color="000000"/>
            </w:tcBorders>
          </w:tcPr>
          <w:p w:rsidR="00FF384B" w:rsidRDefault="003E3BA9">
            <w:pPr>
              <w:spacing w:after="1"/>
              <w:ind w:left="2"/>
            </w:pPr>
            <w:r>
              <w:rPr>
                <w:rFonts w:ascii="Arial" w:eastAsia="Arial" w:hAnsi="Arial" w:cs="Arial"/>
              </w:rPr>
              <w:t xml:space="preserve"> </w:t>
            </w:r>
          </w:p>
          <w:p w:rsidR="00FF384B" w:rsidRDefault="003E3BA9">
            <w:pPr>
              <w:spacing w:after="103"/>
              <w:ind w:right="58"/>
              <w:jc w:val="center"/>
            </w:pPr>
            <w:r>
              <w:rPr>
                <w:rFonts w:ascii="Arial" w:eastAsia="Arial" w:hAnsi="Arial" w:cs="Arial"/>
              </w:rPr>
              <w:t>249,11€</w:t>
            </w:r>
            <w:r>
              <w:rPr>
                <w:rFonts w:ascii="Times New Roman" w:eastAsia="Times New Roman" w:hAnsi="Times New Roman" w:cs="Times New Roman"/>
                <w:sz w:val="24"/>
              </w:rPr>
              <w:t xml:space="preserve"> </w:t>
            </w:r>
          </w:p>
          <w:p w:rsidR="00FF384B" w:rsidRDefault="003E3BA9">
            <w:pPr>
              <w:spacing w:after="0"/>
              <w:ind w:right="53"/>
              <w:jc w:val="center"/>
            </w:pPr>
            <w:r>
              <w:rPr>
                <w:rFonts w:ascii="Arial" w:eastAsia="Arial" w:hAnsi="Arial" w:cs="Arial"/>
                <w:sz w:val="2"/>
              </w:rPr>
              <w:t xml:space="preserve"> </w:t>
            </w:r>
          </w:p>
        </w:tc>
      </w:tr>
    </w:tbl>
    <w:p w:rsidR="00FF384B" w:rsidRDefault="003E3BA9">
      <w:pPr>
        <w:spacing w:after="98"/>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11"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766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8481" name="Group 43848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674" name="Picture 4674"/>
                          <pic:cNvPicPr/>
                        </pic:nvPicPr>
                        <pic:blipFill>
                          <a:blip r:embed="rId62"/>
                          <a:stretch>
                            <a:fillRect/>
                          </a:stretch>
                        </pic:blipFill>
                        <pic:spPr>
                          <a:xfrm rot="-5399999">
                            <a:off x="-1720849" y="1720849"/>
                            <a:ext cx="3797300" cy="355601"/>
                          </a:xfrm>
                          <a:prstGeom prst="rect">
                            <a:avLst/>
                          </a:prstGeom>
                        </pic:spPr>
                      </pic:pic>
                      <wps:wsp>
                        <wps:cNvPr id="4675" name="Rectangle 467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676" name="Rectangle 467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8481" style="width:41.2715pt;height:299pt;position:absolute;mso-position-horizontal-relative:page;mso-position-horizontal:absolute;margin-left:653.71pt;mso-position-vertical-relative:page;margin-top:512.92pt;" coordsize="5241,37973">
                <v:shape id="Picture 4674" style="position:absolute;width:37973;height:3556;left:-17208;top:17208;rotation:-89;" filled="f">
                  <v:imagedata r:id="rId63"/>
                </v:shape>
                <v:rect id="Rectangle 467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67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353 </w:t>
                        </w:r>
                      </w:p>
                    </w:txbxContent>
                  </v:textbox>
                </v:rect>
                <w10:wrap type="square"/>
              </v:group>
            </w:pict>
          </mc:Fallback>
        </mc:AlternateContent>
      </w:r>
      <w:r>
        <w:rPr>
          <w:rFonts w:ascii="Arial" w:eastAsia="Arial" w:hAnsi="Arial" w:cs="Arial"/>
        </w:rPr>
        <w:t xml:space="preserve">FINAL DEL PERÍODO </w:t>
      </w:r>
    </w:p>
    <w:tbl>
      <w:tblPr>
        <w:tblStyle w:val="TableGrid"/>
        <w:tblW w:w="8572" w:type="dxa"/>
        <w:tblInd w:w="288" w:type="dxa"/>
        <w:tblCellMar>
          <w:top w:w="9" w:type="dxa"/>
          <w:left w:w="106" w:type="dxa"/>
          <w:bottom w:w="0" w:type="dxa"/>
          <w:right w:w="51" w:type="dxa"/>
        </w:tblCellMar>
        <w:tblLook w:val="04A0" w:firstRow="1" w:lastRow="0" w:firstColumn="1" w:lastColumn="0" w:noHBand="0" w:noVBand="1"/>
      </w:tblPr>
      <w:tblGrid>
        <w:gridCol w:w="1774"/>
        <w:gridCol w:w="1697"/>
        <w:gridCol w:w="1702"/>
        <w:gridCol w:w="1699"/>
        <w:gridCol w:w="1700"/>
      </w:tblGrid>
      <w:tr w:rsidR="00FF384B">
        <w:trPr>
          <w:trHeight w:val="384"/>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128"/>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2" w:line="238" w:lineRule="auto"/>
              <w:ind w:left="2"/>
              <w:jc w:val="both"/>
            </w:pPr>
            <w:r>
              <w:rPr>
                <w:rFonts w:ascii="Arial" w:eastAsia="Arial" w:hAnsi="Arial" w:cs="Arial"/>
              </w:rPr>
              <w:t xml:space="preserve">Período Medio de Pagos </w:t>
            </w:r>
          </w:p>
          <w:p w:rsidR="00FF384B" w:rsidRDefault="003E3BA9">
            <w:pPr>
              <w:spacing w:after="0"/>
              <w:ind w:left="2"/>
            </w:pPr>
            <w:r>
              <w:rPr>
                <w:rFonts w:ascii="Arial" w:eastAsia="Arial" w:hAnsi="Arial" w:cs="Arial"/>
              </w:rPr>
              <w:t xml:space="preserve">Pendiente(días)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98"/>
              <w:ind w:left="1"/>
              <w:jc w:val="center"/>
            </w:pPr>
            <w:r>
              <w:rPr>
                <w:rFonts w:ascii="Arial" w:eastAsia="Arial" w:hAnsi="Arial" w:cs="Arial"/>
              </w:rPr>
              <w:t xml:space="preserve"> </w:t>
            </w:r>
          </w:p>
          <w:p w:rsidR="00FF384B" w:rsidRDefault="003E3BA9">
            <w:pPr>
              <w:spacing w:after="0"/>
              <w:ind w:right="64"/>
              <w:jc w:val="center"/>
            </w:pPr>
            <w:r>
              <w:rPr>
                <w:rFonts w:ascii="Arial" w:eastAsia="Arial" w:hAnsi="Arial" w:cs="Arial"/>
              </w:rPr>
              <w:t xml:space="preserve">Número </w:t>
            </w:r>
          </w:p>
          <w:p w:rsidR="00FF384B" w:rsidRDefault="003E3BA9">
            <w:pPr>
              <w:spacing w:after="0"/>
              <w:ind w:right="59"/>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98"/>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7"/>
              <w:jc w:val="center"/>
            </w:pPr>
            <w:r>
              <w:rPr>
                <w:rFonts w:ascii="Arial" w:eastAsia="Arial" w:hAnsi="Arial" w:cs="Arial"/>
              </w:rPr>
              <w:t xml:space="preserve"> </w:t>
            </w:r>
          </w:p>
          <w:p w:rsidR="00FF384B" w:rsidRDefault="003E3BA9">
            <w:pPr>
              <w:spacing w:after="100"/>
              <w:ind w:right="52"/>
              <w:jc w:val="center"/>
            </w:pPr>
            <w:r>
              <w:rPr>
                <w:rFonts w:ascii="Arial" w:eastAsia="Arial" w:hAnsi="Arial" w:cs="Arial"/>
              </w:rPr>
              <w:t xml:space="preserve">Número </w:t>
            </w:r>
          </w:p>
          <w:p w:rsidR="00FF384B" w:rsidRDefault="003E3BA9">
            <w:pPr>
              <w:spacing w:after="0"/>
              <w:ind w:right="52"/>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9"/>
              <w:jc w:val="center"/>
            </w:pPr>
            <w:r>
              <w:rPr>
                <w:rFonts w:ascii="Arial" w:eastAsia="Arial" w:hAnsi="Arial" w:cs="Arial"/>
              </w:rPr>
              <w:t xml:space="preserve">0,00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0,00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2"/>
              <w:jc w:val="center"/>
            </w:pPr>
            <w:r>
              <w:rPr>
                <w:rFonts w:ascii="Arial" w:eastAsia="Arial" w:hAnsi="Arial" w:cs="Arial"/>
              </w:rPr>
              <w:t xml:space="preserve">0,00 </w:t>
            </w:r>
          </w:p>
        </w:tc>
      </w:tr>
    </w:tbl>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110" w:line="247" w:lineRule="auto"/>
        <w:ind w:left="278" w:right="244" w:hanging="10"/>
        <w:jc w:val="both"/>
      </w:pPr>
      <w:r>
        <w:rPr>
          <w:rFonts w:ascii="Arial" w:eastAsia="Arial" w:hAnsi="Arial" w:cs="Arial"/>
        </w:rPr>
        <w:t xml:space="preserve">     </w:t>
      </w:r>
      <w:r>
        <w:rPr>
          <w:rFonts w:ascii="Arial" w:eastAsia="Arial" w:hAnsi="Arial" w:cs="Arial"/>
        </w:rPr>
        <w:t>Esto es cuanto se tiene a bien informar en cumplimiento del artículo 4 de la Ley 15/2010, de 5 de julio, de modificación de la Ley 3/2004, de 29 de diciembre, por la que se establecen medidas de lucha contra la morosidad en las operaciones comerciales, dán</w:t>
      </w:r>
      <w:r>
        <w:rPr>
          <w:rFonts w:ascii="Arial" w:eastAsia="Arial" w:hAnsi="Arial" w:cs="Arial"/>
        </w:rPr>
        <w:t xml:space="preserve">dose traslado del presente informe a la Alcaldía, para su remisión al Pleno.” </w:t>
      </w:r>
    </w:p>
    <w:p w:rsidR="00FF384B" w:rsidRDefault="003E3BA9">
      <w:pPr>
        <w:spacing w:after="100"/>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0"/>
        <w:ind w:left="10" w:right="246" w:hanging="10"/>
        <w:jc w:val="right"/>
      </w:pPr>
      <w:r>
        <w:rPr>
          <w:rFonts w:ascii="Arial" w:eastAsia="Arial" w:hAnsi="Arial" w:cs="Arial"/>
          <w:b/>
        </w:rPr>
        <w:t xml:space="preserve">Consta en el expediente propuesta del Concejal delegado de Hacienda, D. </w:t>
      </w:r>
    </w:p>
    <w:p w:rsidR="00FF384B" w:rsidRDefault="003E3BA9">
      <w:pPr>
        <w:spacing w:after="15" w:line="247" w:lineRule="auto"/>
        <w:ind w:left="286" w:hanging="3"/>
        <w:jc w:val="both"/>
      </w:pPr>
      <w:r>
        <w:rPr>
          <w:rFonts w:ascii="Arial" w:eastAsia="Arial" w:hAnsi="Arial" w:cs="Arial"/>
          <w:b/>
        </w:rPr>
        <w:t xml:space="preserve">Airam Pérez Chinea, de fecha 14 de abril de 2021, que transcrito literalmente dice: </w:t>
      </w:r>
    </w:p>
    <w:p w:rsidR="00FF384B" w:rsidRDefault="003E3BA9">
      <w:pPr>
        <w:spacing w:after="134"/>
        <w:ind w:left="283"/>
      </w:pPr>
      <w:r>
        <w:rPr>
          <w:rFonts w:ascii="Arial" w:eastAsia="Arial" w:hAnsi="Arial" w:cs="Arial"/>
        </w:rPr>
        <w:t xml:space="preserve"> </w:t>
      </w:r>
    </w:p>
    <w:p w:rsidR="00FF384B" w:rsidRDefault="003E3BA9">
      <w:pPr>
        <w:pStyle w:val="Ttulo1"/>
        <w:ind w:left="767" w:right="729"/>
      </w:pPr>
      <w:r>
        <w:t xml:space="preserve">“PROPUESTA DEL CONCEJAL DELEGADO DE HACIENDA </w:t>
      </w:r>
    </w:p>
    <w:p w:rsidR="00FF384B" w:rsidRDefault="003E3BA9">
      <w:pPr>
        <w:spacing w:after="0"/>
        <w:ind w:left="87"/>
        <w:jc w:val="center"/>
      </w:pPr>
      <w:r>
        <w:rPr>
          <w:rFonts w:ascii="Arial" w:eastAsia="Arial" w:hAnsi="Arial" w:cs="Arial"/>
        </w:rPr>
        <w:t xml:space="preserve"> </w:t>
      </w:r>
    </w:p>
    <w:p w:rsidR="00FF384B" w:rsidRDefault="003E3BA9">
      <w:pPr>
        <w:spacing w:after="3" w:line="238" w:lineRule="auto"/>
        <w:ind w:left="278" w:hanging="10"/>
      </w:pPr>
      <w:r>
        <w:rPr>
          <w:rFonts w:ascii="Arial" w:eastAsia="Arial" w:hAnsi="Arial" w:cs="Arial"/>
          <w:b/>
        </w:rPr>
        <w:t xml:space="preserve">ASUNTO: Informe del Tesorería de Cumplimiento de Plazos de la Ley 15/2010 correspondiente al Primer Trimestre 2021 del Ayuntamiento de Candelaria. Toma de Conocimiento.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Visto el Informe de Tesorería relati</w:t>
      </w:r>
      <w:r>
        <w:rPr>
          <w:rFonts w:ascii="Arial" w:eastAsia="Arial" w:hAnsi="Arial" w:cs="Arial"/>
        </w:rPr>
        <w:t xml:space="preserve">vo al estudio del Cumplimiento de los Plazos de la Ley 15/2010 correspondiente al primer trimestre de 2021 del Ayuntamiento de Candelaria y demás entes instrumentales, cuyos datos se detallan a continuación:  </w:t>
      </w:r>
    </w:p>
    <w:p w:rsidR="00FF384B" w:rsidRDefault="003E3BA9">
      <w:pPr>
        <w:spacing w:after="0"/>
        <w:ind w:left="283"/>
      </w:pPr>
      <w:r>
        <w:rPr>
          <w:rFonts w:ascii="Arial" w:eastAsia="Arial" w:hAnsi="Arial" w:cs="Arial"/>
        </w:rPr>
        <w:t xml:space="preserve"> </w:t>
      </w:r>
    </w:p>
    <w:p w:rsidR="00FF384B" w:rsidRDefault="003E3BA9">
      <w:pPr>
        <w:pStyle w:val="Ttulo2"/>
        <w:ind w:left="767" w:right="731"/>
      </w:pPr>
      <w:r>
        <w:rPr>
          <w:b w:val="0"/>
        </w:rPr>
        <w:t>“</w:t>
      </w:r>
      <w:r>
        <w:t>Antecedentes de hecho</w:t>
      </w:r>
      <w:r>
        <w:rPr>
          <w:b w:val="0"/>
          <w:sz w:val="24"/>
        </w:rPr>
        <w:t xml:space="preserve"> </w:t>
      </w:r>
    </w:p>
    <w:p w:rsidR="00FF384B" w:rsidRDefault="003E3BA9">
      <w:pPr>
        <w:spacing w:after="0"/>
        <w:ind w:left="87"/>
        <w:jc w:val="center"/>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I.- </w:t>
      </w:r>
      <w:r>
        <w:rPr>
          <w:rFonts w:ascii="Arial" w:eastAsia="Arial" w:hAnsi="Arial" w:cs="Arial"/>
        </w:rPr>
        <w:t xml:space="preserve">Ha sido remitida a esta Tesorería información de los entes dependientes para el cálculo del informe de morosidad del primer trimestre del ejercicio 2021.  </w:t>
      </w:r>
    </w:p>
    <w:p w:rsidR="00FF384B" w:rsidRDefault="003E3BA9">
      <w:pPr>
        <w:spacing w:after="0"/>
        <w:ind w:left="283"/>
      </w:pPr>
      <w:r>
        <w:rPr>
          <w:rFonts w:ascii="Arial" w:eastAsia="Arial" w:hAnsi="Arial" w:cs="Arial"/>
        </w:rPr>
        <w:t xml:space="preserve"> </w:t>
      </w:r>
    </w:p>
    <w:p w:rsidR="00FF384B" w:rsidRDefault="003E3BA9">
      <w:pPr>
        <w:pStyle w:val="Ttulo1"/>
        <w:spacing w:after="103"/>
        <w:ind w:left="767" w:right="729"/>
      </w:pPr>
      <w:r>
        <w:t xml:space="preserve">CONCLUSIONES </w:t>
      </w:r>
    </w:p>
    <w:p w:rsidR="00FF384B" w:rsidRDefault="003E3BA9">
      <w:pPr>
        <w:spacing w:after="103"/>
        <w:ind w:left="87"/>
        <w:jc w:val="center"/>
      </w:pPr>
      <w:r>
        <w:rPr>
          <w:rFonts w:ascii="Arial" w:eastAsia="Arial" w:hAnsi="Arial" w:cs="Arial"/>
          <w:b/>
        </w:rPr>
        <w:t xml:space="preserve"> </w:t>
      </w:r>
    </w:p>
    <w:p w:rsidR="00FF384B" w:rsidRDefault="003E3BA9">
      <w:pPr>
        <w:spacing w:after="4" w:line="247" w:lineRule="auto"/>
        <w:ind w:left="278" w:right="244"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438809" name="Group 43880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09" name="Picture 5009"/>
                          <pic:cNvPicPr/>
                        </pic:nvPicPr>
                        <pic:blipFill>
                          <a:blip r:embed="rId62"/>
                          <a:stretch>
                            <a:fillRect/>
                          </a:stretch>
                        </pic:blipFill>
                        <pic:spPr>
                          <a:xfrm rot="-5399999">
                            <a:off x="-1720849" y="1720849"/>
                            <a:ext cx="3797300" cy="355601"/>
                          </a:xfrm>
                          <a:prstGeom prst="rect">
                            <a:avLst/>
                          </a:prstGeom>
                        </pic:spPr>
                      </pic:pic>
                      <wps:wsp>
                        <wps:cNvPr id="5010" name="Rectangle 501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5011" name="Rectangle 501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8809" style="width:41.2715pt;height:299pt;position:absolute;mso-position-horizontal-relative:page;mso-position-horizontal:absolute;margin-left:653.71pt;mso-position-vertical-relative:page;margin-top:512.92pt;" coordsize="5241,37973">
                <v:shape id="Picture 5009" style="position:absolute;width:37973;height:3556;left:-17208;top:17208;rotation:-89;" filled="f">
                  <v:imagedata r:id="rId63"/>
                </v:shape>
                <v:rect id="Rectangle 501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1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353 </w:t>
                        </w:r>
                      </w:p>
                    </w:txbxContent>
                  </v:textbox>
                </v:rect>
                <w10:wrap type="topAndBottom"/>
              </v:group>
            </w:pict>
          </mc:Fallback>
        </mc:AlternateContent>
      </w:r>
      <w:r>
        <w:rPr>
          <w:rFonts w:ascii="Arial" w:eastAsia="Arial" w:hAnsi="Arial" w:cs="Arial"/>
        </w:rPr>
        <w:t>Primera. - El Funcionario que suscribe, Tesorero del Ayuntamiento de Candelaria, dando cumplimiento a lo dispuesto en el artículo 4 de la Ley</w:t>
      </w:r>
      <w:r>
        <w:rPr>
          <w:rFonts w:ascii="Arial" w:eastAsia="Arial" w:hAnsi="Arial" w:cs="Arial"/>
        </w:rPr>
        <w:t xml:space="preserve"> 15/2010, de 5 de julio, de modificación de la Ley 3/2004, de 29 de diciembre, que establece que: </w:t>
      </w:r>
      <w:r>
        <w:rPr>
          <w:rFonts w:ascii="Arial" w:eastAsia="Arial" w:hAnsi="Arial" w:cs="Arial"/>
          <w:i/>
        </w:rPr>
        <w:t>“. Los Tesoreros o, en su defecto, Interventores de las Corporaciones locales elaborarán trimestralmente un informe sobre el cumplimiento de los plazos previs</w:t>
      </w:r>
      <w:r>
        <w:rPr>
          <w:rFonts w:ascii="Arial" w:eastAsia="Arial" w:hAnsi="Arial" w:cs="Arial"/>
          <w:i/>
        </w:rPr>
        <w:t>tos en esta Ley para el pago de las obligaciones de cada Entidad local, que incluirá necesariamente el número y cuantía global de las obligaciones pendientes en las que se esté incumpliendo el plazo.</w:t>
      </w:r>
      <w:r>
        <w:rPr>
          <w:rFonts w:ascii="Arial" w:eastAsia="Arial" w:hAnsi="Arial" w:cs="Arial"/>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112" w:line="246" w:lineRule="auto"/>
        <w:ind w:left="278" w:right="222" w:hanging="10"/>
      </w:pPr>
      <w:r>
        <w:rPr>
          <w:rFonts w:ascii="Arial" w:eastAsia="Arial" w:hAnsi="Arial" w:cs="Arial"/>
          <w:i/>
        </w:rPr>
        <w:t xml:space="preserve">4. Sin perjuicio de su posible presentación y debate </w:t>
      </w:r>
      <w:r>
        <w:rPr>
          <w:rFonts w:ascii="Arial" w:eastAsia="Arial" w:hAnsi="Arial" w:cs="Arial"/>
          <w:i/>
        </w:rPr>
        <w:t>en el Pleno de la Corporación local, dicho informe deberá remitirse, en todo caso, a los órganos competentes del Ministerio de Economía y Hacienda y, en su respectivo ámbito territorial, a los de las Comunidades Autónomas que, con arreglo a sus respectivos</w:t>
      </w:r>
      <w:r>
        <w:rPr>
          <w:rFonts w:ascii="Arial" w:eastAsia="Arial" w:hAnsi="Arial" w:cs="Arial"/>
          <w:i/>
        </w:rPr>
        <w:t xml:space="preserve"> Estatutos de Autonomía, tengan atribuida la tutela financiera de las Entidades locales. Tales órganos podrán igualmente requerir la remisión de los citados informes. (...)” </w:t>
      </w:r>
      <w:r>
        <w:rPr>
          <w:rFonts w:ascii="Arial" w:eastAsia="Arial" w:hAnsi="Arial" w:cs="Arial"/>
        </w:rPr>
        <w:t>tiene a bien informar que</w:t>
      </w:r>
      <w:r>
        <w:rPr>
          <w:rFonts w:ascii="Arial" w:eastAsia="Arial" w:hAnsi="Arial" w:cs="Arial"/>
          <w:i/>
        </w:rPr>
        <w:t xml:space="preserve">, </w:t>
      </w:r>
      <w:r>
        <w:rPr>
          <w:rFonts w:ascii="Arial" w:eastAsia="Arial" w:hAnsi="Arial" w:cs="Arial"/>
        </w:rPr>
        <w:t xml:space="preserve">según los datos obrantes en la contabilidad a fecha 14 </w:t>
      </w:r>
      <w:r>
        <w:rPr>
          <w:rFonts w:ascii="Arial" w:eastAsia="Arial" w:hAnsi="Arial" w:cs="Arial"/>
        </w:rPr>
        <w:t xml:space="preserve">de abril de 2021, el resumen de los plazos de pago en esta corporación ha sido el siguiente: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8617" w:type="dxa"/>
        <w:tblInd w:w="289" w:type="dxa"/>
        <w:tblCellMar>
          <w:top w:w="4" w:type="dxa"/>
          <w:left w:w="107" w:type="dxa"/>
          <w:bottom w:w="0" w:type="dxa"/>
          <w:right w:w="0" w:type="dxa"/>
        </w:tblCellMar>
        <w:tblLook w:val="04A0" w:firstRow="1" w:lastRow="0" w:firstColumn="1" w:lastColumn="0" w:noHBand="0" w:noVBand="1"/>
      </w:tblPr>
      <w:tblGrid>
        <w:gridCol w:w="2949"/>
        <w:gridCol w:w="1010"/>
        <w:gridCol w:w="919"/>
        <w:gridCol w:w="1503"/>
        <w:gridCol w:w="918"/>
        <w:gridCol w:w="1318"/>
      </w:tblGrid>
      <w:tr w:rsidR="00FF384B">
        <w:trPr>
          <w:trHeight w:val="415"/>
        </w:trPr>
        <w:tc>
          <w:tcPr>
            <w:tcW w:w="294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FF384B" w:rsidRDefault="003E3BA9">
            <w:pPr>
              <w:spacing w:after="0"/>
              <w:jc w:val="center"/>
            </w:pPr>
            <w:r>
              <w:rPr>
                <w:rFonts w:ascii="Arial" w:eastAsia="Arial" w:hAnsi="Arial" w:cs="Arial"/>
              </w:rPr>
              <w:t xml:space="preserve">Pagos Realizados en el Periodo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line="239" w:lineRule="auto"/>
              <w:ind w:left="1"/>
            </w:pPr>
            <w:r>
              <w:rPr>
                <w:rFonts w:ascii="Arial" w:eastAsia="Arial" w:hAnsi="Arial" w:cs="Arial"/>
              </w:rPr>
              <w:t xml:space="preserve">Periodo Medio de </w:t>
            </w:r>
          </w:p>
          <w:p w:rsidR="00FF384B" w:rsidRDefault="003E3BA9">
            <w:pPr>
              <w:spacing w:after="0"/>
              <w:ind w:left="1"/>
            </w:pPr>
            <w:r>
              <w:rPr>
                <w:rFonts w:ascii="Arial" w:eastAsia="Arial" w:hAnsi="Arial" w:cs="Arial"/>
              </w:rPr>
              <w:t xml:space="preserve">Pago </w:t>
            </w:r>
          </w:p>
          <w:p w:rsidR="00FF384B" w:rsidRDefault="003E3BA9">
            <w:pPr>
              <w:spacing w:after="0"/>
              <w:ind w:left="85"/>
            </w:pPr>
            <w:r>
              <w:rPr>
                <w:rFonts w:ascii="Arial" w:eastAsia="Arial" w:hAnsi="Arial" w:cs="Arial"/>
              </w:rPr>
              <w:t xml:space="preserve">(PMP) </w:t>
            </w:r>
          </w:p>
          <w:p w:rsidR="00FF384B" w:rsidRDefault="003E3BA9">
            <w:pPr>
              <w:spacing w:after="0"/>
              <w:ind w:right="110"/>
              <w:jc w:val="center"/>
            </w:pPr>
            <w:r>
              <w:rPr>
                <w:rFonts w:ascii="Arial" w:eastAsia="Arial" w:hAnsi="Arial" w:cs="Arial"/>
              </w:rPr>
              <w:t xml:space="preserve">(días) </w:t>
            </w:r>
          </w:p>
        </w:tc>
        <w:tc>
          <w:tcPr>
            <w:tcW w:w="4658" w:type="dxa"/>
            <w:gridSpan w:val="4"/>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08"/>
              <w:jc w:val="center"/>
            </w:pPr>
            <w:r>
              <w:rPr>
                <w:rFonts w:ascii="Arial" w:eastAsia="Arial" w:hAnsi="Arial" w:cs="Arial"/>
              </w:rPr>
              <w:t xml:space="preserve">Pagos realizados en el trimestre </w:t>
            </w:r>
          </w:p>
        </w:tc>
      </w:tr>
      <w:tr w:rsidR="00FF384B">
        <w:trPr>
          <w:trHeight w:val="770"/>
        </w:trPr>
        <w:tc>
          <w:tcPr>
            <w:tcW w:w="0" w:type="auto"/>
            <w:vMerge/>
            <w:tcBorders>
              <w:top w:val="nil"/>
              <w:left w:val="single" w:sz="4" w:space="0" w:color="000000"/>
              <w:bottom w:val="nil"/>
              <w:right w:val="single" w:sz="4" w:space="0" w:color="000000"/>
            </w:tcBorders>
          </w:tcPr>
          <w:p w:rsidR="00FF384B" w:rsidRDefault="00FF384B"/>
        </w:tc>
        <w:tc>
          <w:tcPr>
            <w:tcW w:w="0" w:type="auto"/>
            <w:vMerge/>
            <w:tcBorders>
              <w:top w:val="nil"/>
              <w:left w:val="single" w:sz="4" w:space="0" w:color="000000"/>
              <w:bottom w:val="nil"/>
              <w:right w:val="single" w:sz="4" w:space="0" w:color="000000"/>
            </w:tcBorders>
          </w:tcPr>
          <w:p w:rsidR="00FF384B" w:rsidRDefault="00FF384B"/>
        </w:tc>
        <w:tc>
          <w:tcPr>
            <w:tcW w:w="2422"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38"/>
              <w:jc w:val="center"/>
            </w:pPr>
            <w:r>
              <w:rPr>
                <w:rFonts w:ascii="Arial" w:eastAsia="Arial" w:hAnsi="Arial" w:cs="Arial"/>
              </w:rPr>
              <w:t xml:space="preserve">Dentro periodo legal de pago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Fuera periodo legal de pago </w:t>
            </w:r>
          </w:p>
        </w:tc>
      </w:tr>
      <w:tr w:rsidR="00FF384B">
        <w:trPr>
          <w:trHeight w:val="1021"/>
        </w:trPr>
        <w:tc>
          <w:tcPr>
            <w:tcW w:w="0" w:type="auto"/>
            <w:vMerge/>
            <w:tcBorders>
              <w:top w:val="nil"/>
              <w:left w:val="single" w:sz="4" w:space="0" w:color="000000"/>
              <w:bottom w:val="single" w:sz="4" w:space="0" w:color="000000"/>
              <w:right w:val="single" w:sz="4" w:space="0" w:color="000000"/>
            </w:tcBorders>
          </w:tcPr>
          <w:p w:rsidR="00FF384B" w:rsidRDefault="00FF384B"/>
        </w:tc>
        <w:tc>
          <w:tcPr>
            <w:tcW w:w="0" w:type="auto"/>
            <w:vMerge/>
            <w:tcBorders>
              <w:top w:val="nil"/>
              <w:left w:val="single" w:sz="4" w:space="0" w:color="000000"/>
              <w:bottom w:val="single" w:sz="4" w:space="0" w:color="000000"/>
              <w:right w:val="single" w:sz="4" w:space="0" w:color="000000"/>
            </w:tcBorders>
            <w:vAlign w:val="center"/>
          </w:tcPr>
          <w:p w:rsidR="00FF384B" w:rsidRDefault="00FF384B"/>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right="3"/>
            </w:pPr>
            <w:r>
              <w:rPr>
                <w:rFonts w:ascii="Arial" w:eastAsia="Arial" w:hAnsi="Arial" w:cs="Arial"/>
              </w:rPr>
              <w:t xml:space="preserve">Número de pagos </w:t>
            </w:r>
          </w:p>
        </w:tc>
        <w:tc>
          <w:tcPr>
            <w:tcW w:w="1503"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25" w:right="73"/>
              <w:jc w:val="center"/>
            </w:pPr>
            <w:r>
              <w:rPr>
                <w:rFonts w:ascii="Arial" w:eastAsia="Arial" w:hAnsi="Arial" w:cs="Arial"/>
              </w:rPr>
              <w:t xml:space="preserve">Importe Total  </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right="2"/>
            </w:pPr>
            <w:r>
              <w:rPr>
                <w:rFonts w:ascii="Arial" w:eastAsia="Arial" w:hAnsi="Arial" w:cs="Arial"/>
              </w:rPr>
              <w:t xml:space="preserve">Número de pagos </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6"/>
              <w:jc w:val="center"/>
            </w:pPr>
            <w:r>
              <w:rPr>
                <w:rFonts w:ascii="Arial" w:eastAsia="Arial" w:hAnsi="Arial" w:cs="Arial"/>
              </w:rPr>
              <w:t xml:space="preserve">Importe total </w:t>
            </w:r>
          </w:p>
        </w:tc>
      </w:tr>
      <w:tr w:rsidR="00FF384B">
        <w:trPr>
          <w:trHeight w:val="1024"/>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40" w:lineRule="auto"/>
            </w:pPr>
            <w:r>
              <w:rPr>
                <w:rFonts w:ascii="Arial" w:eastAsia="Arial" w:hAnsi="Arial" w:cs="Arial"/>
              </w:rPr>
              <w:t xml:space="preserve">Gastos en Bienes Corrientes y Servicios  </w:t>
            </w:r>
          </w:p>
          <w:p w:rsidR="00FF384B" w:rsidRDefault="003E3BA9">
            <w:pPr>
              <w:spacing w:after="0"/>
            </w:pPr>
            <w:r>
              <w:rPr>
                <w:rFonts w:ascii="Arial" w:eastAsia="Arial" w:hAnsi="Arial" w:cs="Arial"/>
              </w:rPr>
              <w:t xml:space="preserve">20.- Arrendamientos y Cánones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20,61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41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180.925,65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6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4.268,06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21.- Reparaciones Mantenimiento y Conservación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19,63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98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182583,59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7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7.146,86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 Material, Suministros y </w:t>
            </w:r>
          </w:p>
          <w:p w:rsidR="00FF384B" w:rsidRDefault="003E3BA9">
            <w:pPr>
              <w:spacing w:after="0"/>
            </w:pPr>
            <w:r>
              <w:rPr>
                <w:rFonts w:ascii="Arial" w:eastAsia="Arial" w:hAnsi="Arial" w:cs="Arial"/>
              </w:rPr>
              <w:t xml:space="preserve">Otros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22,12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540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1.199.05,18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250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140.358,83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23.- Indemnizaciones por razón del servicio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9"/>
              <w:jc w:val="right"/>
            </w:pPr>
            <w:r>
              <w:rPr>
                <w:rFonts w:ascii="Arial" w:eastAsia="Arial" w:hAnsi="Arial" w:cs="Arial"/>
              </w:rPr>
              <w:t xml:space="preserve">0,00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24.- Gastos de Publicaciones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9"/>
              <w:jc w:val="right"/>
            </w:pPr>
            <w:r>
              <w:rPr>
                <w:rFonts w:ascii="Arial" w:eastAsia="Arial" w:hAnsi="Arial" w:cs="Arial"/>
              </w:rPr>
              <w:t xml:space="preserve">0,00  </w:t>
            </w:r>
          </w:p>
        </w:tc>
      </w:tr>
      <w:tr w:rsidR="00FF384B">
        <w:trPr>
          <w:trHeight w:val="770"/>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4"/>
            </w:pPr>
            <w:r>
              <w:rPr>
                <w:rFonts w:ascii="Arial" w:eastAsia="Arial" w:hAnsi="Arial" w:cs="Arial"/>
              </w:rPr>
              <w:t xml:space="preserve">26.- </w:t>
            </w:r>
            <w:r>
              <w:rPr>
                <w:rFonts w:ascii="Arial" w:eastAsia="Arial" w:hAnsi="Arial" w:cs="Arial"/>
              </w:rPr>
              <w:t xml:space="preserve">Trabajos realizados por Instituciones s.f. de lucro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0,00 </w:t>
            </w:r>
          </w:p>
        </w:tc>
      </w:tr>
      <w:tr w:rsidR="00FF384B">
        <w:trPr>
          <w:trHeight w:val="461"/>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51,72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84.361,19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9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49.406,30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Otros Pagos realizados por operaciones comerciales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15,25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4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5.409,56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0,00 </w:t>
            </w:r>
          </w:p>
        </w:tc>
      </w:tr>
      <w:tr w:rsidR="00FF384B">
        <w:trPr>
          <w:trHeight w:val="770"/>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50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8"/>
              <w:jc w:val="right"/>
            </w:pPr>
            <w:r>
              <w:rPr>
                <w:rFonts w:ascii="Arial" w:eastAsia="Arial" w:hAnsi="Arial" w:cs="Arial"/>
              </w:rPr>
              <w:t xml:space="preserve">0,00 </w:t>
            </w:r>
          </w:p>
        </w:tc>
        <w:tc>
          <w:tcPr>
            <w:tcW w:w="9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rPr>
              <w:t xml:space="preserve">0 </w:t>
            </w:r>
          </w:p>
        </w:tc>
        <w:tc>
          <w:tcPr>
            <w:tcW w:w="131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107"/>
              <w:jc w:val="right"/>
            </w:pPr>
            <w:r>
              <w:rPr>
                <w:rFonts w:ascii="Arial" w:eastAsia="Arial" w:hAnsi="Arial" w:cs="Arial"/>
              </w:rPr>
              <w:t xml:space="preserve">0,00 </w:t>
            </w:r>
          </w:p>
        </w:tc>
      </w:tr>
      <w:tr w:rsidR="00FF384B">
        <w:trPr>
          <w:trHeight w:val="514"/>
        </w:trPr>
        <w:tc>
          <w:tcPr>
            <w:tcW w:w="294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07"/>
              <w:jc w:val="right"/>
            </w:pPr>
            <w:r>
              <w:rPr>
                <w:rFonts w:ascii="Arial" w:eastAsia="Arial" w:hAnsi="Arial" w:cs="Arial"/>
                <w:b/>
              </w:rPr>
              <w:t>TOTAL pagos realizados en el trimestre</w:t>
            </w:r>
            <w:r>
              <w:rPr>
                <w:rFonts w:ascii="Arial" w:eastAsia="Arial" w:hAnsi="Arial" w:cs="Arial"/>
                <w:sz w:val="24"/>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105"/>
              <w:jc w:val="right"/>
            </w:pPr>
            <w:r>
              <w:rPr>
                <w:rFonts w:ascii="Arial" w:eastAsia="Arial" w:hAnsi="Arial" w:cs="Arial"/>
                <w:b/>
              </w:rPr>
              <w:t>23,83</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701</w:t>
            </w:r>
            <w:r>
              <w:rPr>
                <w:rFonts w:ascii="Arial" w:eastAsia="Arial" w:hAnsi="Arial" w:cs="Arial"/>
                <w:sz w:val="24"/>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2"/>
            </w:pPr>
            <w:r>
              <w:rPr>
                <w:rFonts w:ascii="Arial" w:eastAsia="Arial" w:hAnsi="Arial" w:cs="Arial"/>
                <w:b/>
              </w:rPr>
              <w:t>1.652.331,17</w:t>
            </w:r>
            <w:r>
              <w:rPr>
                <w:rFonts w:ascii="Arial" w:eastAsia="Arial" w:hAnsi="Arial" w:cs="Arial"/>
                <w:sz w:val="24"/>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272</w:t>
            </w:r>
            <w:r>
              <w:rPr>
                <w:rFonts w:ascii="Arial" w:eastAsia="Arial" w:hAnsi="Arial" w:cs="Arial"/>
                <w:sz w:val="24"/>
              </w:rPr>
              <w:t xml:space="preserve"> </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201.180,05 </w:t>
            </w:r>
          </w:p>
        </w:tc>
      </w:tr>
    </w:tbl>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78720"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04595" name="Group 50459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51" name="Picture 5551"/>
                          <pic:cNvPicPr/>
                        </pic:nvPicPr>
                        <pic:blipFill>
                          <a:blip r:embed="rId62"/>
                          <a:stretch>
                            <a:fillRect/>
                          </a:stretch>
                        </pic:blipFill>
                        <pic:spPr>
                          <a:xfrm rot="-5399999">
                            <a:off x="-1720849" y="1720849"/>
                            <a:ext cx="3797300" cy="355601"/>
                          </a:xfrm>
                          <a:prstGeom prst="rect">
                            <a:avLst/>
                          </a:prstGeom>
                        </pic:spPr>
                      </pic:pic>
                      <wps:wsp>
                        <wps:cNvPr id="5552" name="Rectangle 555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53" name="Rectangle 555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595" style="width:41.2715pt;height:299pt;position:absolute;mso-position-horizontal-relative:page;mso-position-horizontal:absolute;margin-left:653.71pt;mso-position-vertical-relative:page;margin-top:512.92pt;" coordsize="5241,37973">
                <v:shape id="Picture 5551" style="position:absolute;width:37973;height:3556;left:-17208;top:17208;rotation:-89;" filled="f">
                  <v:imagedata r:id="rId63"/>
                </v:shape>
                <v:rect id="Rectangle 55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5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353 </w:t>
                        </w:r>
                      </w:p>
                    </w:txbxContent>
                  </v:textbox>
                </v:rect>
                <w10:wrap type="topAndBottom"/>
              </v:group>
            </w:pict>
          </mc:Fallback>
        </mc:AlternateContent>
      </w:r>
      <w:r>
        <w:rPr>
          <w:rFonts w:ascii="Arial" w:eastAsia="Arial" w:hAnsi="Arial" w:cs="Arial"/>
        </w:rPr>
        <w:t xml:space="preserve"> </w:t>
      </w:r>
    </w:p>
    <w:tbl>
      <w:tblPr>
        <w:tblStyle w:val="TableGrid"/>
        <w:tblW w:w="8417" w:type="dxa"/>
        <w:tblInd w:w="289" w:type="dxa"/>
        <w:tblCellMar>
          <w:top w:w="0" w:type="dxa"/>
          <w:left w:w="107" w:type="dxa"/>
          <w:bottom w:w="0" w:type="dxa"/>
          <w:right w:w="39" w:type="dxa"/>
        </w:tblCellMar>
        <w:tblLook w:val="04A0" w:firstRow="1" w:lastRow="0" w:firstColumn="1" w:lastColumn="0" w:noHBand="0" w:noVBand="1"/>
      </w:tblPr>
      <w:tblGrid>
        <w:gridCol w:w="5340"/>
        <w:gridCol w:w="1387"/>
        <w:gridCol w:w="1690"/>
      </w:tblGrid>
      <w:tr w:rsidR="00FF384B">
        <w:trPr>
          <w:trHeight w:val="790"/>
        </w:trPr>
        <w:tc>
          <w:tcPr>
            <w:tcW w:w="534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71"/>
              <w:jc w:val="center"/>
            </w:pPr>
            <w:r>
              <w:rPr>
                <w:rFonts w:ascii="Arial" w:eastAsia="Arial" w:hAnsi="Arial" w:cs="Arial"/>
              </w:rPr>
              <w:t xml:space="preserve">Intereses de demora pagados en el trimestre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2"/>
              <w:jc w:val="center"/>
            </w:pPr>
            <w:r>
              <w:rPr>
                <w:rFonts w:ascii="Arial" w:eastAsia="Arial" w:hAnsi="Arial" w:cs="Arial"/>
              </w:rPr>
              <w:t xml:space="preserve">Intereses de demora pagados en el periodo </w:t>
            </w:r>
          </w:p>
        </w:tc>
      </w:tr>
      <w:tr w:rsidR="00FF384B">
        <w:trPr>
          <w:trHeight w:val="786"/>
        </w:trPr>
        <w:tc>
          <w:tcPr>
            <w:tcW w:w="0" w:type="auto"/>
            <w:vMerge/>
            <w:tcBorders>
              <w:top w:val="nil"/>
              <w:left w:val="single" w:sz="4" w:space="0" w:color="000000"/>
              <w:bottom w:val="single" w:sz="4" w:space="0" w:color="000000"/>
              <w:right w:val="single" w:sz="4" w:space="0" w:color="000000"/>
            </w:tcBorders>
          </w:tcPr>
          <w:p w:rsidR="00FF384B" w:rsidRDefault="00FF384B"/>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Número de pagos </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57" w:right="161"/>
              <w:jc w:val="center"/>
            </w:pPr>
            <w:r>
              <w:rPr>
                <w:rFonts w:ascii="Arial" w:eastAsia="Arial" w:hAnsi="Arial" w:cs="Arial"/>
              </w:rPr>
              <w:t xml:space="preserve">Importe total </w:t>
            </w:r>
          </w:p>
        </w:tc>
      </w:tr>
      <w:tr w:rsidR="00FF384B">
        <w:trPr>
          <w:trHeight w:val="493"/>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Gastos Corrientes en Bienes y Servicios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7"/>
              <w:jc w:val="right"/>
            </w:pPr>
            <w:r>
              <w:rPr>
                <w:rFonts w:ascii="Arial" w:eastAsia="Arial" w:hAnsi="Arial" w:cs="Arial"/>
              </w:rPr>
              <w:t xml:space="preserve">0,00 </w:t>
            </w:r>
          </w:p>
        </w:tc>
      </w:tr>
      <w:tr w:rsidR="00FF384B">
        <w:trPr>
          <w:trHeight w:val="461"/>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right"/>
            </w:pPr>
            <w:r>
              <w:rPr>
                <w:rFonts w:ascii="Arial" w:eastAsia="Arial" w:hAnsi="Arial" w:cs="Arial"/>
              </w:rPr>
              <w:t xml:space="preserve">0,00 </w:t>
            </w:r>
          </w:p>
        </w:tc>
      </w:tr>
      <w:tr w:rsidR="00FF384B">
        <w:trPr>
          <w:trHeight w:val="574"/>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Otros Pagos realizados por operaciones comerciales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1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3.089,08 </w:t>
            </w:r>
          </w:p>
        </w:tc>
      </w:tr>
      <w:tr w:rsidR="00FF384B">
        <w:trPr>
          <w:trHeight w:val="517"/>
        </w:trPr>
        <w:tc>
          <w:tcPr>
            <w:tcW w:w="5340"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38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9"/>
              <w:jc w:val="right"/>
            </w:pPr>
            <w:r>
              <w:rPr>
                <w:rFonts w:ascii="Arial" w:eastAsia="Arial" w:hAnsi="Arial" w:cs="Arial"/>
              </w:rPr>
              <w:t xml:space="preserve">0 </w:t>
            </w:r>
          </w:p>
        </w:tc>
        <w:tc>
          <w:tcPr>
            <w:tcW w:w="16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458"/>
        </w:trPr>
        <w:tc>
          <w:tcPr>
            <w:tcW w:w="534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8"/>
              <w:jc w:val="right"/>
            </w:pPr>
            <w:r>
              <w:rPr>
                <w:rFonts w:ascii="Arial" w:eastAsia="Arial" w:hAnsi="Arial" w:cs="Arial"/>
                <w:b/>
              </w:rPr>
              <w:t>TOTAL intereses de demora pagados</w:t>
            </w:r>
            <w:r>
              <w:rPr>
                <w:rFonts w:ascii="Arial" w:eastAsia="Arial" w:hAnsi="Arial" w:cs="Arial"/>
                <w:sz w:val="24"/>
              </w:rP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9"/>
              <w:jc w:val="right"/>
            </w:pPr>
            <w:r>
              <w:rPr>
                <w:rFonts w:ascii="Arial" w:eastAsia="Arial" w:hAnsi="Arial" w:cs="Arial"/>
                <w:b/>
              </w:rPr>
              <w:t>1</w:t>
            </w:r>
            <w:r>
              <w:rPr>
                <w:rFonts w:ascii="Arial" w:eastAsia="Arial" w:hAnsi="Arial" w:cs="Arial"/>
                <w:sz w:val="24"/>
              </w:rPr>
              <w:t xml:space="preserve"> </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5"/>
              <w:jc w:val="right"/>
            </w:pPr>
            <w:r>
              <w:rPr>
                <w:rFonts w:ascii="Arial" w:eastAsia="Arial" w:hAnsi="Arial" w:cs="Arial"/>
                <w:b/>
              </w:rPr>
              <w:t>3.089,08</w:t>
            </w:r>
            <w:r>
              <w:rPr>
                <w:rFonts w:ascii="Arial" w:eastAsia="Arial" w:hAnsi="Arial" w:cs="Arial"/>
                <w:sz w:val="24"/>
              </w:rPr>
              <w:t xml:space="preserve"> </w:t>
            </w:r>
          </w:p>
        </w:tc>
      </w:tr>
    </w:tbl>
    <w:p w:rsidR="00FF384B" w:rsidRDefault="003E3BA9">
      <w:pPr>
        <w:spacing w:after="0"/>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8435" w:type="dxa"/>
        <w:tblInd w:w="289" w:type="dxa"/>
        <w:tblCellMar>
          <w:top w:w="3" w:type="dxa"/>
          <w:left w:w="107" w:type="dxa"/>
          <w:bottom w:w="0" w:type="dxa"/>
          <w:right w:w="40" w:type="dxa"/>
        </w:tblCellMar>
        <w:tblLook w:val="04A0" w:firstRow="1" w:lastRow="0" w:firstColumn="1" w:lastColumn="0" w:noHBand="0" w:noVBand="1"/>
      </w:tblPr>
      <w:tblGrid>
        <w:gridCol w:w="2228"/>
        <w:gridCol w:w="960"/>
        <w:gridCol w:w="1347"/>
        <w:gridCol w:w="1278"/>
        <w:gridCol w:w="1347"/>
        <w:gridCol w:w="1275"/>
      </w:tblGrid>
      <w:tr w:rsidR="00FF384B">
        <w:trPr>
          <w:trHeight w:val="414"/>
        </w:trPr>
        <w:tc>
          <w:tcPr>
            <w:tcW w:w="2949" w:type="dxa"/>
            <w:tcBorders>
              <w:top w:val="single" w:sz="4" w:space="0" w:color="000000"/>
              <w:left w:val="single" w:sz="4" w:space="0" w:color="000000"/>
              <w:bottom w:val="nil"/>
              <w:right w:val="single" w:sz="4" w:space="0" w:color="000000"/>
            </w:tcBorders>
            <w:shd w:val="clear" w:color="auto" w:fill="D9D9D9"/>
          </w:tcPr>
          <w:p w:rsidR="00FF384B" w:rsidRDefault="00FF384B"/>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line="239" w:lineRule="auto"/>
              <w:ind w:right="11"/>
            </w:pPr>
            <w:r>
              <w:rPr>
                <w:rFonts w:ascii="Arial" w:eastAsia="Arial" w:hAnsi="Arial" w:cs="Arial"/>
              </w:rPr>
              <w:t xml:space="preserve">Periodo Medio de Pago </w:t>
            </w:r>
          </w:p>
          <w:p w:rsidR="00FF384B" w:rsidRDefault="003E3BA9">
            <w:pPr>
              <w:spacing w:after="0"/>
            </w:pPr>
            <w:r>
              <w:rPr>
                <w:rFonts w:ascii="Arial" w:eastAsia="Arial" w:hAnsi="Arial" w:cs="Arial"/>
              </w:rPr>
              <w:t xml:space="preserve"> </w:t>
            </w:r>
          </w:p>
        </w:tc>
        <w:tc>
          <w:tcPr>
            <w:tcW w:w="4476" w:type="dxa"/>
            <w:gridSpan w:val="4"/>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40"/>
              <w:jc w:val="center"/>
            </w:pPr>
            <w:r>
              <w:rPr>
                <w:rFonts w:ascii="Arial" w:eastAsia="Arial" w:hAnsi="Arial" w:cs="Arial"/>
              </w:rPr>
              <w:t xml:space="preserve">Pendientes de pago al final del trimestre  </w:t>
            </w:r>
          </w:p>
        </w:tc>
      </w:tr>
      <w:tr w:rsidR="00FF384B">
        <w:trPr>
          <w:trHeight w:val="858"/>
        </w:trPr>
        <w:tc>
          <w:tcPr>
            <w:tcW w:w="2949" w:type="dxa"/>
            <w:tcBorders>
              <w:top w:val="nil"/>
              <w:left w:val="single" w:sz="4" w:space="0" w:color="000000"/>
              <w:bottom w:val="single" w:sz="4" w:space="0" w:color="000000"/>
              <w:right w:val="single" w:sz="4" w:space="0" w:color="000000"/>
            </w:tcBorders>
            <w:shd w:val="clear" w:color="auto" w:fill="D9D9D9"/>
          </w:tcPr>
          <w:p w:rsidR="00FF384B" w:rsidRDefault="00FF384B"/>
        </w:tc>
        <w:tc>
          <w:tcPr>
            <w:tcW w:w="0" w:type="auto"/>
            <w:vMerge/>
            <w:tcBorders>
              <w:top w:val="nil"/>
              <w:left w:val="single" w:sz="4" w:space="0" w:color="000000"/>
              <w:bottom w:val="single" w:sz="4" w:space="0" w:color="000000"/>
              <w:right w:val="single" w:sz="4" w:space="0" w:color="000000"/>
            </w:tcBorders>
          </w:tcPr>
          <w:p w:rsidR="00FF384B" w:rsidRDefault="00FF384B"/>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Dentro periodo legal de pago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Fuera periodo legal de pago </w:t>
            </w:r>
          </w:p>
        </w:tc>
      </w:tr>
      <w:tr w:rsidR="00FF384B">
        <w:trPr>
          <w:trHeight w:val="412"/>
        </w:trPr>
        <w:tc>
          <w:tcPr>
            <w:tcW w:w="2949" w:type="dxa"/>
            <w:tcBorders>
              <w:top w:val="single" w:sz="4" w:space="0" w:color="000000"/>
              <w:left w:val="nil"/>
              <w:bottom w:val="nil"/>
              <w:right w:val="nil"/>
            </w:tcBorders>
            <w:shd w:val="clear" w:color="auto" w:fill="D9D9D9"/>
          </w:tcPr>
          <w:p w:rsidR="00FF384B" w:rsidRDefault="00FF384B"/>
        </w:tc>
        <w:tc>
          <w:tcPr>
            <w:tcW w:w="5486" w:type="dxa"/>
            <w:gridSpan w:val="5"/>
            <w:tcBorders>
              <w:top w:val="single" w:sz="4" w:space="0" w:color="000000"/>
              <w:left w:val="nil"/>
              <w:bottom w:val="nil"/>
              <w:right w:val="nil"/>
            </w:tcBorders>
          </w:tcPr>
          <w:p w:rsidR="00FF384B" w:rsidRDefault="00FF384B"/>
        </w:tc>
      </w:tr>
      <w:tr w:rsidR="00FF384B">
        <w:trPr>
          <w:trHeight w:val="490"/>
        </w:trPr>
        <w:tc>
          <w:tcPr>
            <w:tcW w:w="294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FF384B" w:rsidRDefault="003E3BA9">
            <w:pPr>
              <w:spacing w:after="0"/>
              <w:ind w:right="71"/>
              <w:jc w:val="center"/>
            </w:pPr>
            <w:r>
              <w:rPr>
                <w:rFonts w:ascii="Arial" w:eastAsia="Arial" w:hAnsi="Arial" w:cs="Arial"/>
              </w:rPr>
              <w:t xml:space="preserve">Facturas o Documentos </w:t>
            </w:r>
          </w:p>
          <w:p w:rsidR="00FF384B" w:rsidRDefault="003E3BA9">
            <w:pPr>
              <w:spacing w:after="0"/>
              <w:jc w:val="center"/>
            </w:pPr>
            <w:r>
              <w:rPr>
                <w:rFonts w:ascii="Arial" w:eastAsia="Arial" w:hAnsi="Arial" w:cs="Arial"/>
              </w:rPr>
              <w:t xml:space="preserve">Justificativos Pendientes de Pago al Final del Período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 </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FF384B"/>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FF384B"/>
        </w:tc>
      </w:tr>
      <w:tr w:rsidR="00FF384B">
        <w:trPr>
          <w:trHeight w:val="277"/>
        </w:trPr>
        <w:tc>
          <w:tcPr>
            <w:tcW w:w="0" w:type="auto"/>
            <w:vMerge/>
            <w:tcBorders>
              <w:top w:val="nil"/>
              <w:left w:val="single" w:sz="4" w:space="0" w:color="000000"/>
              <w:bottom w:val="nil"/>
              <w:right w:val="single" w:sz="4" w:space="0" w:color="000000"/>
            </w:tcBorders>
          </w:tcPr>
          <w:p w:rsidR="00FF384B" w:rsidRDefault="00FF384B"/>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Pen-</w:t>
            </w:r>
          </w:p>
          <w:p w:rsidR="00FF384B" w:rsidRDefault="003E3BA9">
            <w:pPr>
              <w:spacing w:after="0"/>
              <w:ind w:left="1"/>
            </w:pPr>
            <w:r>
              <w:rPr>
                <w:rFonts w:ascii="Arial" w:eastAsia="Arial" w:hAnsi="Arial" w:cs="Arial"/>
              </w:rPr>
              <w:t xml:space="preserve">diente </w:t>
            </w:r>
          </w:p>
          <w:p w:rsidR="00FF384B" w:rsidRDefault="003E3BA9">
            <w:pPr>
              <w:spacing w:after="0"/>
              <w:ind w:left="13"/>
            </w:pPr>
            <w:r>
              <w:rPr>
                <w:rFonts w:ascii="Arial" w:eastAsia="Arial" w:hAnsi="Arial" w:cs="Arial"/>
              </w:rPr>
              <w:t xml:space="preserve">(PMPP) </w:t>
            </w:r>
          </w:p>
          <w:p w:rsidR="00FF384B" w:rsidRDefault="003E3BA9">
            <w:pPr>
              <w:spacing w:after="0"/>
              <w:ind w:right="70"/>
              <w:jc w:val="center"/>
            </w:pPr>
            <w:r>
              <w:rPr>
                <w:rFonts w:ascii="Arial" w:eastAsia="Arial" w:hAnsi="Arial" w:cs="Arial"/>
              </w:rPr>
              <w:t>(días)</w:t>
            </w:r>
            <w:r>
              <w:rPr>
                <w:rFonts w:ascii="Arial" w:eastAsia="Arial" w:hAnsi="Arial" w:cs="Arial"/>
                <w:sz w:val="24"/>
              </w:rPr>
              <w:t xml:space="preserve"> </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rPr>
              <w:t xml:space="preserve">A final del trimestre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68"/>
            </w:pPr>
            <w:r>
              <w:rPr>
                <w:rFonts w:ascii="Arial" w:eastAsia="Arial" w:hAnsi="Arial" w:cs="Arial"/>
              </w:rPr>
              <w:t xml:space="preserve">A final del trimestre </w:t>
            </w:r>
          </w:p>
        </w:tc>
      </w:tr>
      <w:tr w:rsidR="00FF384B">
        <w:trPr>
          <w:trHeight w:val="1274"/>
        </w:trPr>
        <w:tc>
          <w:tcPr>
            <w:tcW w:w="0" w:type="auto"/>
            <w:vMerge/>
            <w:tcBorders>
              <w:top w:val="nil"/>
              <w:left w:val="single" w:sz="4" w:space="0" w:color="000000"/>
              <w:bottom w:val="single" w:sz="4" w:space="0" w:color="000000"/>
              <w:right w:val="single" w:sz="4" w:space="0" w:color="000000"/>
            </w:tcBorders>
          </w:tcPr>
          <w:p w:rsidR="00FF384B" w:rsidRDefault="00FF384B"/>
        </w:tc>
        <w:tc>
          <w:tcPr>
            <w:tcW w:w="0" w:type="auto"/>
            <w:vMerge/>
            <w:tcBorders>
              <w:top w:val="nil"/>
              <w:left w:val="single" w:sz="4" w:space="0" w:color="000000"/>
              <w:bottom w:val="single" w:sz="4" w:space="0" w:color="000000"/>
              <w:right w:val="single" w:sz="4" w:space="0" w:color="000000"/>
            </w:tcBorders>
          </w:tcPr>
          <w:p w:rsidR="00FF384B" w:rsidRDefault="00FF384B"/>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Número de operaciones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Importe Total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rPr>
              <w:t xml:space="preserve">Número de operaciones </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jc w:val="center"/>
            </w:pPr>
            <w:r>
              <w:rPr>
                <w:rFonts w:ascii="Arial" w:eastAsia="Arial" w:hAnsi="Arial" w:cs="Arial"/>
              </w:rPr>
              <w:t xml:space="preserve">Importe total </w:t>
            </w:r>
          </w:p>
        </w:tc>
      </w:tr>
      <w:tr w:rsidR="00FF384B">
        <w:trPr>
          <w:trHeight w:val="1278"/>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38" w:lineRule="auto"/>
            </w:pPr>
            <w:r>
              <w:rPr>
                <w:rFonts w:ascii="Arial" w:eastAsia="Arial" w:hAnsi="Arial" w:cs="Arial"/>
              </w:rPr>
              <w:t xml:space="preserve">Gastos en Bienes Corrientes y Servicios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20.- Arrendamientos y Cánones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22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6.569,29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577,86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21.- Reparaciones Mantenimiento y Conservación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6,89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63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68.938,25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11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8.621,78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 Material, Suministros y </w:t>
            </w:r>
          </w:p>
          <w:p w:rsidR="00FF384B" w:rsidRDefault="003E3BA9">
            <w:pPr>
              <w:spacing w:after="0"/>
            </w:pPr>
            <w:r>
              <w:rPr>
                <w:rFonts w:ascii="Arial" w:eastAsia="Arial" w:hAnsi="Arial" w:cs="Arial"/>
              </w:rPr>
              <w:t xml:space="preserve">Otros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-2,76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260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398.355,68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162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69.124,72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23.- Indemnizaciones por razón del servicio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-24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311,95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24.- Gastos de Publicaciones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768"/>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pPr>
            <w:r>
              <w:rPr>
                <w:rFonts w:ascii="Arial" w:eastAsia="Arial" w:hAnsi="Arial" w:cs="Arial"/>
              </w:rPr>
              <w:t xml:space="preserve">26.- Trabajos realizados por Instituciones s.f. de lucro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461"/>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Inversiones reales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19,89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8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47.901,40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3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18.396,10 </w:t>
            </w:r>
          </w:p>
        </w:tc>
      </w:tr>
      <w:tr w:rsidR="00FF384B">
        <w:trPr>
          <w:trHeight w:val="516"/>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Otros Pagos realizados por operaciones comerciales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3,61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60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119.523,99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12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29.185,87 </w:t>
            </w:r>
          </w:p>
        </w:tc>
      </w:tr>
      <w:tr w:rsidR="00FF384B">
        <w:trPr>
          <w:trHeight w:val="772"/>
        </w:trPr>
        <w:tc>
          <w:tcPr>
            <w:tcW w:w="294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Pagos Realizados Pendientes de aplicar a Presupuesto </w:t>
            </w:r>
          </w:p>
        </w:tc>
        <w:tc>
          <w:tcPr>
            <w:tcW w:w="101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5"/>
              <w:jc w:val="right"/>
            </w:pPr>
            <w:r>
              <w:rPr>
                <w:rFonts w:ascii="Arial" w:eastAsia="Arial" w:hAnsi="Arial" w:cs="Arial"/>
              </w:rPr>
              <w:t xml:space="preserve">0,00 </w:t>
            </w:r>
          </w:p>
        </w:tc>
        <w:tc>
          <w:tcPr>
            <w:tcW w:w="91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8"/>
              <w:jc w:val="right"/>
            </w:pPr>
            <w:r>
              <w:rPr>
                <w:rFonts w:ascii="Arial" w:eastAsia="Arial" w:hAnsi="Arial" w:cs="Arial"/>
              </w:rPr>
              <w:t xml:space="preserve">0 </w:t>
            </w:r>
          </w:p>
        </w:tc>
        <w:tc>
          <w:tcPr>
            <w:tcW w:w="131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right"/>
            </w:pPr>
            <w:r>
              <w:rPr>
                <w:rFonts w:ascii="Arial" w:eastAsia="Arial" w:hAnsi="Arial" w:cs="Arial"/>
              </w:rPr>
              <w:t xml:space="preserve">0,00 </w:t>
            </w:r>
          </w:p>
        </w:tc>
      </w:tr>
      <w:tr w:rsidR="00FF384B">
        <w:trPr>
          <w:trHeight w:val="514"/>
        </w:trPr>
        <w:tc>
          <w:tcPr>
            <w:tcW w:w="294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7"/>
              <w:jc w:val="right"/>
            </w:pPr>
            <w:r>
              <w:rPr>
                <w:rFonts w:ascii="Arial" w:eastAsia="Arial" w:hAnsi="Arial" w:cs="Arial"/>
                <w:b/>
              </w:rPr>
              <w:t>TOTAL pagos realizados en el trimestre</w:t>
            </w:r>
            <w:r>
              <w:rPr>
                <w:rFonts w:ascii="Arial" w:eastAsia="Arial" w:hAnsi="Arial" w:cs="Arial"/>
                <w:sz w:val="24"/>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5"/>
              <w:jc w:val="right"/>
            </w:pPr>
            <w:r>
              <w:rPr>
                <w:rFonts w:ascii="Arial" w:eastAsia="Arial" w:hAnsi="Arial" w:cs="Arial"/>
                <w:b/>
              </w:rPr>
              <w:t>1,44</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8"/>
              <w:jc w:val="right"/>
            </w:pPr>
            <w:r>
              <w:rPr>
                <w:rFonts w:ascii="Arial" w:eastAsia="Arial" w:hAnsi="Arial" w:cs="Arial"/>
                <w:b/>
              </w:rPr>
              <w:t>414</w:t>
            </w:r>
            <w:r>
              <w:rPr>
                <w:rFonts w:ascii="Arial" w:eastAsia="Arial" w:hAnsi="Arial" w:cs="Arial"/>
                <w:sz w:val="24"/>
              </w:rP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4"/>
            </w:pPr>
            <w:r>
              <w:rPr>
                <w:rFonts w:ascii="Arial" w:eastAsia="Arial" w:hAnsi="Arial" w:cs="Arial"/>
                <w:b/>
              </w:rPr>
              <w:t>641.600,56</w:t>
            </w:r>
            <w:r>
              <w:rPr>
                <w:rFonts w:ascii="Arial" w:eastAsia="Arial" w:hAnsi="Arial" w:cs="Arial"/>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190</w:t>
            </w:r>
            <w:r>
              <w:rPr>
                <w:rFonts w:ascii="Arial" w:eastAsia="Arial" w:hAnsi="Arial" w:cs="Arial"/>
                <w:sz w:val="24"/>
              </w:rPr>
              <w:t xml:space="preserve"> </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
            </w:pPr>
            <w:r>
              <w:rPr>
                <w:rFonts w:ascii="Arial" w:eastAsia="Arial" w:hAnsi="Arial" w:cs="Arial"/>
                <w:b/>
              </w:rPr>
              <w:t>125.806,33</w:t>
            </w:r>
            <w:r>
              <w:rPr>
                <w:rFonts w:ascii="Arial" w:eastAsia="Arial" w:hAnsi="Arial" w:cs="Arial"/>
                <w:sz w:val="24"/>
              </w:rPr>
              <w:t xml:space="preserve"> </w:t>
            </w:r>
          </w:p>
        </w:tc>
      </w:tr>
    </w:tbl>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Segunda. - El resto de entes han hecho llegar sus datos a esta Tesorería con los siguientes datos: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797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2413" name="Group 49241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6178" name="Picture 6178"/>
                          <pic:cNvPicPr/>
                        </pic:nvPicPr>
                        <pic:blipFill>
                          <a:blip r:embed="rId62"/>
                          <a:stretch>
                            <a:fillRect/>
                          </a:stretch>
                        </pic:blipFill>
                        <pic:spPr>
                          <a:xfrm rot="-5399999">
                            <a:off x="-1720849" y="1720849"/>
                            <a:ext cx="3797300" cy="355601"/>
                          </a:xfrm>
                          <a:prstGeom prst="rect">
                            <a:avLst/>
                          </a:prstGeom>
                        </pic:spPr>
                      </pic:pic>
                      <wps:wsp>
                        <wps:cNvPr id="6179" name="Rectangle 617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6180" name="Rectangle 618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2413" style="width:41.2715pt;height:299pt;position:absolute;mso-position-horizontal-relative:page;mso-position-horizontal:absolute;margin-left:653.71pt;mso-position-vertical-relative:page;margin-top:512.92pt;" coordsize="5241,37973">
                <v:shape id="Picture 6178" style="position:absolute;width:37973;height:3556;left:-17208;top:17208;rotation:-89;" filled="f">
                  <v:imagedata r:id="rId63"/>
                </v:shape>
                <v:rect id="Rectangle 617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618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353 </w:t>
                        </w:r>
                      </w:p>
                    </w:txbxContent>
                  </v:textbox>
                </v:rect>
                <w10:wrap type="square"/>
              </v:group>
            </w:pict>
          </mc:Fallback>
        </mc:AlternateContent>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1" w:line="247" w:lineRule="auto"/>
        <w:ind w:left="286" w:hanging="3"/>
        <w:jc w:val="both"/>
      </w:pPr>
      <w:r>
        <w:rPr>
          <w:rFonts w:ascii="Arial" w:eastAsia="Arial" w:hAnsi="Arial" w:cs="Arial"/>
          <w:b/>
        </w:rPr>
        <w:t xml:space="preserve">EPELCAN </w:t>
      </w:r>
    </w:p>
    <w:p w:rsidR="00FF384B" w:rsidRDefault="003E3BA9">
      <w:pPr>
        <w:spacing w:after="111" w:line="247" w:lineRule="auto"/>
        <w:ind w:left="278" w:right="244" w:hanging="10"/>
        <w:jc w:val="both"/>
      </w:pPr>
      <w:r>
        <w:rPr>
          <w:rFonts w:ascii="Arial" w:eastAsia="Arial" w:hAnsi="Arial" w:cs="Arial"/>
        </w:rPr>
        <w:t xml:space="preserve">PAGOS REALIZADOS EN </w:t>
      </w:r>
    </w:p>
    <w:p w:rsidR="00FF384B" w:rsidRDefault="003E3BA9">
      <w:pPr>
        <w:spacing w:after="109" w:line="247" w:lineRule="auto"/>
        <w:ind w:left="278" w:right="244" w:hanging="10"/>
        <w:jc w:val="both"/>
      </w:pPr>
      <w:r>
        <w:rPr>
          <w:rFonts w:ascii="Arial" w:eastAsia="Arial" w:hAnsi="Arial" w:cs="Arial"/>
        </w:rPr>
        <w:t xml:space="preserve">EL PERIODO </w:t>
      </w:r>
    </w:p>
    <w:p w:rsidR="00FF384B" w:rsidRDefault="003E3BA9">
      <w:pPr>
        <w:spacing w:after="0"/>
        <w:ind w:left="283"/>
      </w:pPr>
      <w:r>
        <w:rPr>
          <w:rFonts w:ascii="Arial" w:eastAsia="Arial" w:hAnsi="Arial" w:cs="Arial"/>
        </w:rPr>
        <w:t xml:space="preserve"> </w:t>
      </w:r>
    </w:p>
    <w:tbl>
      <w:tblPr>
        <w:tblStyle w:val="TableGrid"/>
        <w:tblW w:w="8500" w:type="dxa"/>
        <w:tblInd w:w="288" w:type="dxa"/>
        <w:tblCellMar>
          <w:top w:w="9" w:type="dxa"/>
          <w:left w:w="106" w:type="dxa"/>
          <w:bottom w:w="0" w:type="dxa"/>
          <w:right w:w="47" w:type="dxa"/>
        </w:tblCellMar>
        <w:tblLook w:val="04A0" w:firstRow="1" w:lastRow="0" w:firstColumn="1" w:lastColumn="0" w:noHBand="0" w:noVBand="1"/>
      </w:tblPr>
      <w:tblGrid>
        <w:gridCol w:w="1704"/>
        <w:gridCol w:w="1695"/>
        <w:gridCol w:w="1702"/>
        <w:gridCol w:w="1699"/>
        <w:gridCol w:w="1700"/>
      </w:tblGrid>
      <w:tr w:rsidR="00FF384B">
        <w:trPr>
          <w:trHeight w:val="384"/>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 </w:t>
            </w:r>
          </w:p>
        </w:tc>
        <w:tc>
          <w:tcPr>
            <w:tcW w:w="3397"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Fuera del Período Legal Pago </w:t>
            </w:r>
          </w:p>
        </w:tc>
      </w:tr>
      <w:tr w:rsidR="00FF384B">
        <w:trPr>
          <w:trHeight w:val="756"/>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Período Medio de Pago (días) </w:t>
            </w:r>
          </w:p>
        </w:tc>
        <w:tc>
          <w:tcPr>
            <w:tcW w:w="1695"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left="7"/>
              <w:jc w:val="both"/>
            </w:pPr>
            <w:r>
              <w:rPr>
                <w:rFonts w:ascii="Arial" w:eastAsia="Arial" w:hAnsi="Arial" w:cs="Arial"/>
              </w:rPr>
              <w:t xml:space="preserve">Número Pagos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3"/>
              <w:jc w:val="center"/>
            </w:pPr>
            <w:r>
              <w:rPr>
                <w:rFonts w:ascii="Arial" w:eastAsia="Arial" w:hAnsi="Arial" w:cs="Arial"/>
              </w:rPr>
              <w:t xml:space="preserve"> </w:t>
            </w:r>
          </w:p>
          <w:p w:rsidR="00FF384B" w:rsidRDefault="003E3BA9">
            <w:pPr>
              <w:spacing w:after="0"/>
              <w:ind w:left="10"/>
              <w:jc w:val="both"/>
            </w:pPr>
            <w:r>
              <w:rPr>
                <w:rFonts w:ascii="Arial" w:eastAsia="Arial" w:hAnsi="Arial" w:cs="Arial"/>
              </w:rPr>
              <w:t xml:space="preserve">Número Pagos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right="56"/>
              <w:jc w:val="center"/>
            </w:pPr>
            <w:r>
              <w:rPr>
                <w:rFonts w:ascii="Arial" w:eastAsia="Arial" w:hAnsi="Arial" w:cs="Arial"/>
              </w:rPr>
              <w:t xml:space="preserve">Importe Total </w:t>
            </w:r>
          </w:p>
        </w:tc>
      </w:tr>
      <w:tr w:rsidR="00FF384B">
        <w:trPr>
          <w:trHeight w:val="384"/>
        </w:trPr>
        <w:tc>
          <w:tcPr>
            <w:tcW w:w="170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31,38 </w:t>
            </w:r>
          </w:p>
        </w:tc>
        <w:tc>
          <w:tcPr>
            <w:tcW w:w="169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31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23.437,50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40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11.882,10 </w:t>
            </w:r>
          </w:p>
        </w:tc>
      </w:tr>
    </w:tbl>
    <w:p w:rsidR="00FF384B" w:rsidRDefault="003E3BA9">
      <w:pPr>
        <w:spacing w:after="98"/>
        <w:ind w:left="283"/>
      </w:pPr>
      <w:r>
        <w:rPr>
          <w:rFonts w:ascii="Arial" w:eastAsia="Arial" w:hAnsi="Arial" w:cs="Arial"/>
        </w:rPr>
        <w:t xml:space="preserve"> </w:t>
      </w:r>
    </w:p>
    <w:p w:rsidR="00FF384B" w:rsidRDefault="003E3BA9">
      <w:pPr>
        <w:spacing w:after="101"/>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rFonts w:ascii="Arial" w:eastAsia="Arial" w:hAnsi="Arial" w:cs="Arial"/>
        </w:rPr>
        <w:t xml:space="preserve">FINAL DEL PERIODO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26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118" w:line="240" w:lineRule="auto"/>
              <w:ind w:left="2"/>
              <w:jc w:val="both"/>
            </w:pPr>
            <w:r>
              <w:rPr>
                <w:rFonts w:ascii="Arial" w:eastAsia="Arial" w:hAnsi="Arial" w:cs="Arial"/>
              </w:rPr>
              <w:t xml:space="preserve">Período Medio de Pago </w:t>
            </w:r>
          </w:p>
          <w:p w:rsidR="00FF384B" w:rsidRDefault="003E3BA9">
            <w:pPr>
              <w:spacing w:after="0"/>
              <w:ind w:left="2"/>
            </w:pPr>
            <w:r>
              <w:rPr>
                <w:rFonts w:ascii="Arial" w:eastAsia="Arial" w:hAnsi="Arial" w:cs="Arial"/>
              </w:rPr>
              <w:t xml:space="preserve">Pendiente </w:t>
            </w:r>
          </w:p>
          <w:p w:rsidR="00FF384B" w:rsidRDefault="003E3BA9">
            <w:pPr>
              <w:spacing w:after="0"/>
              <w:ind w:left="2"/>
            </w:pPr>
            <w:r>
              <w:rPr>
                <w:rFonts w:ascii="Arial" w:eastAsia="Arial" w:hAnsi="Arial" w:cs="Arial"/>
              </w:rPr>
              <w:t xml:space="preserv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Número </w:t>
            </w:r>
          </w:p>
          <w:p w:rsidR="00FF384B" w:rsidRDefault="003E3BA9">
            <w:pPr>
              <w:spacing w:after="0"/>
              <w:ind w:right="61"/>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Número </w:t>
            </w:r>
          </w:p>
          <w:p w:rsidR="00FF384B" w:rsidRDefault="003E3BA9">
            <w:pPr>
              <w:spacing w:after="0"/>
              <w:ind w:right="53"/>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8"/>
              <w:jc w:val="center"/>
            </w:pPr>
            <w:r>
              <w:rPr>
                <w:rFonts w:ascii="Arial" w:eastAsia="Arial" w:hAnsi="Arial" w:cs="Arial"/>
              </w:rPr>
              <w:t xml:space="preserve">30,89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32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11.246,93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646,37 </w:t>
            </w:r>
          </w:p>
        </w:tc>
      </w:tr>
    </w:tbl>
    <w:p w:rsidR="00FF384B" w:rsidRDefault="003E3BA9">
      <w:pPr>
        <w:spacing w:after="96"/>
        <w:ind w:left="283"/>
      </w:pPr>
      <w:r>
        <w:rPr>
          <w:rFonts w:ascii="Arial" w:eastAsia="Arial" w:hAnsi="Arial" w:cs="Arial"/>
        </w:rPr>
        <w:t xml:space="preserve"> </w:t>
      </w:r>
    </w:p>
    <w:p w:rsidR="00FF384B" w:rsidRDefault="003E3BA9">
      <w:pPr>
        <w:spacing w:after="111" w:line="247" w:lineRule="auto"/>
        <w:ind w:left="286" w:hanging="3"/>
        <w:jc w:val="both"/>
      </w:pPr>
      <w:r>
        <w:rPr>
          <w:rFonts w:ascii="Arial" w:eastAsia="Arial" w:hAnsi="Arial" w:cs="Arial"/>
          <w:b/>
        </w:rPr>
        <w:t xml:space="preserve">VIVIENDAS Y SERVICIOS MUNICIPALES </w:t>
      </w:r>
    </w:p>
    <w:p w:rsidR="00FF384B" w:rsidRDefault="003E3BA9">
      <w:pPr>
        <w:spacing w:after="111" w:line="247" w:lineRule="auto"/>
        <w:ind w:left="286" w:hanging="3"/>
        <w:jc w:val="both"/>
      </w:pPr>
      <w:r>
        <w:rPr>
          <w:rFonts w:ascii="Arial" w:eastAsia="Arial" w:hAnsi="Arial" w:cs="Arial"/>
          <w:b/>
        </w:rPr>
        <w:t xml:space="preserve">DE CANDELARIA </w:t>
      </w:r>
    </w:p>
    <w:p w:rsidR="00FF384B" w:rsidRDefault="003E3BA9">
      <w:pPr>
        <w:spacing w:after="109" w:line="247" w:lineRule="auto"/>
        <w:ind w:left="278" w:right="244" w:hanging="10"/>
        <w:jc w:val="both"/>
      </w:pPr>
      <w:r>
        <w:rPr>
          <w:rFonts w:ascii="Arial" w:eastAsia="Arial" w:hAnsi="Arial" w:cs="Arial"/>
        </w:rPr>
        <w:t xml:space="preserve">PAGOS REALIZADOS EN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807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5678" name="Group 48567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6639" name="Picture 6639"/>
                          <pic:cNvPicPr/>
                        </pic:nvPicPr>
                        <pic:blipFill>
                          <a:blip r:embed="rId62"/>
                          <a:stretch>
                            <a:fillRect/>
                          </a:stretch>
                        </pic:blipFill>
                        <pic:spPr>
                          <a:xfrm rot="-5399999">
                            <a:off x="-1720849" y="1720849"/>
                            <a:ext cx="3797300" cy="355601"/>
                          </a:xfrm>
                          <a:prstGeom prst="rect">
                            <a:avLst/>
                          </a:prstGeom>
                        </pic:spPr>
                      </pic:pic>
                      <wps:wsp>
                        <wps:cNvPr id="6640" name="Rectangle 664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6641" name="Rectangle 664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5678" style="width:41.2715pt;height:299pt;position:absolute;mso-position-horizontal-relative:page;mso-position-horizontal:absolute;margin-left:653.71pt;mso-position-vertical-relative:page;margin-top:512.92pt;" coordsize="5241,37973">
                <v:shape id="Picture 6639" style="position:absolute;width:37973;height:3556;left:-17208;top:17208;rotation:-89;" filled="f">
                  <v:imagedata r:id="rId63"/>
                </v:shape>
                <v:rect id="Rectangle 664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664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353 </w:t>
                        </w:r>
                      </w:p>
                    </w:txbxContent>
                  </v:textbox>
                </v:rect>
                <w10:wrap type="square"/>
              </v:group>
            </w:pict>
          </mc:Fallback>
        </mc:AlternateContent>
      </w:r>
      <w:r>
        <w:rPr>
          <w:rFonts w:ascii="Arial" w:eastAsia="Arial" w:hAnsi="Arial" w:cs="Arial"/>
        </w:rPr>
        <w:t xml:space="preserve">EL PERIODO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756"/>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jc w:val="both"/>
            </w:pPr>
            <w:r>
              <w:rPr>
                <w:rFonts w:ascii="Arial" w:eastAsia="Arial" w:hAnsi="Arial" w:cs="Arial"/>
              </w:rPr>
              <w:t xml:space="preserve">Período Medio de Pago (días)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1"/>
              <w:jc w:val="center"/>
            </w:pPr>
            <w:r>
              <w:rPr>
                <w:rFonts w:ascii="Arial" w:eastAsia="Arial" w:hAnsi="Arial" w:cs="Arial"/>
              </w:rPr>
              <w:t xml:space="preserve"> </w:t>
            </w:r>
          </w:p>
          <w:p w:rsidR="00FF384B" w:rsidRDefault="003E3BA9">
            <w:pPr>
              <w:spacing w:after="0"/>
              <w:ind w:left="5"/>
              <w:jc w:val="both"/>
            </w:pPr>
            <w:r>
              <w:rPr>
                <w:rFonts w:ascii="Arial" w:eastAsia="Arial" w:hAnsi="Arial" w:cs="Arial"/>
              </w:rPr>
              <w:t xml:space="preserve">Número Pagos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left="10"/>
              <w:jc w:val="both"/>
            </w:pPr>
            <w:r>
              <w:rPr>
                <w:rFonts w:ascii="Arial" w:eastAsia="Arial" w:hAnsi="Arial" w:cs="Arial"/>
              </w:rPr>
              <w:t xml:space="preserve">Número Pagos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8"/>
              <w:jc w:val="center"/>
            </w:pPr>
            <w:r>
              <w:rPr>
                <w:rFonts w:ascii="Arial" w:eastAsia="Arial" w:hAnsi="Arial" w:cs="Arial"/>
              </w:rPr>
              <w:t xml:space="preserve">25,36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rPr>
              <w:t xml:space="preserve">19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7.053,08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15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3.639,63 </w:t>
            </w:r>
          </w:p>
        </w:tc>
      </w:tr>
    </w:tbl>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rFonts w:ascii="Arial" w:eastAsia="Arial" w:hAnsi="Arial" w:cs="Arial"/>
        </w:rPr>
        <w:t xml:space="preserve">FINAL DEL PERÍODO </w:t>
      </w:r>
    </w:p>
    <w:tbl>
      <w:tblPr>
        <w:tblStyle w:val="TableGrid"/>
        <w:tblW w:w="8500" w:type="dxa"/>
        <w:tblInd w:w="288" w:type="dxa"/>
        <w:tblCellMar>
          <w:top w:w="9" w:type="dxa"/>
          <w:left w:w="106" w:type="dxa"/>
          <w:bottom w:w="0" w:type="dxa"/>
          <w:right w:w="49" w:type="dxa"/>
        </w:tblCellMar>
        <w:tblLook w:val="04A0" w:firstRow="1" w:lastRow="0" w:firstColumn="1" w:lastColumn="0" w:noHBand="0" w:noVBand="1"/>
      </w:tblPr>
      <w:tblGrid>
        <w:gridCol w:w="1702"/>
        <w:gridCol w:w="1697"/>
        <w:gridCol w:w="1702"/>
        <w:gridCol w:w="1699"/>
        <w:gridCol w:w="1700"/>
      </w:tblGrid>
      <w:tr w:rsidR="00FF384B">
        <w:trPr>
          <w:trHeight w:val="38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89"/>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right="57"/>
              <w:jc w:val="center"/>
            </w:pPr>
            <w:r>
              <w:rPr>
                <w:rFonts w:ascii="Arial" w:eastAsia="Arial" w:hAnsi="Arial" w:cs="Arial"/>
              </w:rPr>
              <w:t xml:space="preserve">Fuera del Período Legal Pago </w:t>
            </w:r>
          </w:p>
        </w:tc>
      </w:tr>
      <w:tr w:rsidR="00FF384B">
        <w:trPr>
          <w:trHeight w:val="1142"/>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line="240" w:lineRule="auto"/>
              <w:ind w:left="2"/>
              <w:jc w:val="both"/>
            </w:pPr>
            <w:r>
              <w:rPr>
                <w:rFonts w:ascii="Arial" w:eastAsia="Arial" w:hAnsi="Arial" w:cs="Arial"/>
              </w:rPr>
              <w:t xml:space="preserve">Período Medio de Pago </w:t>
            </w:r>
          </w:p>
          <w:p w:rsidR="00FF384B" w:rsidRDefault="003E3BA9">
            <w:pPr>
              <w:spacing w:after="0"/>
              <w:ind w:left="2"/>
            </w:pPr>
            <w:r>
              <w:rPr>
                <w:rFonts w:ascii="Arial" w:eastAsia="Arial" w:hAnsi="Arial" w:cs="Arial"/>
              </w:rPr>
              <w:t xml:space="preserve">Pendiente </w:t>
            </w:r>
          </w:p>
          <w:p w:rsidR="00FF384B" w:rsidRDefault="003E3BA9">
            <w:pPr>
              <w:spacing w:after="0"/>
              <w:ind w:left="2"/>
            </w:pPr>
            <w:r>
              <w:rPr>
                <w:rFonts w:ascii="Arial" w:eastAsia="Arial" w:hAnsi="Arial" w:cs="Arial"/>
              </w:rPr>
              <w:t xml:space="preserv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right="2"/>
              <w:jc w:val="center"/>
            </w:pPr>
            <w:r>
              <w:rPr>
                <w:rFonts w:ascii="Arial" w:eastAsia="Arial" w:hAnsi="Arial" w:cs="Arial"/>
              </w:rPr>
              <w:t xml:space="preserve"> </w:t>
            </w:r>
          </w:p>
          <w:p w:rsidR="00FF384B" w:rsidRDefault="003E3BA9">
            <w:pPr>
              <w:spacing w:after="0"/>
              <w:ind w:right="66"/>
              <w:jc w:val="center"/>
            </w:pPr>
            <w:r>
              <w:rPr>
                <w:rFonts w:ascii="Arial" w:eastAsia="Arial" w:hAnsi="Arial" w:cs="Arial"/>
              </w:rPr>
              <w:t xml:space="preserve">Número </w:t>
            </w:r>
          </w:p>
          <w:p w:rsidR="00FF384B" w:rsidRDefault="003E3BA9">
            <w:pPr>
              <w:spacing w:after="0"/>
              <w:ind w:right="62"/>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0"/>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5"/>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Número </w:t>
            </w:r>
          </w:p>
          <w:p w:rsidR="00FF384B" w:rsidRDefault="003E3BA9">
            <w:pPr>
              <w:spacing w:after="0"/>
              <w:ind w:right="54"/>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02"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61"/>
              <w:jc w:val="center"/>
            </w:pPr>
            <w:r>
              <w:rPr>
                <w:rFonts w:ascii="Arial" w:eastAsia="Arial" w:hAnsi="Arial" w:cs="Arial"/>
              </w:rPr>
              <w:t xml:space="preserve">11,61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16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center"/>
            </w:pPr>
            <w:r>
              <w:rPr>
                <w:rFonts w:ascii="Arial" w:eastAsia="Arial" w:hAnsi="Arial" w:cs="Arial"/>
              </w:rPr>
              <w:t xml:space="preserve">11.852,80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8"/>
              <w:jc w:val="center"/>
            </w:pPr>
            <w:r>
              <w:rPr>
                <w:rFonts w:ascii="Arial" w:eastAsia="Arial" w:hAnsi="Arial" w:cs="Arial"/>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260,02 </w:t>
            </w:r>
          </w:p>
        </w:tc>
      </w:tr>
    </w:tbl>
    <w:p w:rsidR="00FF384B" w:rsidRDefault="003E3BA9">
      <w:pPr>
        <w:spacing w:after="95"/>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CANDESOL </w:t>
      </w:r>
    </w:p>
    <w:p w:rsidR="00FF384B" w:rsidRDefault="003E3BA9">
      <w:pPr>
        <w:spacing w:after="111" w:line="247" w:lineRule="auto"/>
        <w:ind w:left="278" w:right="244" w:hanging="10"/>
        <w:jc w:val="both"/>
      </w:pPr>
      <w:r>
        <w:rPr>
          <w:rFonts w:ascii="Arial" w:eastAsia="Arial" w:hAnsi="Arial" w:cs="Arial"/>
        </w:rPr>
        <w:t xml:space="preserve">PAGOS REALIZADOS EN </w:t>
      </w:r>
    </w:p>
    <w:p w:rsidR="00FF384B" w:rsidRDefault="003E3BA9">
      <w:pPr>
        <w:spacing w:after="5" w:line="247" w:lineRule="auto"/>
        <w:ind w:left="278" w:right="244" w:hanging="10"/>
        <w:jc w:val="both"/>
      </w:pPr>
      <w:r>
        <w:rPr>
          <w:rFonts w:ascii="Arial" w:eastAsia="Arial" w:hAnsi="Arial" w:cs="Arial"/>
        </w:rPr>
        <w:t xml:space="preserve">EL PERÍODO </w:t>
      </w:r>
    </w:p>
    <w:tbl>
      <w:tblPr>
        <w:tblStyle w:val="TableGrid"/>
        <w:tblW w:w="8500" w:type="dxa"/>
        <w:tblInd w:w="288" w:type="dxa"/>
        <w:tblCellMar>
          <w:top w:w="9" w:type="dxa"/>
          <w:left w:w="106" w:type="dxa"/>
          <w:bottom w:w="0" w:type="dxa"/>
          <w:right w:w="50" w:type="dxa"/>
        </w:tblCellMar>
        <w:tblLook w:val="04A0" w:firstRow="1" w:lastRow="0" w:firstColumn="1" w:lastColumn="0" w:noHBand="0" w:noVBand="1"/>
      </w:tblPr>
      <w:tblGrid>
        <w:gridCol w:w="1697"/>
        <w:gridCol w:w="1695"/>
        <w:gridCol w:w="1707"/>
        <w:gridCol w:w="1697"/>
        <w:gridCol w:w="1705"/>
      </w:tblGrid>
      <w:tr w:rsidR="00FF384B">
        <w:trPr>
          <w:trHeight w:val="384"/>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402"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401"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129"/>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2" w:line="238" w:lineRule="auto"/>
              <w:ind w:left="2"/>
              <w:jc w:val="both"/>
            </w:pPr>
            <w:r>
              <w:rPr>
                <w:rFonts w:ascii="Arial" w:eastAsia="Arial" w:hAnsi="Arial" w:cs="Arial"/>
              </w:rPr>
              <w:t xml:space="preserve">Período Medio de Pagos </w:t>
            </w:r>
          </w:p>
          <w:p w:rsidR="00FF384B" w:rsidRDefault="003E3BA9">
            <w:pPr>
              <w:spacing w:after="0"/>
              <w:ind w:left="2"/>
            </w:pPr>
            <w:r>
              <w:rPr>
                <w:rFonts w:ascii="Arial" w:eastAsia="Arial" w:hAnsi="Arial" w:cs="Arial"/>
              </w:rPr>
              <w:t xml:space="preserve">(días) </w:t>
            </w:r>
          </w:p>
        </w:tc>
        <w:tc>
          <w:tcPr>
            <w:tcW w:w="1695" w:type="dxa"/>
            <w:tcBorders>
              <w:top w:val="single" w:sz="4" w:space="0" w:color="000000"/>
              <w:left w:val="single" w:sz="6" w:space="0" w:color="000000"/>
              <w:bottom w:val="single" w:sz="4" w:space="0" w:color="000000"/>
              <w:right w:val="single" w:sz="4" w:space="0" w:color="000000"/>
            </w:tcBorders>
          </w:tcPr>
          <w:p w:rsidR="00FF384B" w:rsidRDefault="003E3BA9">
            <w:pPr>
              <w:spacing w:after="98"/>
              <w:ind w:left="1"/>
              <w:jc w:val="center"/>
            </w:pPr>
            <w:r>
              <w:rPr>
                <w:rFonts w:ascii="Arial" w:eastAsia="Arial" w:hAnsi="Arial" w:cs="Arial"/>
              </w:rPr>
              <w:t xml:space="preserve"> </w:t>
            </w:r>
          </w:p>
          <w:p w:rsidR="00FF384B" w:rsidRDefault="003E3BA9">
            <w:pPr>
              <w:spacing w:after="0"/>
              <w:ind w:left="7"/>
              <w:jc w:val="both"/>
            </w:pPr>
            <w:r>
              <w:rPr>
                <w:rFonts w:ascii="Arial" w:eastAsia="Arial" w:hAnsi="Arial" w:cs="Arial"/>
              </w:rPr>
              <w:t xml:space="preserve">Número Pagos </w:t>
            </w:r>
          </w:p>
        </w:tc>
        <w:tc>
          <w:tcPr>
            <w:tcW w:w="1707" w:type="dxa"/>
            <w:tcBorders>
              <w:top w:val="single" w:sz="4" w:space="0" w:color="000000"/>
              <w:left w:val="single" w:sz="4" w:space="0" w:color="000000"/>
              <w:bottom w:val="single" w:sz="4" w:space="0" w:color="000000"/>
              <w:right w:val="single" w:sz="4" w:space="0" w:color="000000"/>
            </w:tcBorders>
          </w:tcPr>
          <w:p w:rsidR="00FF384B" w:rsidRDefault="003E3BA9">
            <w:pPr>
              <w:spacing w:after="98"/>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7"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3"/>
              <w:jc w:val="center"/>
            </w:pPr>
            <w:r>
              <w:rPr>
                <w:rFonts w:ascii="Arial" w:eastAsia="Arial" w:hAnsi="Arial" w:cs="Arial"/>
              </w:rPr>
              <w:t xml:space="preserve"> </w:t>
            </w:r>
          </w:p>
          <w:p w:rsidR="00FF384B" w:rsidRDefault="003E3BA9">
            <w:pPr>
              <w:spacing w:after="101"/>
              <w:ind w:right="56"/>
              <w:jc w:val="center"/>
            </w:pPr>
            <w:r>
              <w:rPr>
                <w:rFonts w:ascii="Arial" w:eastAsia="Arial" w:hAnsi="Arial" w:cs="Arial"/>
              </w:rPr>
              <w:t xml:space="preserve">Número </w:t>
            </w:r>
          </w:p>
          <w:p w:rsidR="00FF384B" w:rsidRDefault="003E3BA9">
            <w:pPr>
              <w:spacing w:after="0"/>
              <w:ind w:right="56"/>
              <w:jc w:val="center"/>
            </w:pPr>
            <w:r>
              <w:rPr>
                <w:rFonts w:ascii="Arial" w:eastAsia="Arial" w:hAnsi="Arial" w:cs="Arial"/>
              </w:rPr>
              <w:t xml:space="preserve">Pagos </w:t>
            </w:r>
          </w:p>
        </w:tc>
        <w:tc>
          <w:tcPr>
            <w:tcW w:w="1705"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869"/>
        </w:trPr>
        <w:tc>
          <w:tcPr>
            <w:tcW w:w="1697" w:type="dxa"/>
            <w:tcBorders>
              <w:top w:val="single" w:sz="4" w:space="0" w:color="000000"/>
              <w:left w:val="single" w:sz="4" w:space="0" w:color="000000"/>
              <w:bottom w:val="single" w:sz="4" w:space="0" w:color="000000"/>
              <w:right w:val="single" w:sz="6" w:space="0" w:color="000000"/>
            </w:tcBorders>
          </w:tcPr>
          <w:p w:rsidR="00FF384B" w:rsidRDefault="003E3BA9">
            <w:pPr>
              <w:spacing w:after="100"/>
              <w:ind w:left="3"/>
              <w:jc w:val="center"/>
            </w:pPr>
            <w:r>
              <w:rPr>
                <w:rFonts w:ascii="Arial" w:eastAsia="Arial" w:hAnsi="Arial" w:cs="Arial"/>
              </w:rPr>
              <w:t xml:space="preserve"> </w:t>
            </w:r>
          </w:p>
          <w:p w:rsidR="00FF384B" w:rsidRDefault="003E3BA9">
            <w:pPr>
              <w:spacing w:after="0"/>
              <w:ind w:right="58"/>
              <w:jc w:val="center"/>
            </w:pPr>
            <w:r>
              <w:rPr>
                <w:rFonts w:ascii="Arial" w:eastAsia="Arial" w:hAnsi="Arial" w:cs="Arial"/>
              </w:rPr>
              <w:t xml:space="preserve">12,28 </w:t>
            </w:r>
          </w:p>
        </w:tc>
        <w:tc>
          <w:tcPr>
            <w:tcW w:w="1695" w:type="dxa"/>
            <w:tcBorders>
              <w:top w:val="single" w:sz="4" w:space="0" w:color="000000"/>
              <w:left w:val="single" w:sz="6" w:space="0" w:color="000000"/>
              <w:bottom w:val="single" w:sz="4" w:space="0" w:color="000000"/>
              <w:right w:val="single" w:sz="4" w:space="0" w:color="000000"/>
            </w:tcBorders>
          </w:tcPr>
          <w:p w:rsidR="00FF384B" w:rsidRDefault="003E3BA9">
            <w:pPr>
              <w:spacing w:after="100"/>
              <w:ind w:left="1"/>
              <w:jc w:val="center"/>
            </w:pPr>
            <w:r>
              <w:rPr>
                <w:rFonts w:ascii="Arial" w:eastAsia="Arial" w:hAnsi="Arial" w:cs="Arial"/>
              </w:rPr>
              <w:t xml:space="preserve"> </w:t>
            </w:r>
          </w:p>
          <w:p w:rsidR="00FF384B" w:rsidRDefault="003E3BA9">
            <w:pPr>
              <w:spacing w:after="0"/>
              <w:ind w:right="60"/>
              <w:jc w:val="center"/>
            </w:pPr>
            <w:r>
              <w:rPr>
                <w:rFonts w:ascii="Arial" w:eastAsia="Arial" w:hAnsi="Arial" w:cs="Arial"/>
              </w:rPr>
              <w:t xml:space="preserve">56 </w:t>
            </w:r>
          </w:p>
        </w:tc>
        <w:tc>
          <w:tcPr>
            <w:tcW w:w="1707" w:type="dxa"/>
            <w:tcBorders>
              <w:top w:val="single" w:sz="4" w:space="0" w:color="000000"/>
              <w:left w:val="single" w:sz="4" w:space="0" w:color="000000"/>
              <w:bottom w:val="single" w:sz="4" w:space="0" w:color="000000"/>
              <w:right w:val="single" w:sz="4" w:space="0" w:color="000000"/>
            </w:tcBorders>
          </w:tcPr>
          <w:p w:rsidR="00FF384B" w:rsidRDefault="003E3BA9">
            <w:pPr>
              <w:spacing w:after="2"/>
            </w:pPr>
            <w:r>
              <w:rPr>
                <w:rFonts w:ascii="Arial" w:eastAsia="Arial" w:hAnsi="Arial" w:cs="Arial"/>
              </w:rPr>
              <w:t xml:space="preserve"> </w:t>
            </w:r>
          </w:p>
          <w:p w:rsidR="00FF384B" w:rsidRDefault="003E3BA9">
            <w:pPr>
              <w:spacing w:after="0"/>
              <w:ind w:right="56"/>
              <w:jc w:val="center"/>
            </w:pPr>
            <w:r>
              <w:rPr>
                <w:rFonts w:ascii="Arial" w:eastAsia="Arial" w:hAnsi="Arial" w:cs="Arial"/>
              </w:rPr>
              <w:t>11.598,23€</w:t>
            </w:r>
            <w:r>
              <w:rPr>
                <w:rFonts w:ascii="Times New Roman" w:eastAsia="Times New Roman" w:hAnsi="Times New Roman" w:cs="Times New Roman"/>
                <w:sz w:val="24"/>
              </w:rPr>
              <w:t xml:space="preserve"> </w:t>
            </w:r>
          </w:p>
          <w:p w:rsidR="00FF384B" w:rsidRDefault="003E3BA9">
            <w:pPr>
              <w:spacing w:after="0"/>
              <w:ind w:right="56"/>
              <w:jc w:val="center"/>
            </w:pPr>
            <w:r>
              <w:rPr>
                <w:rFonts w:ascii="Arial" w:eastAsia="Arial" w:hAnsi="Arial" w:cs="Arial"/>
                <w:sz w:val="2"/>
              </w:rPr>
              <w:t xml:space="preserve"> </w:t>
            </w:r>
          </w:p>
        </w:tc>
        <w:tc>
          <w:tcPr>
            <w:tcW w:w="1697"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left="3"/>
              <w:jc w:val="center"/>
            </w:pPr>
            <w:r>
              <w:rPr>
                <w:rFonts w:ascii="Arial" w:eastAsia="Arial" w:hAnsi="Arial" w:cs="Arial"/>
              </w:rPr>
              <w:t xml:space="preserve"> </w:t>
            </w:r>
          </w:p>
          <w:p w:rsidR="00FF384B" w:rsidRDefault="003E3BA9">
            <w:pPr>
              <w:spacing w:after="0"/>
              <w:ind w:right="56"/>
              <w:jc w:val="center"/>
            </w:pPr>
            <w:r>
              <w:rPr>
                <w:rFonts w:ascii="Arial" w:eastAsia="Arial" w:hAnsi="Arial" w:cs="Arial"/>
              </w:rPr>
              <w:t xml:space="preserve">3 </w:t>
            </w:r>
          </w:p>
        </w:tc>
        <w:tc>
          <w:tcPr>
            <w:tcW w:w="1705" w:type="dxa"/>
            <w:tcBorders>
              <w:top w:val="single" w:sz="4" w:space="0" w:color="000000"/>
              <w:left w:val="single" w:sz="4" w:space="0" w:color="000000"/>
              <w:bottom w:val="single" w:sz="4" w:space="0" w:color="000000"/>
              <w:right w:val="single" w:sz="4" w:space="0" w:color="000000"/>
            </w:tcBorders>
          </w:tcPr>
          <w:p w:rsidR="00FF384B" w:rsidRDefault="003E3BA9">
            <w:pPr>
              <w:spacing w:after="4"/>
              <w:ind w:left="2"/>
            </w:pPr>
            <w:r>
              <w:rPr>
                <w:rFonts w:ascii="Arial" w:eastAsia="Arial" w:hAnsi="Arial" w:cs="Arial"/>
              </w:rPr>
              <w:t xml:space="preserve"> </w:t>
            </w:r>
          </w:p>
          <w:p w:rsidR="00FF384B" w:rsidRDefault="003E3BA9">
            <w:pPr>
              <w:spacing w:after="101"/>
              <w:ind w:right="58"/>
              <w:jc w:val="center"/>
            </w:pPr>
            <w:r>
              <w:rPr>
                <w:rFonts w:ascii="Arial" w:eastAsia="Arial" w:hAnsi="Arial" w:cs="Arial"/>
              </w:rPr>
              <w:t>249,11€</w:t>
            </w:r>
            <w:r>
              <w:rPr>
                <w:rFonts w:ascii="Times New Roman" w:eastAsia="Times New Roman" w:hAnsi="Times New Roman" w:cs="Times New Roman"/>
                <w:sz w:val="24"/>
              </w:rPr>
              <w:t xml:space="preserve"> </w:t>
            </w:r>
          </w:p>
          <w:p w:rsidR="00FF384B" w:rsidRDefault="003E3BA9">
            <w:pPr>
              <w:spacing w:after="0"/>
              <w:ind w:right="53"/>
              <w:jc w:val="center"/>
            </w:pPr>
            <w:r>
              <w:rPr>
                <w:rFonts w:ascii="Arial" w:eastAsia="Arial" w:hAnsi="Arial" w:cs="Arial"/>
                <w:sz w:val="2"/>
              </w:rPr>
              <w:t xml:space="preserve"> </w:t>
            </w:r>
          </w:p>
        </w:tc>
      </w:tr>
    </w:tbl>
    <w:p w:rsidR="00FF384B" w:rsidRDefault="003E3BA9">
      <w:pPr>
        <w:spacing w:after="100"/>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FACTURAS O DOCUMENTOS PENDIENTES DE PAGO AL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8161" name="Group 46816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6947" name="Picture 6947"/>
                          <pic:cNvPicPr/>
                        </pic:nvPicPr>
                        <pic:blipFill>
                          <a:blip r:embed="rId62"/>
                          <a:stretch>
                            <a:fillRect/>
                          </a:stretch>
                        </pic:blipFill>
                        <pic:spPr>
                          <a:xfrm rot="-5399999">
                            <a:off x="-1720849" y="1720849"/>
                            <a:ext cx="3797300" cy="355601"/>
                          </a:xfrm>
                          <a:prstGeom prst="rect">
                            <a:avLst/>
                          </a:prstGeom>
                        </pic:spPr>
                      </pic:pic>
                      <wps:wsp>
                        <wps:cNvPr id="6948" name="Rectangle 694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6949" name="Rectangle 694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8161" style="width:41.2715pt;height:299pt;position:absolute;mso-position-horizontal-relative:page;mso-position-horizontal:absolute;margin-left:653.71pt;mso-position-vertical-relative:page;margin-top:512.92pt;" coordsize="5241,37973">
                <v:shape id="Picture 6947" style="position:absolute;width:37973;height:3556;left:-17208;top:17208;rotation:-89;" filled="f">
                  <v:imagedata r:id="rId63"/>
                </v:shape>
                <v:rect id="Rectangle 694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694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353 </w:t>
                        </w:r>
                      </w:p>
                    </w:txbxContent>
                  </v:textbox>
                </v:rect>
                <w10:wrap type="square"/>
              </v:group>
            </w:pict>
          </mc:Fallback>
        </mc:AlternateContent>
      </w:r>
      <w:r>
        <w:rPr>
          <w:rFonts w:ascii="Arial" w:eastAsia="Arial" w:hAnsi="Arial" w:cs="Arial"/>
        </w:rPr>
        <w:t xml:space="preserve">FINAL DEL PERÍODO </w:t>
      </w:r>
    </w:p>
    <w:tbl>
      <w:tblPr>
        <w:tblStyle w:val="TableGrid"/>
        <w:tblW w:w="8572" w:type="dxa"/>
        <w:tblInd w:w="288" w:type="dxa"/>
        <w:tblCellMar>
          <w:top w:w="9" w:type="dxa"/>
          <w:left w:w="106" w:type="dxa"/>
          <w:bottom w:w="0" w:type="dxa"/>
          <w:right w:w="51" w:type="dxa"/>
        </w:tblCellMar>
        <w:tblLook w:val="04A0" w:firstRow="1" w:lastRow="0" w:firstColumn="1" w:lastColumn="0" w:noHBand="0" w:noVBand="1"/>
      </w:tblPr>
      <w:tblGrid>
        <w:gridCol w:w="1774"/>
        <w:gridCol w:w="1697"/>
        <w:gridCol w:w="1702"/>
        <w:gridCol w:w="1699"/>
        <w:gridCol w:w="1700"/>
      </w:tblGrid>
      <w:tr w:rsidR="00FF384B">
        <w:trPr>
          <w:trHeight w:val="384"/>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left="2"/>
            </w:pPr>
            <w:r>
              <w:rPr>
                <w:rFonts w:ascii="Arial" w:eastAsia="Arial" w:hAnsi="Arial" w:cs="Arial"/>
              </w:rPr>
              <w:t xml:space="preserve"> </w:t>
            </w:r>
          </w:p>
        </w:tc>
        <w:tc>
          <w:tcPr>
            <w:tcW w:w="3399" w:type="dxa"/>
            <w:gridSpan w:val="2"/>
            <w:tcBorders>
              <w:top w:val="single" w:sz="4" w:space="0" w:color="000000"/>
              <w:left w:val="single" w:sz="6" w:space="0" w:color="000000"/>
              <w:bottom w:val="single" w:sz="4" w:space="0" w:color="000000"/>
              <w:right w:val="single" w:sz="4" w:space="0" w:color="000000"/>
            </w:tcBorders>
          </w:tcPr>
          <w:p w:rsidR="00FF384B" w:rsidRDefault="003E3BA9">
            <w:pPr>
              <w:spacing w:after="0"/>
              <w:ind w:left="5"/>
            </w:pPr>
            <w:r>
              <w:rPr>
                <w:rFonts w:ascii="Arial" w:eastAsia="Arial" w:hAnsi="Arial" w:cs="Arial"/>
              </w:rPr>
              <w:t xml:space="preserve">Dentro del Periodo Legal Pago </w:t>
            </w:r>
          </w:p>
        </w:tc>
        <w:tc>
          <w:tcPr>
            <w:tcW w:w="3399" w:type="dxa"/>
            <w:gridSpan w:val="2"/>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Fuera del Período Legal Pago </w:t>
            </w:r>
          </w:p>
        </w:tc>
      </w:tr>
      <w:tr w:rsidR="00FF384B">
        <w:trPr>
          <w:trHeight w:val="1128"/>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0" w:line="240" w:lineRule="auto"/>
              <w:ind w:left="2"/>
              <w:jc w:val="both"/>
            </w:pPr>
            <w:r>
              <w:rPr>
                <w:rFonts w:ascii="Arial" w:eastAsia="Arial" w:hAnsi="Arial" w:cs="Arial"/>
              </w:rPr>
              <w:t xml:space="preserve">Período Medio de Pagos </w:t>
            </w:r>
          </w:p>
          <w:p w:rsidR="00FF384B" w:rsidRDefault="003E3BA9">
            <w:pPr>
              <w:spacing w:after="0"/>
              <w:ind w:left="2"/>
            </w:pPr>
            <w:r>
              <w:rPr>
                <w:rFonts w:ascii="Arial" w:eastAsia="Arial" w:hAnsi="Arial" w:cs="Arial"/>
              </w:rPr>
              <w:t xml:space="preserve">Pendiente(días)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101"/>
              <w:ind w:left="1"/>
              <w:jc w:val="center"/>
            </w:pPr>
            <w:r>
              <w:rPr>
                <w:rFonts w:ascii="Arial" w:eastAsia="Arial" w:hAnsi="Arial" w:cs="Arial"/>
              </w:rPr>
              <w:t xml:space="preserve"> </w:t>
            </w:r>
          </w:p>
          <w:p w:rsidR="00FF384B" w:rsidRDefault="003E3BA9">
            <w:pPr>
              <w:spacing w:after="0"/>
              <w:ind w:right="64"/>
              <w:jc w:val="center"/>
            </w:pPr>
            <w:r>
              <w:rPr>
                <w:rFonts w:ascii="Arial" w:eastAsia="Arial" w:hAnsi="Arial" w:cs="Arial"/>
              </w:rPr>
              <w:t xml:space="preserve">Número </w:t>
            </w:r>
          </w:p>
          <w:p w:rsidR="00FF384B" w:rsidRDefault="003E3BA9">
            <w:pPr>
              <w:spacing w:after="0"/>
              <w:ind w:right="59"/>
              <w:jc w:val="center"/>
            </w:pPr>
            <w:r>
              <w:rPr>
                <w:rFonts w:ascii="Arial" w:eastAsia="Arial" w:hAnsi="Arial" w:cs="Arial"/>
              </w:rPr>
              <w:t xml:space="preserve">Operaciones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101"/>
            </w:pPr>
            <w:r>
              <w:rPr>
                <w:rFonts w:ascii="Arial" w:eastAsia="Arial" w:hAnsi="Arial" w:cs="Arial"/>
              </w:rPr>
              <w:t xml:space="preserve"> </w:t>
            </w:r>
          </w:p>
          <w:p w:rsidR="00FF384B" w:rsidRDefault="003E3BA9">
            <w:pPr>
              <w:spacing w:after="0"/>
            </w:pPr>
            <w:r>
              <w:rPr>
                <w:rFonts w:ascii="Arial" w:eastAsia="Arial" w:hAnsi="Arial" w:cs="Arial"/>
              </w:rPr>
              <w:t xml:space="preserve">Importe Total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left="7"/>
              <w:jc w:val="center"/>
            </w:pPr>
            <w:r>
              <w:rPr>
                <w:rFonts w:ascii="Arial" w:eastAsia="Arial" w:hAnsi="Arial" w:cs="Arial"/>
              </w:rPr>
              <w:t xml:space="preserve"> </w:t>
            </w:r>
          </w:p>
          <w:p w:rsidR="00FF384B" w:rsidRDefault="003E3BA9">
            <w:pPr>
              <w:spacing w:after="98"/>
              <w:ind w:right="52"/>
              <w:jc w:val="center"/>
            </w:pPr>
            <w:r>
              <w:rPr>
                <w:rFonts w:ascii="Arial" w:eastAsia="Arial" w:hAnsi="Arial" w:cs="Arial"/>
              </w:rPr>
              <w:t xml:space="preserve">Número </w:t>
            </w:r>
          </w:p>
          <w:p w:rsidR="00FF384B" w:rsidRDefault="003E3BA9">
            <w:pPr>
              <w:spacing w:after="0"/>
              <w:ind w:right="52"/>
              <w:jc w:val="center"/>
            </w:pPr>
            <w:r>
              <w:rPr>
                <w:rFonts w:ascii="Arial" w:eastAsia="Arial" w:hAnsi="Arial" w:cs="Arial"/>
              </w:rPr>
              <w:t xml:space="preserve">Operaciones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left="2"/>
            </w:pPr>
            <w:r>
              <w:rPr>
                <w:rFonts w:ascii="Arial" w:eastAsia="Arial" w:hAnsi="Arial" w:cs="Arial"/>
              </w:rPr>
              <w:t xml:space="preserve"> </w:t>
            </w:r>
          </w:p>
          <w:p w:rsidR="00FF384B" w:rsidRDefault="003E3BA9">
            <w:pPr>
              <w:spacing w:after="0"/>
              <w:ind w:left="2"/>
            </w:pPr>
            <w:r>
              <w:rPr>
                <w:rFonts w:ascii="Arial" w:eastAsia="Arial" w:hAnsi="Arial" w:cs="Arial"/>
              </w:rPr>
              <w:t xml:space="preserve">Importe Total </w:t>
            </w:r>
          </w:p>
        </w:tc>
      </w:tr>
      <w:tr w:rsidR="00FF384B">
        <w:trPr>
          <w:trHeight w:val="384"/>
        </w:trPr>
        <w:tc>
          <w:tcPr>
            <w:tcW w:w="1774" w:type="dxa"/>
            <w:tcBorders>
              <w:top w:val="single" w:sz="4" w:space="0" w:color="000000"/>
              <w:left w:val="single" w:sz="4" w:space="0" w:color="000000"/>
              <w:bottom w:val="single" w:sz="4" w:space="0" w:color="000000"/>
              <w:right w:val="single" w:sz="6" w:space="0" w:color="000000"/>
            </w:tcBorders>
          </w:tcPr>
          <w:p w:rsidR="00FF384B" w:rsidRDefault="003E3BA9">
            <w:pPr>
              <w:spacing w:after="0"/>
              <w:ind w:right="59"/>
              <w:jc w:val="center"/>
            </w:pPr>
            <w:r>
              <w:rPr>
                <w:rFonts w:ascii="Arial" w:eastAsia="Arial" w:hAnsi="Arial" w:cs="Arial"/>
              </w:rPr>
              <w:t xml:space="preserve">0,00 </w:t>
            </w:r>
          </w:p>
        </w:tc>
        <w:tc>
          <w:tcPr>
            <w:tcW w:w="1697" w:type="dxa"/>
            <w:tcBorders>
              <w:top w:val="single" w:sz="4" w:space="0" w:color="000000"/>
              <w:left w:val="single" w:sz="6"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4"/>
              <w:jc w:val="center"/>
            </w:pPr>
            <w:r>
              <w:rPr>
                <w:rFonts w:ascii="Arial" w:eastAsia="Arial" w:hAnsi="Arial" w:cs="Arial"/>
              </w:rPr>
              <w:t xml:space="preserve">0,00 </w:t>
            </w:r>
          </w:p>
        </w:tc>
        <w:tc>
          <w:tcPr>
            <w:tcW w:w="16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6"/>
              <w:jc w:val="center"/>
            </w:pPr>
            <w:r>
              <w:rPr>
                <w:rFonts w:ascii="Arial" w:eastAsia="Arial" w:hAnsi="Arial" w:cs="Arial"/>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2"/>
              <w:jc w:val="center"/>
            </w:pPr>
            <w:r>
              <w:rPr>
                <w:rFonts w:ascii="Arial" w:eastAsia="Arial" w:hAnsi="Arial" w:cs="Arial"/>
              </w:rPr>
              <w:t xml:space="preserve">0,00 </w:t>
            </w:r>
          </w:p>
        </w:tc>
      </w:tr>
    </w:tbl>
    <w:p w:rsidR="00FF384B" w:rsidRDefault="003E3BA9">
      <w:pPr>
        <w:spacing w:after="100"/>
        <w:ind w:left="283"/>
      </w:pPr>
      <w:r>
        <w:rPr>
          <w:rFonts w:ascii="Arial" w:eastAsia="Arial" w:hAnsi="Arial" w:cs="Arial"/>
        </w:rPr>
        <w:t xml:space="preserve"> </w:t>
      </w:r>
    </w:p>
    <w:p w:rsidR="00FF384B" w:rsidRDefault="003E3BA9">
      <w:pPr>
        <w:spacing w:after="109" w:line="247" w:lineRule="auto"/>
        <w:ind w:left="278" w:right="244" w:hanging="10"/>
        <w:jc w:val="both"/>
      </w:pPr>
      <w:r>
        <w:rPr>
          <w:rFonts w:ascii="Arial" w:eastAsia="Arial" w:hAnsi="Arial" w:cs="Arial"/>
        </w:rPr>
        <w:t xml:space="preserve">Por ello, este Concejal delegado de Hacienda, PROPONE: </w:t>
      </w:r>
    </w:p>
    <w:p w:rsidR="00FF384B" w:rsidRDefault="003E3BA9">
      <w:pPr>
        <w:spacing w:after="95"/>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Primero</w:t>
      </w:r>
      <w:r>
        <w:rPr>
          <w:rFonts w:ascii="Arial" w:eastAsia="Arial" w:hAnsi="Arial" w:cs="Arial"/>
        </w:rPr>
        <w:t>: Dar cuenta al Pleno del Informe de Morosidad, regulado en la Ley 15/2010, de 5 de julio, de modificación de la Ley 3/2004, de 29 de diciembre, por la que se establecen medidas de lucha contra la morosidad en las operaciones comerciales, correspondiente a</w:t>
      </w:r>
      <w:r>
        <w:rPr>
          <w:rFonts w:ascii="Arial" w:eastAsia="Arial" w:hAnsi="Arial" w:cs="Arial"/>
        </w:rPr>
        <w:t>l Primer Trimestre año 2021.</w:t>
      </w:r>
      <w:r>
        <w:rPr>
          <w:rFonts w:ascii="Arial" w:eastAsia="Arial" w:hAnsi="Arial" w:cs="Arial"/>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111" w:line="247" w:lineRule="auto"/>
        <w:ind w:left="278" w:right="244" w:hanging="10"/>
        <w:jc w:val="both"/>
      </w:pPr>
      <w:r>
        <w:rPr>
          <w:rFonts w:ascii="Arial" w:eastAsia="Arial" w:hAnsi="Arial" w:cs="Arial"/>
          <w:b/>
        </w:rPr>
        <w:t>Segundo</w:t>
      </w:r>
      <w:r>
        <w:rPr>
          <w:rFonts w:ascii="Arial" w:eastAsia="Arial" w:hAnsi="Arial" w:cs="Arial"/>
        </w:rPr>
        <w:t xml:space="preserve">: Dar traslado de dicho acuerdo al Ministerio de Hacienda y Función Pública, a través de la plataforma telemática que habilita el propio Ministerio. </w:t>
      </w:r>
    </w:p>
    <w:p w:rsidR="00FF384B" w:rsidRDefault="003E3BA9">
      <w:pPr>
        <w:spacing w:after="98"/>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DICTAMEN FAVORABLE DE LA COMISIÓN INFORMATIVA DE HACIENDA, RECURS</w:t>
      </w:r>
      <w:r>
        <w:rPr>
          <w:rFonts w:ascii="Arial" w:eastAsia="Arial" w:hAnsi="Arial" w:cs="Arial"/>
          <w:b/>
        </w:rPr>
        <w:t xml:space="preserve">OS HUMANOS Y SERVICIOS GENERALES DE 26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Los 7 concejales presentes tomaron conocimiento: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4 concejales del Grupo Socialista: Don Airam Pérez Chinea, Don José Francisco Pinto Ramos, Don Olegario Francisco Alonso Bello y Don Jorge Baut</w:t>
      </w:r>
      <w:r>
        <w:rPr>
          <w:rFonts w:ascii="Arial" w:eastAsia="Arial" w:hAnsi="Arial" w:cs="Arial"/>
        </w:rPr>
        <w:t xml:space="preserve">e Delgado. </w:t>
      </w:r>
    </w:p>
    <w:p w:rsidR="00FF384B" w:rsidRDefault="003E3BA9">
      <w:pPr>
        <w:spacing w:after="0"/>
        <w:ind w:left="283"/>
      </w:pPr>
      <w:r>
        <w:rPr>
          <w:rFonts w:ascii="Arial" w:eastAsia="Arial" w:hAnsi="Arial" w:cs="Arial"/>
        </w:rPr>
        <w:t xml:space="preserve"> </w:t>
      </w:r>
    </w:p>
    <w:p w:rsidR="00FF384B" w:rsidRDefault="003E3BA9">
      <w:pPr>
        <w:numPr>
          <w:ilvl w:val="0"/>
          <w:numId w:val="4"/>
        </w:numPr>
        <w:spacing w:after="5" w:line="247" w:lineRule="auto"/>
        <w:ind w:right="244" w:hanging="184"/>
        <w:jc w:val="both"/>
      </w:pPr>
      <w:r>
        <w:rPr>
          <w:rFonts w:ascii="Arial" w:eastAsia="Arial" w:hAnsi="Arial" w:cs="Arial"/>
        </w:rPr>
        <w:t xml:space="preserve">de la concejal del Grupo Popular, Doña Raquel Martín Castro. </w:t>
      </w:r>
    </w:p>
    <w:p w:rsidR="00FF384B" w:rsidRDefault="003E3BA9">
      <w:pPr>
        <w:spacing w:after="0"/>
        <w:ind w:left="283"/>
      </w:pPr>
      <w:r>
        <w:rPr>
          <w:rFonts w:ascii="Arial" w:eastAsia="Arial" w:hAnsi="Arial" w:cs="Arial"/>
        </w:rPr>
        <w:t xml:space="preserve"> </w:t>
      </w:r>
    </w:p>
    <w:p w:rsidR="00FF384B" w:rsidRDefault="003E3BA9">
      <w:pPr>
        <w:numPr>
          <w:ilvl w:val="0"/>
          <w:numId w:val="4"/>
        </w:numPr>
        <w:spacing w:after="5" w:line="247" w:lineRule="auto"/>
        <w:ind w:right="244" w:hanging="184"/>
        <w:jc w:val="both"/>
      </w:pPr>
      <w:r>
        <w:rPr>
          <w:rFonts w:ascii="Arial" w:eastAsia="Arial" w:hAnsi="Arial" w:cs="Arial"/>
        </w:rPr>
        <w:t xml:space="preserve">de las concejales del Grupo Mixto: Lourdes del Carmen Mondéjar Rondón y Doña Ángela Cruz Perera.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JUNTA DE PORTAVOCES DE 26 DE ABRIL DE 2021.  </w:t>
      </w:r>
    </w:p>
    <w:p w:rsidR="00FF384B" w:rsidRDefault="003E3BA9">
      <w:pPr>
        <w:spacing w:after="5" w:line="247" w:lineRule="auto"/>
        <w:ind w:left="278" w:right="244" w:hanging="10"/>
        <w:jc w:val="both"/>
      </w:pPr>
      <w:r>
        <w:rPr>
          <w:rFonts w:ascii="Arial" w:eastAsia="Arial" w:hAnsi="Arial" w:cs="Arial"/>
        </w:rPr>
        <w:t xml:space="preserve">Quedó oída.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TOMA DE CONOCIMIENTO EN EL PLENO DE 29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1001" w:right="244" w:hanging="10"/>
        <w:jc w:val="both"/>
      </w:pPr>
      <w:r>
        <w:rPr>
          <w:rFonts w:ascii="Arial" w:eastAsia="Arial" w:hAnsi="Arial" w:cs="Arial"/>
        </w:rPr>
        <w:t xml:space="preserve">Los siguientes 17 concejales presentes tomaron conocimiento: </w:t>
      </w:r>
    </w:p>
    <w:p w:rsidR="00FF384B" w:rsidRDefault="003E3BA9">
      <w:pPr>
        <w:spacing w:after="0"/>
        <w:ind w:left="283"/>
      </w:pPr>
      <w:r>
        <w:rPr>
          <w:rFonts w:ascii="Arial" w:eastAsia="Arial" w:hAnsi="Arial" w:cs="Arial"/>
        </w:rPr>
        <w:t xml:space="preserve"> </w:t>
      </w:r>
    </w:p>
    <w:p w:rsidR="00FF384B" w:rsidRDefault="003E3BA9">
      <w:pPr>
        <w:spacing w:after="112" w:line="247" w:lineRule="auto"/>
        <w:ind w:left="268" w:right="244" w:firstLine="708"/>
        <w:jc w:val="both"/>
      </w:pPr>
      <w:r>
        <w:rPr>
          <w:rFonts w:ascii="Arial" w:eastAsia="Arial" w:hAnsi="Arial" w:cs="Arial"/>
        </w:rPr>
        <w:t>11 concejales del Grupo Socialista: Doña María Concepción Brito Núñez, Don Jorge Baute Delgado, Doña Olivia Concepción Pérez Díaz, D</w:t>
      </w:r>
      <w:r>
        <w:rPr>
          <w:rFonts w:ascii="Arial" w:eastAsia="Arial" w:hAnsi="Arial" w:cs="Arial"/>
        </w:rPr>
        <w:t>on José Francisco Pinto Ramos, Doña Hilaria Cecilia Otazo González, Don Airam Pérez Chinea, Doña Margarita Eva Tendero Barroso, Don Manuel Alberto González Pestano, Doña María del Carmen Clemente Díaz, Don Olegario Francisco Alonso Bello y Don Reinaldo Jos</w:t>
      </w:r>
      <w:r>
        <w:rPr>
          <w:rFonts w:ascii="Arial" w:eastAsia="Arial" w:hAnsi="Arial" w:cs="Arial"/>
        </w:rPr>
        <w:t xml:space="preserve">é Triviño Blanco. </w:t>
      </w:r>
    </w:p>
    <w:p w:rsidR="00FF384B" w:rsidRDefault="003E3BA9">
      <w:pPr>
        <w:numPr>
          <w:ilvl w:val="0"/>
          <w:numId w:val="4"/>
        </w:numPr>
        <w:spacing w:after="112" w:line="247" w:lineRule="auto"/>
        <w:ind w:right="244" w:hanging="184"/>
        <w:jc w:val="both"/>
      </w:pPr>
      <w:r>
        <w:rPr>
          <w:rFonts w:ascii="Arial" w:eastAsia="Arial" w:hAnsi="Arial" w:cs="Arial"/>
        </w:rPr>
        <w:t xml:space="preserve">concejales del Grupo Popular: Don Andrés Rodríguez Delgado, Don Jacobo López Fariña y Doña Raquel Martín Castro. </w:t>
      </w:r>
    </w:p>
    <w:p w:rsidR="00FF384B" w:rsidRDefault="003E3BA9">
      <w:pPr>
        <w:spacing w:after="112" w:line="247" w:lineRule="auto"/>
        <w:ind w:left="268" w:right="244" w:firstLine="708"/>
        <w:jc w:val="both"/>
      </w:pPr>
      <w:r>
        <w:rPr>
          <w:rFonts w:ascii="Arial" w:eastAsia="Arial" w:hAnsi="Arial" w:cs="Arial"/>
        </w:rPr>
        <w:t xml:space="preserve">3 concejales del Grupo Mixto: Don Antonio Delgado García y Lourdes del Carmen Mondéjar Rondón (SSP) y Doña Ángela Cruz Perera (CC-PNC).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noProof/>
        </w:rPr>
        <mc:AlternateContent>
          <mc:Choice Requires="wpg">
            <w:drawing>
              <wp:anchor distT="0" distB="0" distL="114300" distR="114300" simplePos="0" relativeHeight="2516828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9247" name="Group 4392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074" name="Picture 7074"/>
                          <pic:cNvPicPr/>
                        </pic:nvPicPr>
                        <pic:blipFill>
                          <a:blip r:embed="rId62"/>
                          <a:stretch>
                            <a:fillRect/>
                          </a:stretch>
                        </pic:blipFill>
                        <pic:spPr>
                          <a:xfrm rot="-5399999">
                            <a:off x="-1720849" y="1720849"/>
                            <a:ext cx="3797300" cy="355601"/>
                          </a:xfrm>
                          <a:prstGeom prst="rect">
                            <a:avLst/>
                          </a:prstGeom>
                        </pic:spPr>
                      </pic:pic>
                      <wps:wsp>
                        <wps:cNvPr id="7075" name="Rectangle 707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076" name="Rectangle 707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9247" style="width:41.2715pt;height:299pt;position:absolute;mso-position-horizontal-relative:page;mso-position-horizontal:absolute;margin-left:653.71pt;mso-position-vertical-relative:page;margin-top:512.92pt;" coordsize="5241,37973">
                <v:shape id="Picture 7074" style="position:absolute;width:37973;height:3556;left:-17208;top:17208;rotation:-89;" filled="f">
                  <v:imagedata r:id="rId63"/>
                </v:shape>
                <v:rect id="Rectangle 707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07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353 </w:t>
                        </w:r>
                      </w:p>
                    </w:txbxContent>
                  </v:textbox>
                </v:rect>
                <w10:wrap type="square"/>
              </v:group>
            </w:pict>
          </mc:Fallback>
        </mc:AlternateContent>
      </w: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8" w:line="253" w:lineRule="auto"/>
        <w:ind w:left="767" w:right="810" w:hanging="10"/>
        <w:jc w:val="center"/>
      </w:pPr>
      <w:r>
        <w:rPr>
          <w:rFonts w:ascii="Arial" w:eastAsia="Arial" w:hAnsi="Arial" w:cs="Arial"/>
          <w:b/>
        </w:rPr>
        <w:t xml:space="preserve">       ACUERDO DEL PLENO DE 29 DE ABRIL DE 2021. </w:t>
      </w:r>
    </w:p>
    <w:p w:rsidR="00FF384B" w:rsidRDefault="003E3BA9">
      <w:pPr>
        <w:spacing w:after="95"/>
        <w:ind w:left="283"/>
      </w:pPr>
      <w:r>
        <w:rPr>
          <w:rFonts w:ascii="Arial" w:eastAsia="Arial" w:hAnsi="Arial" w:cs="Arial"/>
        </w:rPr>
        <w:t xml:space="preserve"> </w:t>
      </w:r>
    </w:p>
    <w:p w:rsidR="00FF384B" w:rsidRDefault="003E3BA9">
      <w:pPr>
        <w:spacing w:after="15" w:line="247" w:lineRule="auto"/>
        <w:ind w:left="283" w:right="255" w:firstLine="708"/>
        <w:jc w:val="both"/>
      </w:pPr>
      <w:r>
        <w:rPr>
          <w:rFonts w:ascii="Arial" w:eastAsia="Arial" w:hAnsi="Arial" w:cs="Arial"/>
          <w:b/>
        </w:rPr>
        <w:t>Primero: Dar cuenta al Pleno del Informe de Morosidad, regulado en la Ley 15/2010, de 5 de julio, de</w:t>
      </w:r>
      <w:r>
        <w:rPr>
          <w:rFonts w:ascii="Arial" w:eastAsia="Arial" w:hAnsi="Arial" w:cs="Arial"/>
          <w:b/>
        </w:rPr>
        <w:t xml:space="preserve"> modificación de la Ley 3/2004, de 29 de diciembre, por la que se establecen medidas de lucha contra la morosidad en las operaciones comerciales, correspondiente al Primer Trimestre año 2021.</w:t>
      </w:r>
      <w:r>
        <w:rPr>
          <w:rFonts w:ascii="Arial" w:eastAsia="Arial" w:hAnsi="Arial" w:cs="Arial"/>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111" w:line="247" w:lineRule="auto"/>
        <w:ind w:left="283" w:right="257" w:firstLine="708"/>
        <w:jc w:val="both"/>
      </w:pPr>
      <w:r>
        <w:rPr>
          <w:rFonts w:ascii="Arial" w:eastAsia="Arial" w:hAnsi="Arial" w:cs="Arial"/>
          <w:b/>
        </w:rPr>
        <w:t>Segundo: Dar traslado de dicho acuerdo al Ministerio de Hacie</w:t>
      </w:r>
      <w:r>
        <w:rPr>
          <w:rFonts w:ascii="Arial" w:eastAsia="Arial" w:hAnsi="Arial" w:cs="Arial"/>
          <w:b/>
        </w:rPr>
        <w:t>nda y Función Pública, a través de la plataforma telemática que habilita el propio Ministerio.</w:t>
      </w:r>
      <w:r>
        <w:rPr>
          <w:rFonts w:ascii="Arial" w:eastAsia="Arial" w:hAnsi="Arial" w:cs="Arial"/>
        </w:rPr>
        <w:t xml:space="preserve"> </w:t>
      </w:r>
    </w:p>
    <w:p w:rsidR="00FF384B" w:rsidRDefault="003E3BA9">
      <w:pPr>
        <w:spacing w:after="103"/>
        <w:ind w:left="283"/>
      </w:pPr>
      <w:r>
        <w:rPr>
          <w:rFonts w:ascii="Arial" w:eastAsia="Arial" w:hAnsi="Arial" w:cs="Arial"/>
          <w:b/>
        </w:rPr>
        <w:t xml:space="preserv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4" w:line="247" w:lineRule="auto"/>
        <w:ind w:left="286" w:right="253" w:hanging="3"/>
        <w:jc w:val="both"/>
      </w:pPr>
      <w:r>
        <w:rPr>
          <w:rFonts w:ascii="Arial" w:eastAsia="Arial" w:hAnsi="Arial" w:cs="Arial"/>
          <w:b/>
        </w:rPr>
        <w:t>3.-</w:t>
      </w:r>
      <w:r>
        <w:rPr>
          <w:rFonts w:ascii="Arial" w:eastAsia="Arial" w:hAnsi="Arial" w:cs="Arial"/>
        </w:rPr>
        <w:t xml:space="preserve"> </w:t>
      </w:r>
      <w:r>
        <w:rPr>
          <w:rFonts w:ascii="Arial" w:eastAsia="Arial" w:hAnsi="Arial" w:cs="Arial"/>
          <w:b/>
        </w:rPr>
        <w:t>Expediente 3519/2021. Propuesta del Concejal de Hacienda de 21 de abril de 2021 al Pleno de aprobación inicial del expediente de modificación presupuestaria nº 3519/2021, por Suplemento de Créditos financiado con remanente de tesorería para gastos generale</w:t>
      </w:r>
      <w:r>
        <w:rPr>
          <w:rFonts w:ascii="Arial" w:eastAsia="Arial" w:hAnsi="Arial" w:cs="Arial"/>
          <w:b/>
        </w:rPr>
        <w:t>s por importe de 471.000,63 euros.</w:t>
      </w:r>
      <w:r>
        <w:rPr>
          <w:rFonts w:ascii="Arial" w:eastAsia="Arial" w:hAnsi="Arial" w:cs="Arial"/>
        </w:rPr>
        <w:t xml:space="preserve"> </w:t>
      </w:r>
    </w:p>
    <w:p w:rsidR="00FF384B" w:rsidRDefault="003E3BA9">
      <w:pPr>
        <w:spacing w:after="98"/>
        <w:ind w:left="283"/>
      </w:pPr>
      <w:r>
        <w:rPr>
          <w:rFonts w:ascii="Arial" w:eastAsia="Arial" w:hAnsi="Arial" w:cs="Arial"/>
          <w:b/>
        </w:rPr>
        <w:t xml:space="preserve"> </w:t>
      </w:r>
    </w:p>
    <w:p w:rsidR="00FF384B" w:rsidRDefault="003E3BA9">
      <w:pPr>
        <w:spacing w:after="15" w:line="247" w:lineRule="auto"/>
        <w:ind w:left="283" w:firstLine="708"/>
        <w:jc w:val="both"/>
      </w:pPr>
      <w:r>
        <w:rPr>
          <w:rFonts w:ascii="Arial" w:eastAsia="Arial" w:hAnsi="Arial" w:cs="Arial"/>
          <w:b/>
        </w:rPr>
        <w:t xml:space="preserve">Consta en el expediente propuesta de la Alcaldesa-Presidenta, de fecha 21 de abril de 2021, cuyo tenor literal es el siguiente: </w:t>
      </w:r>
    </w:p>
    <w:p w:rsidR="00FF384B" w:rsidRDefault="003E3BA9">
      <w:pPr>
        <w:spacing w:after="141"/>
        <w:ind w:left="283"/>
      </w:pPr>
      <w:r>
        <w:rPr>
          <w:rFonts w:ascii="Arial" w:eastAsia="Arial" w:hAnsi="Arial" w:cs="Arial"/>
          <w:b/>
        </w:rPr>
        <w:t xml:space="preserve"> </w:t>
      </w:r>
    </w:p>
    <w:p w:rsidR="00FF384B" w:rsidRDefault="003E3BA9">
      <w:pPr>
        <w:spacing w:after="114" w:line="247" w:lineRule="auto"/>
        <w:ind w:left="278" w:right="244" w:hanging="10"/>
        <w:jc w:val="both"/>
      </w:pPr>
      <w:r>
        <w:rPr>
          <w:rFonts w:ascii="Arial" w:eastAsia="Arial" w:hAnsi="Arial" w:cs="Arial"/>
        </w:rPr>
        <w:t xml:space="preserve">    “Con motivo de las memorias justificativas de necesidades y urgencias que se presen</w:t>
      </w:r>
      <w:r>
        <w:rPr>
          <w:rFonts w:ascii="Arial" w:eastAsia="Arial" w:hAnsi="Arial" w:cs="Arial"/>
        </w:rPr>
        <w:t xml:space="preserve">tan para dar una respuesta adecuada a las actuaciones que se dan en nuestro municipio.  </w:t>
      </w:r>
    </w:p>
    <w:p w:rsidR="00FF384B" w:rsidRDefault="003E3BA9">
      <w:pPr>
        <w:spacing w:after="112" w:line="247" w:lineRule="auto"/>
        <w:ind w:left="278" w:right="244" w:hanging="10"/>
        <w:jc w:val="both"/>
      </w:pPr>
      <w:r>
        <w:rPr>
          <w:rFonts w:ascii="Arial" w:eastAsia="Arial" w:hAnsi="Arial" w:cs="Arial"/>
        </w:rPr>
        <w:t xml:space="preserve">    Siendo un gasto específico y determinado ante la imposibilidad de demorarlo a ejercicios posteriores, y no habiendo crédito suficiente en las aplicaciones presupue</w:t>
      </w:r>
      <w:r>
        <w:rPr>
          <w:rFonts w:ascii="Arial" w:eastAsia="Arial" w:hAnsi="Arial" w:cs="Arial"/>
        </w:rPr>
        <w:t xml:space="preserve">starias.  </w:t>
      </w:r>
    </w:p>
    <w:p w:rsidR="00FF384B" w:rsidRDefault="003E3BA9">
      <w:pPr>
        <w:spacing w:after="95"/>
        <w:ind w:left="283"/>
      </w:pPr>
      <w:r>
        <w:rPr>
          <w:rFonts w:ascii="Arial" w:eastAsia="Arial" w:hAnsi="Arial" w:cs="Arial"/>
        </w:rPr>
        <w:t xml:space="preserve"> </w:t>
      </w:r>
    </w:p>
    <w:p w:rsidR="00FF384B" w:rsidRDefault="003E3BA9">
      <w:pPr>
        <w:spacing w:after="113" w:line="247" w:lineRule="auto"/>
        <w:ind w:left="286" w:hanging="3"/>
        <w:jc w:val="both"/>
      </w:pPr>
      <w:r>
        <w:rPr>
          <w:rFonts w:ascii="Arial" w:eastAsia="Arial" w:hAnsi="Arial" w:cs="Arial"/>
          <w:b/>
        </w:rPr>
        <w:t xml:space="preserve">SE PROPONE: </w:t>
      </w:r>
    </w:p>
    <w:p w:rsidR="00FF384B" w:rsidRDefault="003E3BA9">
      <w:pPr>
        <w:spacing w:after="114" w:line="247" w:lineRule="auto"/>
        <w:ind w:left="278" w:right="244" w:hanging="10"/>
        <w:jc w:val="both"/>
      </w:pPr>
      <w:r>
        <w:rPr>
          <w:rFonts w:ascii="Arial" w:eastAsia="Arial" w:hAnsi="Arial" w:cs="Arial"/>
        </w:rPr>
        <w:t xml:space="preserve">Primero: Tramitar expediente 3519/2021 de modificación presupuestaria por Suplementos de Créditos financiado con Remanente de Tesorería para gastos generales, por la cantidad de </w:t>
      </w:r>
      <w:r>
        <w:rPr>
          <w:rFonts w:ascii="Arial" w:eastAsia="Arial" w:hAnsi="Arial" w:cs="Arial"/>
          <w:b/>
        </w:rPr>
        <w:t>471.000,63 euros</w:t>
      </w:r>
      <w:r>
        <w:rPr>
          <w:rFonts w:ascii="Arial" w:eastAsia="Arial" w:hAnsi="Arial" w:cs="Arial"/>
        </w:rPr>
        <w:t xml:space="preserve">, de acuerdo al siguiente detalle: </w:t>
      </w:r>
    </w:p>
    <w:p w:rsidR="00FF384B" w:rsidRDefault="003E3BA9">
      <w:pPr>
        <w:spacing w:after="98"/>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838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8205" name="Group 45820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341" name="Picture 7341"/>
                          <pic:cNvPicPr/>
                        </pic:nvPicPr>
                        <pic:blipFill>
                          <a:blip r:embed="rId62"/>
                          <a:stretch>
                            <a:fillRect/>
                          </a:stretch>
                        </pic:blipFill>
                        <pic:spPr>
                          <a:xfrm rot="-5399999">
                            <a:off x="-1720849" y="1720849"/>
                            <a:ext cx="3797300" cy="355601"/>
                          </a:xfrm>
                          <a:prstGeom prst="rect">
                            <a:avLst/>
                          </a:prstGeom>
                        </pic:spPr>
                      </pic:pic>
                      <wps:wsp>
                        <wps:cNvPr id="7342" name="Rectangle 734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343" name="Rectangle 734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8205" style="width:41.2715pt;height:299pt;position:absolute;mso-position-horizontal-relative:page;mso-position-horizontal:absolute;margin-left:653.71pt;mso-position-vertical-relative:page;margin-top:512.92pt;" coordsize="5241,37973">
                <v:shape id="Picture 7341" style="position:absolute;width:37973;height:3556;left:-17208;top:17208;rotation:-89;" filled="f">
                  <v:imagedata r:id="rId63"/>
                </v:shape>
                <v:rect id="Rectangle 734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34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353 </w:t>
                        </w:r>
                      </w:p>
                    </w:txbxContent>
                  </v:textbox>
                </v:rect>
                <w10:wrap type="square"/>
              </v:group>
            </w:pict>
          </mc:Fallback>
        </mc:AlternateContent>
      </w:r>
      <w:r>
        <w:rPr>
          <w:rFonts w:ascii="Arial" w:eastAsia="Arial" w:hAnsi="Arial" w:cs="Arial"/>
        </w:rPr>
        <w:t xml:space="preserve"> </w:t>
      </w:r>
    </w:p>
    <w:p w:rsidR="00FF384B" w:rsidRDefault="003E3BA9">
      <w:pPr>
        <w:spacing w:after="2774"/>
        <w:ind w:left="283"/>
      </w:pPr>
      <w:r>
        <w:rPr>
          <w:rFonts w:ascii="Arial" w:eastAsia="Arial" w:hAnsi="Arial" w:cs="Arial"/>
        </w:rPr>
        <w:t xml:space="preserve"> </w:t>
      </w:r>
    </w:p>
    <w:tbl>
      <w:tblPr>
        <w:tblStyle w:val="TableGrid"/>
        <w:tblpPr w:vertAnchor="text" w:tblpX="339" w:tblpY="-2834"/>
        <w:tblOverlap w:val="never"/>
        <w:tblW w:w="8383" w:type="dxa"/>
        <w:tblInd w:w="0" w:type="dxa"/>
        <w:tblCellMar>
          <w:top w:w="8" w:type="dxa"/>
          <w:left w:w="55" w:type="dxa"/>
          <w:bottom w:w="4" w:type="dxa"/>
          <w:right w:w="7" w:type="dxa"/>
        </w:tblCellMar>
        <w:tblLook w:val="04A0" w:firstRow="1" w:lastRow="0" w:firstColumn="1" w:lastColumn="0" w:noHBand="0" w:noVBand="1"/>
      </w:tblPr>
      <w:tblGrid>
        <w:gridCol w:w="1623"/>
        <w:gridCol w:w="1201"/>
        <w:gridCol w:w="3999"/>
        <w:gridCol w:w="1561"/>
      </w:tblGrid>
      <w:tr w:rsidR="00FF384B">
        <w:trPr>
          <w:trHeight w:val="307"/>
        </w:trPr>
        <w:tc>
          <w:tcPr>
            <w:tcW w:w="1623"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25"/>
              <w:jc w:val="center"/>
            </w:pPr>
            <w:r>
              <w:rPr>
                <w:rFonts w:ascii="Arial" w:eastAsia="Arial" w:hAnsi="Arial" w:cs="Arial"/>
                <w:b/>
              </w:rPr>
              <w:t xml:space="preserve">Aplicación </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6"/>
            </w:pPr>
            <w:r>
              <w:rPr>
                <w:rFonts w:ascii="Arial" w:eastAsia="Arial" w:hAnsi="Arial" w:cs="Arial"/>
                <w:b/>
              </w:rPr>
              <w:t xml:space="preserve">Proyecto </w:t>
            </w:r>
          </w:p>
        </w:tc>
        <w:tc>
          <w:tcPr>
            <w:tcW w:w="399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left="16"/>
            </w:pPr>
            <w:r>
              <w:rPr>
                <w:rFonts w:ascii="Arial" w:eastAsia="Arial" w:hAnsi="Arial" w:cs="Arial"/>
                <w:b/>
              </w:rPr>
              <w:t xml:space="preserve">Denominación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43"/>
              <w:jc w:val="center"/>
            </w:pPr>
            <w:r>
              <w:rPr>
                <w:rFonts w:ascii="Arial" w:eastAsia="Arial" w:hAnsi="Arial" w:cs="Arial"/>
                <w:b/>
              </w:rPr>
              <w:t xml:space="preserve">Importe </w:t>
            </w:r>
          </w:p>
        </w:tc>
      </w:tr>
      <w:tr w:rsidR="00FF384B">
        <w:trPr>
          <w:trHeight w:val="517"/>
        </w:trPr>
        <w:tc>
          <w:tcPr>
            <w:tcW w:w="16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25"/>
            </w:pPr>
            <w:r>
              <w:rPr>
                <w:rFonts w:ascii="Arial" w:eastAsia="Arial" w:hAnsi="Arial" w:cs="Arial"/>
              </w:rPr>
              <w:t xml:space="preserve">13500.62300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6"/>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9.255,21 </w:t>
            </w:r>
          </w:p>
        </w:tc>
      </w:tr>
      <w:tr w:rsidR="00FF384B">
        <w:trPr>
          <w:trHeight w:val="312"/>
        </w:trPr>
        <w:tc>
          <w:tcPr>
            <w:tcW w:w="16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25"/>
            </w:pPr>
            <w:r>
              <w:rPr>
                <w:rFonts w:ascii="Arial" w:eastAsia="Arial" w:hAnsi="Arial" w:cs="Arial"/>
              </w:rPr>
              <w:t xml:space="preserve">34100.21200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jc w:val="both"/>
            </w:pPr>
            <w:r>
              <w:rPr>
                <w:rFonts w:ascii="Arial" w:eastAsia="Arial" w:hAnsi="Arial" w:cs="Arial"/>
              </w:rPr>
              <w:t xml:space="preserve">R.M.C. edificios y otras construcciones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14.204,12 </w:t>
            </w:r>
          </w:p>
        </w:tc>
      </w:tr>
      <w:tr w:rsidR="00FF384B">
        <w:trPr>
          <w:trHeight w:val="516"/>
        </w:trPr>
        <w:tc>
          <w:tcPr>
            <w:tcW w:w="16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25"/>
            </w:pPr>
            <w:r>
              <w:rPr>
                <w:rFonts w:ascii="Arial" w:eastAsia="Arial" w:hAnsi="Arial" w:cs="Arial"/>
              </w:rPr>
              <w:t xml:space="preserve">34100.22710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6"/>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Trabajos realizados por otras empresas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16.450,49 </w:t>
            </w:r>
          </w:p>
        </w:tc>
      </w:tr>
      <w:tr w:rsidR="00FF384B">
        <w:trPr>
          <w:trHeight w:val="310"/>
        </w:trPr>
        <w:tc>
          <w:tcPr>
            <w:tcW w:w="16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25"/>
            </w:pPr>
            <w:r>
              <w:rPr>
                <w:rFonts w:ascii="Arial" w:eastAsia="Arial" w:hAnsi="Arial" w:cs="Arial"/>
              </w:rPr>
              <w:t xml:space="preserve">45900.62400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Adquisición de vehículos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384.429,18 </w:t>
            </w:r>
          </w:p>
        </w:tc>
      </w:tr>
      <w:tr w:rsidR="00FF384B">
        <w:trPr>
          <w:trHeight w:val="517"/>
        </w:trPr>
        <w:tc>
          <w:tcPr>
            <w:tcW w:w="16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25"/>
            </w:pPr>
            <w:r>
              <w:rPr>
                <w:rFonts w:ascii="Arial" w:eastAsia="Arial" w:hAnsi="Arial" w:cs="Arial"/>
              </w:rPr>
              <w:t xml:space="preserve">49200.62300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6"/>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46.661,63 </w:t>
            </w:r>
          </w:p>
        </w:tc>
      </w:tr>
      <w:tr w:rsidR="00FF384B">
        <w:trPr>
          <w:trHeight w:val="307"/>
        </w:trPr>
        <w:tc>
          <w:tcPr>
            <w:tcW w:w="1623" w:type="dxa"/>
            <w:tcBorders>
              <w:top w:val="single" w:sz="4" w:space="0" w:color="000000"/>
              <w:left w:val="single" w:sz="4" w:space="0" w:color="000000"/>
              <w:bottom w:val="single" w:sz="4" w:space="0" w:color="000000"/>
              <w:right w:val="nil"/>
            </w:tcBorders>
            <w:shd w:val="clear" w:color="auto" w:fill="D9D9D9"/>
          </w:tcPr>
          <w:p w:rsidR="00FF384B" w:rsidRDefault="00FF384B"/>
        </w:tc>
        <w:tc>
          <w:tcPr>
            <w:tcW w:w="1201" w:type="dxa"/>
            <w:tcBorders>
              <w:top w:val="single" w:sz="4" w:space="0" w:color="000000"/>
              <w:left w:val="nil"/>
              <w:bottom w:val="single" w:sz="4" w:space="0" w:color="000000"/>
              <w:right w:val="nil"/>
            </w:tcBorders>
            <w:shd w:val="clear" w:color="auto" w:fill="D9D9D9"/>
          </w:tcPr>
          <w:p w:rsidR="00FF384B" w:rsidRDefault="00FF384B"/>
        </w:tc>
        <w:tc>
          <w:tcPr>
            <w:tcW w:w="3999" w:type="dxa"/>
            <w:tcBorders>
              <w:top w:val="single" w:sz="4" w:space="0" w:color="000000"/>
              <w:left w:val="nil"/>
              <w:bottom w:val="single" w:sz="4" w:space="0" w:color="000000"/>
              <w:right w:val="single" w:sz="4" w:space="0" w:color="000000"/>
            </w:tcBorders>
            <w:shd w:val="clear" w:color="auto" w:fill="D9D9D9"/>
          </w:tcPr>
          <w:p w:rsidR="00FF384B" w:rsidRDefault="003E3BA9">
            <w:pPr>
              <w:spacing w:after="0"/>
              <w:ind w:left="283"/>
            </w:pPr>
            <w:r>
              <w:rPr>
                <w:rFonts w:ascii="Arial" w:eastAsia="Arial" w:hAnsi="Arial" w:cs="Arial"/>
                <w:b/>
              </w:rPr>
              <w:t xml:space="preserve">Total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right"/>
            </w:pPr>
            <w:r>
              <w:rPr>
                <w:rFonts w:ascii="Arial" w:eastAsia="Arial" w:hAnsi="Arial" w:cs="Arial"/>
                <w:b/>
              </w:rPr>
              <w:t xml:space="preserve">471.000,63 </w:t>
            </w:r>
          </w:p>
        </w:tc>
      </w:tr>
      <w:tr w:rsidR="00FF384B">
        <w:trPr>
          <w:trHeight w:val="258"/>
        </w:trPr>
        <w:tc>
          <w:tcPr>
            <w:tcW w:w="1623" w:type="dxa"/>
            <w:tcBorders>
              <w:top w:val="single" w:sz="4" w:space="0" w:color="000000"/>
              <w:left w:val="single" w:sz="44" w:space="0" w:color="FFFFFF"/>
              <w:bottom w:val="nil"/>
              <w:right w:val="nil"/>
            </w:tcBorders>
          </w:tcPr>
          <w:p w:rsidR="00FF384B" w:rsidRDefault="003E3BA9">
            <w:pPr>
              <w:spacing w:after="0"/>
            </w:pPr>
            <w:r>
              <w:rPr>
                <w:rFonts w:ascii="Arial" w:eastAsia="Arial" w:hAnsi="Arial" w:cs="Arial"/>
                <w:b/>
              </w:rPr>
              <w:t xml:space="preserve"> </w:t>
            </w:r>
          </w:p>
        </w:tc>
        <w:tc>
          <w:tcPr>
            <w:tcW w:w="1201" w:type="dxa"/>
            <w:tcBorders>
              <w:top w:val="single" w:sz="4" w:space="0" w:color="000000"/>
              <w:left w:val="nil"/>
              <w:bottom w:val="nil"/>
              <w:right w:val="nil"/>
            </w:tcBorders>
          </w:tcPr>
          <w:p w:rsidR="00FF384B" w:rsidRDefault="00FF384B"/>
        </w:tc>
        <w:tc>
          <w:tcPr>
            <w:tcW w:w="3999" w:type="dxa"/>
            <w:tcBorders>
              <w:top w:val="single" w:sz="4" w:space="0" w:color="000000"/>
              <w:left w:val="nil"/>
              <w:bottom w:val="nil"/>
              <w:right w:val="nil"/>
            </w:tcBorders>
          </w:tcPr>
          <w:p w:rsidR="00FF384B" w:rsidRDefault="00FF384B"/>
        </w:tc>
        <w:tc>
          <w:tcPr>
            <w:tcW w:w="1561" w:type="dxa"/>
            <w:tcBorders>
              <w:top w:val="single" w:sz="4" w:space="0" w:color="000000"/>
              <w:left w:val="nil"/>
              <w:bottom w:val="nil"/>
              <w:right w:val="nil"/>
            </w:tcBorders>
          </w:tcPr>
          <w:p w:rsidR="00FF384B" w:rsidRDefault="00FF384B"/>
        </w:tc>
      </w:tr>
    </w:tbl>
    <w:p w:rsidR="00FF384B" w:rsidRDefault="003E3BA9">
      <w:pPr>
        <w:spacing w:after="109" w:line="247" w:lineRule="auto"/>
        <w:ind w:left="286" w:hanging="3"/>
        <w:jc w:val="both"/>
      </w:pPr>
      <w:r>
        <w:rPr>
          <w:rFonts w:ascii="Arial" w:eastAsia="Arial" w:hAnsi="Arial" w:cs="Arial"/>
          <w:b/>
        </w:rPr>
        <w:t>“</w:t>
      </w:r>
    </w:p>
    <w:p w:rsidR="00FF384B" w:rsidRDefault="003E3BA9">
      <w:pPr>
        <w:spacing w:after="10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6" w:hanging="3"/>
        <w:jc w:val="both"/>
      </w:pPr>
      <w:r>
        <w:rPr>
          <w:rFonts w:ascii="Arial" w:eastAsia="Arial" w:hAnsi="Arial" w:cs="Arial"/>
          <w:b/>
        </w:rPr>
        <w:t xml:space="preserve">Consta en el expediente Informe de Intervención emitido por Don Nicolás Rojo Garnica, que desempeña el puesto de trabajo de Interventor Municipal, de 21 de abril de 2021, del siguiente tenor literal: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0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132"/>
        <w:ind w:left="283"/>
      </w:pPr>
      <w:r>
        <w:rPr>
          <w:rFonts w:ascii="Arial" w:eastAsia="Arial" w:hAnsi="Arial" w:cs="Arial"/>
        </w:rPr>
        <w:t xml:space="preserve"> </w:t>
      </w:r>
    </w:p>
    <w:p w:rsidR="00FF384B" w:rsidRDefault="003E3BA9">
      <w:pPr>
        <w:pStyle w:val="Ttulo1"/>
        <w:spacing w:after="106"/>
        <w:ind w:left="767" w:right="728"/>
      </w:pPr>
      <w:r>
        <w:t>“INFORME</w:t>
      </w:r>
      <w:r>
        <w:rPr>
          <w:b w:val="0"/>
        </w:rPr>
        <w:t xml:space="preserve"> </w:t>
      </w:r>
    </w:p>
    <w:p w:rsidR="00FF384B" w:rsidRDefault="003E3BA9">
      <w:pPr>
        <w:spacing w:after="55" w:line="247" w:lineRule="auto"/>
        <w:ind w:left="268" w:right="244" w:firstLine="708"/>
        <w:jc w:val="both"/>
      </w:pPr>
      <w:r>
        <w:rPr>
          <w:rFonts w:ascii="Arial" w:eastAsia="Arial" w:hAnsi="Arial" w:cs="Arial"/>
        </w:rPr>
        <w:t xml:space="preserve">Vista la propuesta de la Alcaldesa, de tramitación de modificación presupuestaria, “Con motivo de las memorias justificativas de necesidades y urgencias que se presentan para dar una respuesta adecuada a las actuaciones que se dan en nuestro municipio. </w:t>
      </w:r>
    </w:p>
    <w:p w:rsidR="00FF384B" w:rsidRDefault="003E3BA9">
      <w:pPr>
        <w:spacing w:after="56" w:line="247" w:lineRule="auto"/>
        <w:ind w:left="268" w:right="244" w:firstLine="720"/>
        <w:jc w:val="both"/>
      </w:pPr>
      <w:r>
        <w:rPr>
          <w:rFonts w:ascii="Arial" w:eastAsia="Arial" w:hAnsi="Arial" w:cs="Arial"/>
        </w:rPr>
        <w:t>Si</w:t>
      </w:r>
      <w:r>
        <w:rPr>
          <w:rFonts w:ascii="Arial" w:eastAsia="Arial" w:hAnsi="Arial" w:cs="Arial"/>
        </w:rPr>
        <w:t xml:space="preserve">endo un gasto específico y determinado ante la imposibilidad de demorarlo a ejercicios posteriores, y no habiendo crédito suficiente en las aplicaciónes presupuestarias.” </w:t>
      </w:r>
    </w:p>
    <w:p w:rsidR="00FF384B" w:rsidRDefault="003E3BA9">
      <w:pPr>
        <w:spacing w:after="45"/>
        <w:ind w:left="991"/>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PRIMERO. </w:t>
      </w:r>
      <w:r>
        <w:rPr>
          <w:rFonts w:ascii="Arial" w:eastAsia="Arial" w:hAnsi="Arial" w:cs="Arial"/>
        </w:rPr>
        <w:t>Visto Acuerdo del Congreso de los Diputados del 20 de octubre de 2020, ap</w:t>
      </w:r>
      <w:r>
        <w:rPr>
          <w:rFonts w:ascii="Arial" w:eastAsia="Arial" w:hAnsi="Arial" w:cs="Arial"/>
        </w:rPr>
        <w:t>robado por mayoría absoluta, ha apreciado, por mayoría absoluta de sus miembros, que se da una situación de emergencia extraordinaria que motiva la suspensión de las reglas fiscales, requisito que establece el artículo 11.3 de la LOEPSF.</w:t>
      </w:r>
      <w:r>
        <w:rPr>
          <w:rFonts w:ascii="Arial" w:eastAsia="Arial" w:hAnsi="Arial" w:cs="Arial"/>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45" w:line="247" w:lineRule="auto"/>
        <w:ind w:left="278" w:right="244" w:hanging="10"/>
        <w:jc w:val="both"/>
      </w:pPr>
      <w:r>
        <w:rPr>
          <w:rFonts w:ascii="Arial" w:eastAsia="Arial" w:hAnsi="Arial" w:cs="Arial"/>
        </w:rPr>
        <w:t xml:space="preserve"> Atendiendo al </w:t>
      </w:r>
      <w:r>
        <w:rPr>
          <w:rFonts w:ascii="Arial" w:eastAsia="Arial" w:hAnsi="Arial" w:cs="Arial"/>
        </w:rPr>
        <w:t xml:space="preserve">acuerdo del Consejo de Ministros de 6 de octubre de 2020, mediante el que se acuerda: </w:t>
      </w:r>
    </w:p>
    <w:p w:rsidR="00FF384B" w:rsidRDefault="003E3BA9">
      <w:pPr>
        <w:numPr>
          <w:ilvl w:val="0"/>
          <w:numId w:val="5"/>
        </w:numPr>
        <w:spacing w:after="46" w:line="247" w:lineRule="auto"/>
        <w:ind w:right="244" w:hanging="360"/>
        <w:jc w:val="both"/>
      </w:pPr>
      <w:r>
        <w:rPr>
          <w:noProof/>
        </w:rPr>
        <mc:AlternateContent>
          <mc:Choice Requires="wpg">
            <w:drawing>
              <wp:anchor distT="0" distB="0" distL="114300" distR="114300" simplePos="0" relativeHeight="2516848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4655" name="Group 4346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449" name="Picture 7449"/>
                          <pic:cNvPicPr/>
                        </pic:nvPicPr>
                        <pic:blipFill>
                          <a:blip r:embed="rId62"/>
                          <a:stretch>
                            <a:fillRect/>
                          </a:stretch>
                        </pic:blipFill>
                        <pic:spPr>
                          <a:xfrm rot="-5399999">
                            <a:off x="-1720849" y="1720849"/>
                            <a:ext cx="3797300" cy="355601"/>
                          </a:xfrm>
                          <a:prstGeom prst="rect">
                            <a:avLst/>
                          </a:prstGeom>
                        </pic:spPr>
                      </pic:pic>
                      <wps:wsp>
                        <wps:cNvPr id="7450" name="Rectangle 745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451" name="Rectangle 745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4655" style="width:41.2715pt;height:299pt;position:absolute;mso-position-horizontal-relative:page;mso-position-horizontal:absolute;margin-left:653.71pt;mso-position-vertical-relative:page;margin-top:512.92pt;" coordsize="5241,37973">
                <v:shape id="Picture 7449" style="position:absolute;width:37973;height:3556;left:-17208;top:17208;rotation:-89;" filled="f">
                  <v:imagedata r:id="rId63"/>
                </v:shape>
                <v:rect id="Rectangle 745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45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353 </w:t>
                        </w:r>
                      </w:p>
                    </w:txbxContent>
                  </v:textbox>
                </v:rect>
                <w10:wrap type="square"/>
              </v:group>
            </w:pict>
          </mc:Fallback>
        </mc:AlternateContent>
      </w:r>
      <w:r>
        <w:rPr>
          <w:rFonts w:ascii="Arial" w:eastAsia="Arial" w:hAnsi="Arial" w:cs="Arial"/>
        </w:rPr>
        <w:t xml:space="preserve">“Solicitar del Congreso de los Diputados la apreciación de que en España estamos sufriendo una pandemia, lo que supone una situación de emergencia extraordinaria </w:t>
      </w:r>
      <w:r>
        <w:rPr>
          <w:rFonts w:ascii="Arial" w:eastAsia="Arial" w:hAnsi="Arial" w:cs="Arial"/>
        </w:rPr>
        <w:t xml:space="preserve">que se ajusta a lo dispuesto en el artículo 135.4 de la Constitución y en el artículo 11.3 de la Ley Orgánica de Estabilidad Presupuestaria y Sostenibilidad Financiera”.  </w:t>
      </w:r>
    </w:p>
    <w:p w:rsidR="00FF384B" w:rsidRDefault="003E3BA9">
      <w:pPr>
        <w:numPr>
          <w:ilvl w:val="0"/>
          <w:numId w:val="5"/>
        </w:numPr>
        <w:spacing w:after="5" w:line="247" w:lineRule="auto"/>
        <w:ind w:right="244" w:hanging="360"/>
        <w:jc w:val="both"/>
      </w:pPr>
      <w:r>
        <w:rPr>
          <w:rFonts w:ascii="Arial" w:eastAsia="Arial" w:hAnsi="Arial" w:cs="Arial"/>
        </w:rPr>
        <w:t xml:space="preserve">“Quedan suspendidos el Acuerdo de Consejo de Ministros de 11 de febrero de 2020 por </w:t>
      </w:r>
      <w:r>
        <w:rPr>
          <w:rFonts w:ascii="Arial" w:eastAsia="Arial" w:hAnsi="Arial" w:cs="Arial"/>
        </w:rPr>
        <w:t>el que se adecúan los objetivos de estabilidad presupuestaria y de deuda pública para el conjunto de Administraciones Públicas y de cada uno de sus subsectores para el año 2020 para su remisión a las Cortes Generales, y se fija el límite de gasto no financ</w:t>
      </w:r>
      <w:r>
        <w:rPr>
          <w:rFonts w:ascii="Arial" w:eastAsia="Arial" w:hAnsi="Arial" w:cs="Arial"/>
        </w:rPr>
        <w:t>iero del presupuesto del Estado para 2020, así como el Acuerdo de Consejo de Ministros de 11 de febrero de 2020 por el que se fijan los objetivos de estabilidad presupuestaria y de deuda pública para el conjunto de Administraciones Públicas y de cada uno d</w:t>
      </w:r>
      <w:r>
        <w:rPr>
          <w:rFonts w:ascii="Arial" w:eastAsia="Arial" w:hAnsi="Arial" w:cs="Arial"/>
        </w:rPr>
        <w:t xml:space="preserve">e sus subsectores para el período 2021-2023 para su remisión a las Cortes Generales, y el límite de gasto no financiero del presupuesto del Estado para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Por tanto, los objetivos de estabilidad y de deuda pública, y la regla de gasto, aprobados po</w:t>
      </w:r>
      <w:r>
        <w:rPr>
          <w:rFonts w:ascii="Arial" w:eastAsia="Arial" w:hAnsi="Arial" w:cs="Arial"/>
        </w:rPr>
        <w:t xml:space="preserve">r el Gobierno el 11 de febrero de 2020 son inaplicables al aprobar éste su suspensión para el 2020 y el 2021.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La suspensión de las reglas fiscales ha supuesto que el superávit no tenga que dedicarse a amortizar deuda, aun siendo posible realizar esta am</w:t>
      </w:r>
      <w:r>
        <w:rPr>
          <w:rFonts w:ascii="Arial" w:eastAsia="Arial" w:hAnsi="Arial" w:cs="Arial"/>
        </w:rPr>
        <w:t>ortización si la EELL lo considera. La regla del artículo 32 de la LOEPSF puede no aplicarse a partir del momento en que se han suspendido las reglas fiscales, ya que estas son el fundamento de aquella regla. Regla que conecta con el objetivo de estabilida</w:t>
      </w:r>
      <w:r>
        <w:rPr>
          <w:rFonts w:ascii="Arial" w:eastAsia="Arial" w:hAnsi="Arial" w:cs="Arial"/>
        </w:rPr>
        <w:t xml:space="preserve">d presupuestaria y con el de deuda pública.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Al no ser aplicable la regla general, tampoco es necesaria la regla especial de destinar el superávit a inversiones financieramente sostenibles, salvo las excepciones siguientes, o mediante norma posterior q</w:t>
      </w:r>
      <w:r>
        <w:rPr>
          <w:rFonts w:ascii="Arial" w:eastAsia="Arial" w:hAnsi="Arial" w:cs="Arial"/>
        </w:rPr>
        <w:t xml:space="preserve">ue prorrogue íntegramente la DA 6ª de la LOEPSF. </w:t>
      </w:r>
    </w:p>
    <w:p w:rsidR="00FF384B" w:rsidRDefault="003E3BA9">
      <w:pPr>
        <w:spacing w:after="40"/>
        <w:ind w:left="283"/>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F384B" w:rsidRDefault="003E3BA9">
      <w:pPr>
        <w:spacing w:after="31" w:line="247" w:lineRule="auto"/>
        <w:ind w:left="278" w:right="244" w:hanging="10"/>
        <w:jc w:val="both"/>
      </w:pPr>
      <w:r>
        <w:rPr>
          <w:rFonts w:ascii="Arial" w:eastAsia="Arial" w:hAnsi="Arial" w:cs="Arial"/>
          <w:b/>
        </w:rPr>
        <w:t>SEGUNDO</w:t>
      </w:r>
      <w:r>
        <w:rPr>
          <w:rFonts w:ascii="Arial" w:eastAsia="Arial" w:hAnsi="Arial" w:cs="Arial"/>
        </w:rPr>
        <w:t>. La legislación aplicable es la siguiente:</w:t>
      </w:r>
      <w:r>
        <w:rPr>
          <w:rFonts w:ascii="Times New Roman" w:eastAsia="Times New Roman" w:hAnsi="Times New Roman" w:cs="Times New Roman"/>
          <w:sz w:val="24"/>
        </w:rPr>
        <w:t xml:space="preserve"> </w:t>
      </w:r>
    </w:p>
    <w:p w:rsidR="00FF384B" w:rsidRDefault="003E3BA9">
      <w:pPr>
        <w:numPr>
          <w:ilvl w:val="0"/>
          <w:numId w:val="6"/>
        </w:numPr>
        <w:spacing w:after="55" w:line="247" w:lineRule="auto"/>
        <w:ind w:right="244" w:hanging="360"/>
        <w:jc w:val="both"/>
      </w:pPr>
      <w:r>
        <w:rPr>
          <w:rFonts w:ascii="Arial" w:eastAsia="Arial" w:hAnsi="Arial" w:cs="Arial"/>
        </w:rPr>
        <w:t xml:space="preserve">Los artículos 169, 170 y 172 a 177 del Real Decreto Legislativo 2/2004, de 5 de marzo, por el que se aprueba el Texto Refundido de la Ley Reguladora de las Haciendas Locales.  </w:t>
      </w:r>
    </w:p>
    <w:p w:rsidR="00FF384B" w:rsidRDefault="003E3BA9">
      <w:pPr>
        <w:numPr>
          <w:ilvl w:val="0"/>
          <w:numId w:val="6"/>
        </w:numPr>
        <w:spacing w:after="52" w:line="247" w:lineRule="auto"/>
        <w:ind w:right="244" w:hanging="360"/>
        <w:jc w:val="both"/>
      </w:pPr>
      <w:r>
        <w:rPr>
          <w:rFonts w:ascii="Arial" w:eastAsia="Arial" w:hAnsi="Arial" w:cs="Arial"/>
        </w:rPr>
        <w:t xml:space="preserve">Los artículos 34 a 38 del Real Decreto 500/1990, de 20 de abril, por el que se </w:t>
      </w:r>
      <w:r>
        <w:rPr>
          <w:rFonts w:ascii="Arial" w:eastAsia="Arial" w:hAnsi="Arial" w:cs="Arial"/>
        </w:rPr>
        <w:t xml:space="preserve">desarrolla el Capítulo I, del Título VI, de la Ley 39/1988, de 28 de diciembre, Reguladora de las Haciendas Locales, en materia de presupuestos. </w:t>
      </w:r>
    </w:p>
    <w:p w:rsidR="00FF384B" w:rsidRDefault="003E3BA9">
      <w:pPr>
        <w:numPr>
          <w:ilvl w:val="0"/>
          <w:numId w:val="6"/>
        </w:numPr>
        <w:spacing w:after="54" w:line="247" w:lineRule="auto"/>
        <w:ind w:right="244" w:hanging="360"/>
        <w:jc w:val="both"/>
      </w:pPr>
      <w:r>
        <w:rPr>
          <w:rFonts w:ascii="Arial" w:eastAsia="Arial" w:hAnsi="Arial" w:cs="Arial"/>
        </w:rPr>
        <w:t>Los artículos 3, 4, 11, 12, 13, 21, 23 y 32 de la Ley Orgánica 2/2012, de 27 de abril, de Estabilidad Presupue</w:t>
      </w:r>
      <w:r>
        <w:rPr>
          <w:rFonts w:ascii="Arial" w:eastAsia="Arial" w:hAnsi="Arial" w:cs="Arial"/>
        </w:rPr>
        <w:t xml:space="preserve">staria y Sostenibilidad Financiera.  </w:t>
      </w:r>
    </w:p>
    <w:p w:rsidR="00FF384B" w:rsidRDefault="003E3BA9">
      <w:pPr>
        <w:numPr>
          <w:ilvl w:val="0"/>
          <w:numId w:val="6"/>
        </w:numPr>
        <w:spacing w:after="52" w:line="247" w:lineRule="auto"/>
        <w:ind w:right="244" w:hanging="360"/>
        <w:jc w:val="both"/>
      </w:pPr>
      <w:r>
        <w:rPr>
          <w:rFonts w:ascii="Arial" w:eastAsia="Arial" w:hAnsi="Arial" w:cs="Arial"/>
        </w:rPr>
        <w:t>El artículo 16.2 del Real Decreto 1463/2007, de 2 de noviembre, por el que se aprueba el Reglamento de Desarrollo de la Ley 18/2001, de 12 de noviembre, de Estabilidad Presupuestaria, en su Aplicación a las Entidades L</w:t>
      </w:r>
      <w:r>
        <w:rPr>
          <w:rFonts w:ascii="Arial" w:eastAsia="Arial" w:hAnsi="Arial" w:cs="Arial"/>
        </w:rPr>
        <w:t xml:space="preserve">ocales. </w:t>
      </w:r>
    </w:p>
    <w:p w:rsidR="00FF384B" w:rsidRDefault="003E3BA9">
      <w:pPr>
        <w:numPr>
          <w:ilvl w:val="0"/>
          <w:numId w:val="6"/>
        </w:numPr>
        <w:spacing w:after="54" w:line="247" w:lineRule="auto"/>
        <w:ind w:right="244" w:hanging="360"/>
        <w:jc w:val="both"/>
      </w:pPr>
      <w:r>
        <w:rPr>
          <w:rFonts w:ascii="Arial" w:eastAsia="Arial" w:hAnsi="Arial" w:cs="Arial"/>
        </w:rPr>
        <w:t xml:space="preserve">El artículo 22.2.e) de la Ley 7/1985, de 2 de abril, Reguladora de las Bases del Régimen Local. </w:t>
      </w:r>
    </w:p>
    <w:p w:rsidR="00FF384B" w:rsidRDefault="003E3BA9">
      <w:pPr>
        <w:numPr>
          <w:ilvl w:val="0"/>
          <w:numId w:val="6"/>
        </w:numPr>
        <w:spacing w:after="91" w:line="247" w:lineRule="auto"/>
        <w:ind w:right="244" w:hanging="360"/>
        <w:jc w:val="both"/>
      </w:pPr>
      <w:r>
        <w:rPr>
          <w:rFonts w:ascii="Arial" w:eastAsia="Arial" w:hAnsi="Arial" w:cs="Arial"/>
        </w:rPr>
        <w:t xml:space="preserve">La Disposición Adicional 6.ª de la Ley Orgánica 2/2012, de 27 de abril, de Estabilidad Presupuestaria y Sostenibilidad Financiera. </w:t>
      </w:r>
    </w:p>
    <w:p w:rsidR="00FF384B" w:rsidRDefault="003E3BA9">
      <w:pPr>
        <w:numPr>
          <w:ilvl w:val="0"/>
          <w:numId w:val="6"/>
        </w:numPr>
        <w:spacing w:after="38" w:line="247" w:lineRule="auto"/>
        <w:ind w:right="244" w:hanging="360"/>
        <w:jc w:val="both"/>
      </w:pPr>
      <w:r>
        <w:rPr>
          <w:noProof/>
        </w:rPr>
        <mc:AlternateContent>
          <mc:Choice Requires="wpg">
            <w:drawing>
              <wp:anchor distT="0" distB="0" distL="114300" distR="114300" simplePos="0" relativeHeight="2516858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5962" name="Group 43596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577" name="Picture 7577"/>
                          <pic:cNvPicPr/>
                        </pic:nvPicPr>
                        <pic:blipFill>
                          <a:blip r:embed="rId62"/>
                          <a:stretch>
                            <a:fillRect/>
                          </a:stretch>
                        </pic:blipFill>
                        <pic:spPr>
                          <a:xfrm rot="-5399999">
                            <a:off x="-1720849" y="1720849"/>
                            <a:ext cx="3797300" cy="355601"/>
                          </a:xfrm>
                          <a:prstGeom prst="rect">
                            <a:avLst/>
                          </a:prstGeom>
                        </pic:spPr>
                      </pic:pic>
                      <wps:wsp>
                        <wps:cNvPr id="7578" name="Rectangle 757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w:t>
                              </w:r>
                              <w:r>
                                <w:rPr>
                                  <w:rFonts w:ascii="Arial" w:eastAsia="Arial" w:hAnsi="Arial" w:cs="Arial"/>
                                  <w:sz w:val="12"/>
                                </w:rPr>
                                <w:t xml:space="preserve">: 9792ADAG9QWZ53RMHD5RCHL7K | Verificación: https://candelaria.sedelectronica.es/ </w:t>
                              </w:r>
                            </w:p>
                          </w:txbxContent>
                        </wps:txbx>
                        <wps:bodyPr horzOverflow="overflow" vert="horz" lIns="0" tIns="0" rIns="0" bIns="0" rtlCol="0">
                          <a:noAutofit/>
                        </wps:bodyPr>
                      </wps:wsp>
                      <wps:wsp>
                        <wps:cNvPr id="7579" name="Rectangle 757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5962" style="width:41.2715pt;height:299pt;position:absolute;mso-position-horizontal-relative:page;mso-position-horizontal:absolute;margin-left:653.71pt;mso-position-vertical-relative:page;margin-top:512.92pt;" coordsize="5241,37973">
                <v:shape id="Picture 7577" style="position:absolute;width:37973;height:3556;left:-17208;top:17208;rotation:-89;" filled="f">
                  <v:imagedata r:id="rId63"/>
                </v:shape>
                <v:rect id="Rectangle 757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57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353 </w:t>
                        </w:r>
                      </w:p>
                    </w:txbxContent>
                  </v:textbox>
                </v:rect>
                <w10:wrap type="square"/>
              </v:group>
            </w:pict>
          </mc:Fallback>
        </mc:AlternateContent>
      </w:r>
      <w:r>
        <w:rPr>
          <w:rFonts w:ascii="Arial" w:eastAsia="Arial" w:hAnsi="Arial" w:cs="Arial"/>
        </w:rPr>
        <w:t>La Orden EHA/3565/2008, de 3 de diciembre, por la que se aprueba la estructur</w:t>
      </w:r>
      <w:r>
        <w:rPr>
          <w:rFonts w:ascii="Arial" w:eastAsia="Arial" w:hAnsi="Arial" w:cs="Arial"/>
        </w:rPr>
        <w:t xml:space="preserve">a de presupuestos de las entidades locales. - Resolución de 14 de septiembre de 2009, de la Dirección General de Coordinación Financiera con las Comunidades Autónomas y con las Entidades Locales, por la que se Dictan Medidas para el Desarrollo de la Orden </w:t>
      </w:r>
      <w:r>
        <w:rPr>
          <w:rFonts w:ascii="Arial" w:eastAsia="Arial" w:hAnsi="Arial" w:cs="Arial"/>
        </w:rPr>
        <w:t>EHA/3565/2008, de 3 de diciembre, por la que se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numPr>
          <w:ilvl w:val="0"/>
          <w:numId w:val="6"/>
        </w:numPr>
        <w:spacing w:after="54" w:line="247" w:lineRule="auto"/>
        <w:ind w:right="244" w:hanging="360"/>
        <w:jc w:val="both"/>
      </w:pPr>
      <w:r>
        <w:rPr>
          <w:rFonts w:ascii="Arial" w:eastAsia="Arial" w:hAnsi="Arial" w:cs="Arial"/>
        </w:rPr>
        <w:t xml:space="preserve">La Disposición Adicional 16.ª del Texto Refundido de la Ley Reguladora de las Haciendas Locales.  </w:t>
      </w:r>
    </w:p>
    <w:p w:rsidR="00FF384B" w:rsidRDefault="003E3BA9">
      <w:pPr>
        <w:numPr>
          <w:ilvl w:val="0"/>
          <w:numId w:val="6"/>
        </w:numPr>
        <w:spacing w:after="50" w:line="247" w:lineRule="auto"/>
        <w:ind w:right="244" w:hanging="360"/>
        <w:jc w:val="both"/>
      </w:pPr>
      <w:r>
        <w:rPr>
          <w:rFonts w:ascii="Arial" w:eastAsia="Arial" w:hAnsi="Arial" w:cs="Arial"/>
        </w:rPr>
        <w:t>Acuerdo del Congreso de los Diputados del 13 de octubre de 2020, relativo al Objetivo de Estabilidad Presupuestaria, según acuerdo del Consejo de Ministros de 6 de octubre de 2020 de “Someter a la deliberación del Pleno, a los efectos previstos en los artí</w:t>
      </w:r>
      <w:r>
        <w:rPr>
          <w:rFonts w:ascii="Arial" w:eastAsia="Arial" w:hAnsi="Arial" w:cs="Arial"/>
        </w:rPr>
        <w:t xml:space="preserve">culos 135.4 de la Constitución y 11.3 de la Ley Orgánica 2/2012, de 27 de abril, de Estabilidad Presupuestaria y Sostenibilidad Financiera y publicar en el Boletín Oficial de las Cortes Generales.”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TERCERO</w:t>
      </w:r>
      <w:r>
        <w:rPr>
          <w:rFonts w:ascii="Arial" w:eastAsia="Arial" w:hAnsi="Arial" w:cs="Arial"/>
        </w:rPr>
        <w:t>: Considerando que el artículo 177 del Real Decr</w:t>
      </w:r>
      <w:r>
        <w:rPr>
          <w:rFonts w:ascii="Arial" w:eastAsia="Arial" w:hAnsi="Arial" w:cs="Arial"/>
        </w:rPr>
        <w:t>eto Legislativo 2/2004, de 5 de marzo, por el que se aprueba el texto refundido de la Ley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FF384B" w:rsidRDefault="003E3BA9">
      <w:pPr>
        <w:numPr>
          <w:ilvl w:val="0"/>
          <w:numId w:val="7"/>
        </w:numPr>
        <w:spacing w:after="5" w:line="247" w:lineRule="auto"/>
        <w:ind w:right="244" w:hanging="360"/>
        <w:jc w:val="both"/>
      </w:pPr>
      <w:r>
        <w:rPr>
          <w:rFonts w:ascii="Arial" w:eastAsia="Arial" w:hAnsi="Arial" w:cs="Arial"/>
        </w:rPr>
        <w:t>Cuando haya de realizarse algún gasto que no pueda demorarse hasta el ejercicio siguiente, y sea insuficiente en el presupuesto de la corporación el crédito consignado, el presidente de la corporación ordenará la incoación del expediente de suplemento de</w:t>
      </w:r>
      <w:r>
        <w:rPr>
          <w:rFonts w:ascii="Arial" w:eastAsia="Arial" w:hAnsi="Arial" w:cs="Arial"/>
        </w:rPr>
        <w:t xml:space="preserve"> crédito.  </w:t>
      </w:r>
    </w:p>
    <w:p w:rsidR="00FF384B" w:rsidRDefault="003E3BA9">
      <w:pPr>
        <w:numPr>
          <w:ilvl w:val="0"/>
          <w:numId w:val="7"/>
        </w:numPr>
        <w:spacing w:after="5" w:line="247" w:lineRule="auto"/>
        <w:ind w:right="244" w:hanging="360"/>
        <w:jc w:val="both"/>
      </w:pPr>
      <w:r>
        <w:rPr>
          <w:rFonts w:ascii="Arial" w:eastAsia="Arial" w:hAnsi="Arial" w:cs="Arial"/>
        </w:rPr>
        <w:t xml:space="preserve">El expediente, que habrá de ser previamente informado por la Intervención, se someterá a la aprobación del Pleno de la corporación, con sujeción a los mismos trámites y requisitos que los presupuestos. Serán asimismo, de aplicación, las normas </w:t>
      </w:r>
      <w:r>
        <w:rPr>
          <w:rFonts w:ascii="Arial" w:eastAsia="Arial" w:hAnsi="Arial" w:cs="Arial"/>
        </w:rPr>
        <w:t xml:space="preserve">sobre información, reclamación y publicidad de los presupuestos a que se refiere el artículo 169 de esta ley.  </w:t>
      </w:r>
    </w:p>
    <w:p w:rsidR="00FF384B" w:rsidRDefault="003E3BA9">
      <w:pPr>
        <w:numPr>
          <w:ilvl w:val="0"/>
          <w:numId w:val="7"/>
        </w:numPr>
        <w:spacing w:after="42" w:line="247" w:lineRule="auto"/>
        <w:ind w:right="244" w:hanging="360"/>
        <w:jc w:val="both"/>
      </w:pPr>
      <w:r>
        <w:rPr>
          <w:rFonts w:ascii="Arial" w:eastAsia="Arial" w:hAnsi="Arial" w:cs="Arial"/>
        </w:rPr>
        <w:t>El expediente deberá especificar la concreta partida presupuestaria a incrementar y el medio o recurso que ha de financiar el aumento que se pro</w:t>
      </w:r>
      <w:r>
        <w:rPr>
          <w:rFonts w:ascii="Arial" w:eastAsia="Arial" w:hAnsi="Arial" w:cs="Arial"/>
        </w:rPr>
        <w:t xml:space="preserve">pone. </w:t>
      </w:r>
    </w:p>
    <w:p w:rsidR="00FF384B" w:rsidRDefault="003E3BA9">
      <w:pPr>
        <w:numPr>
          <w:ilvl w:val="0"/>
          <w:numId w:val="7"/>
        </w:numPr>
        <w:spacing w:after="5" w:line="247" w:lineRule="auto"/>
        <w:ind w:right="244" w:hanging="360"/>
        <w:jc w:val="both"/>
      </w:pPr>
      <w:r>
        <w:rPr>
          <w:rFonts w:ascii="Arial" w:eastAsia="Arial" w:hAnsi="Arial" w:cs="Arial"/>
        </w:rPr>
        <w:t>Dicho aumento se financiará con cargo al remanente líquido de tesorería, con nuevos o mayores ingresos recaudados sobre los totales previstos en el presupuesto corriente, y mediante anulaciones o bajas de créditos de gastos de otras partidas del pre</w:t>
      </w:r>
      <w:r>
        <w:rPr>
          <w:rFonts w:ascii="Arial" w:eastAsia="Arial" w:hAnsi="Arial" w:cs="Arial"/>
        </w:rPr>
        <w:t>supuesto vigente no comprometidos, cuyas dotaciones se estimen reducibles sin perturbación del respectivo servicio. En el expediente se acreditará que los ingresos previstos en el presupuesto vengan efectuándose con normalidad, salvo que aquéllos tengan ca</w:t>
      </w:r>
      <w:r>
        <w:rPr>
          <w:rFonts w:ascii="Arial" w:eastAsia="Arial" w:hAnsi="Arial" w:cs="Arial"/>
        </w:rPr>
        <w:t xml:space="preserve">rácter finalista.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CUARTO. </w:t>
      </w:r>
      <w:r>
        <w:rPr>
          <w:rFonts w:ascii="Arial" w:eastAsia="Arial" w:hAnsi="Arial" w:cs="Arial"/>
        </w:rPr>
        <w:t xml:space="preserve">Que el expediente de modificación presupuestaria nº 3519/2021, por Suplemento de Créditos financiado con remanente de tesorería para gastos generales, se realizará por la cantidad de </w:t>
      </w:r>
      <w:r>
        <w:rPr>
          <w:rFonts w:ascii="Arial" w:eastAsia="Arial" w:hAnsi="Arial" w:cs="Arial"/>
          <w:b/>
        </w:rPr>
        <w:t>471.000,63 Euros</w:t>
      </w:r>
      <w:r>
        <w:rPr>
          <w:rFonts w:ascii="Arial" w:eastAsia="Arial" w:hAnsi="Arial" w:cs="Arial"/>
        </w:rPr>
        <w:t>, según el siguiente detall</w:t>
      </w:r>
      <w:r>
        <w:rPr>
          <w:rFonts w:ascii="Arial" w:eastAsia="Arial" w:hAnsi="Arial" w:cs="Arial"/>
        </w:rPr>
        <w:t>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869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9154" name="Group 45915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844" name="Picture 7844"/>
                          <pic:cNvPicPr/>
                        </pic:nvPicPr>
                        <pic:blipFill>
                          <a:blip r:embed="rId62"/>
                          <a:stretch>
                            <a:fillRect/>
                          </a:stretch>
                        </pic:blipFill>
                        <pic:spPr>
                          <a:xfrm rot="-5399999">
                            <a:off x="-1720849" y="1720849"/>
                            <a:ext cx="3797300" cy="355601"/>
                          </a:xfrm>
                          <a:prstGeom prst="rect">
                            <a:avLst/>
                          </a:prstGeom>
                        </pic:spPr>
                      </pic:pic>
                      <wps:wsp>
                        <wps:cNvPr id="7845" name="Rectangle 784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846" name="Rectangle 784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9154" style="width:41.2715pt;height:299pt;position:absolute;mso-position-horizontal-relative:page;mso-position-horizontal:absolute;margin-left:653.71pt;mso-position-vertical-relative:page;margin-top:512.92pt;" coordsize="5241,37973">
                <v:shape id="Picture 7844" style="position:absolute;width:37973;height:3556;left:-17208;top:17208;rotation:-89;" filled="f">
                  <v:imagedata r:id="rId63"/>
                </v:shape>
                <v:rect id="Rectangle 784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84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353 </w:t>
                        </w:r>
                      </w:p>
                    </w:txbxContent>
                  </v:textbox>
                </v:rect>
                <w10:wrap type="square"/>
              </v:group>
            </w:pict>
          </mc:Fallback>
        </mc:AlternateContent>
      </w:r>
      <w:r>
        <w:rPr>
          <w:rFonts w:ascii="Arial" w:eastAsia="Arial" w:hAnsi="Arial" w:cs="Arial"/>
        </w:rPr>
        <w:t xml:space="preserve"> </w:t>
      </w:r>
    </w:p>
    <w:tbl>
      <w:tblPr>
        <w:tblStyle w:val="TableGrid"/>
        <w:tblW w:w="8358" w:type="dxa"/>
        <w:tblInd w:w="364" w:type="dxa"/>
        <w:tblCellMar>
          <w:top w:w="9" w:type="dxa"/>
          <w:left w:w="71" w:type="dxa"/>
          <w:bottom w:w="6" w:type="dxa"/>
          <w:right w:w="7" w:type="dxa"/>
        </w:tblCellMar>
        <w:tblLook w:val="04A0" w:firstRow="1" w:lastRow="0" w:firstColumn="1" w:lastColumn="0" w:noHBand="0" w:noVBand="1"/>
      </w:tblPr>
      <w:tblGrid>
        <w:gridCol w:w="1598"/>
        <w:gridCol w:w="1201"/>
        <w:gridCol w:w="3999"/>
        <w:gridCol w:w="1561"/>
      </w:tblGrid>
      <w:tr w:rsidR="00FF384B">
        <w:trPr>
          <w:trHeight w:val="307"/>
        </w:trPr>
        <w:tc>
          <w:tcPr>
            <w:tcW w:w="159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b/>
              </w:rPr>
              <w:t xml:space="preserve">Aplicación </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Proyecto </w:t>
            </w:r>
          </w:p>
        </w:tc>
        <w:tc>
          <w:tcPr>
            <w:tcW w:w="399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Denominación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center"/>
            </w:pPr>
            <w:r>
              <w:rPr>
                <w:rFonts w:ascii="Arial" w:eastAsia="Arial" w:hAnsi="Arial" w:cs="Arial"/>
                <w:b/>
              </w:rPr>
              <w:t xml:space="preserve">Importe </w:t>
            </w:r>
          </w:p>
        </w:tc>
      </w:tr>
      <w:tr w:rsidR="00FF384B">
        <w:trPr>
          <w:trHeight w:val="518"/>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13500.62300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9.255,21 </w:t>
            </w:r>
          </w:p>
        </w:tc>
      </w:tr>
      <w:tr w:rsidR="00FF384B">
        <w:trPr>
          <w:trHeight w:val="312"/>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34100.21200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R.M.C. edificios y otras construcciones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14.204,12 </w:t>
            </w:r>
          </w:p>
        </w:tc>
      </w:tr>
      <w:tr w:rsidR="00FF384B">
        <w:trPr>
          <w:trHeight w:val="516"/>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34100.22710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Trabajos realizados por otras empresas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16.450,49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45900.62400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384.429,18 </w:t>
            </w:r>
          </w:p>
        </w:tc>
      </w:tr>
      <w:tr w:rsidR="00FF384B">
        <w:trPr>
          <w:trHeight w:val="517"/>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49200.62300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46.661,63 </w:t>
            </w:r>
          </w:p>
        </w:tc>
      </w:tr>
      <w:tr w:rsidR="00FF384B">
        <w:trPr>
          <w:trHeight w:val="307"/>
        </w:trPr>
        <w:tc>
          <w:tcPr>
            <w:tcW w:w="1598" w:type="dxa"/>
            <w:tcBorders>
              <w:top w:val="single" w:sz="4" w:space="0" w:color="000000"/>
              <w:left w:val="single" w:sz="4" w:space="0" w:color="000000"/>
              <w:bottom w:val="single" w:sz="4" w:space="0" w:color="000000"/>
              <w:right w:val="nil"/>
            </w:tcBorders>
            <w:shd w:val="clear" w:color="auto" w:fill="D9D9D9"/>
          </w:tcPr>
          <w:p w:rsidR="00FF384B" w:rsidRDefault="00FF384B"/>
        </w:tc>
        <w:tc>
          <w:tcPr>
            <w:tcW w:w="1201" w:type="dxa"/>
            <w:tcBorders>
              <w:top w:val="single" w:sz="4" w:space="0" w:color="000000"/>
              <w:left w:val="nil"/>
              <w:bottom w:val="single" w:sz="4" w:space="0" w:color="000000"/>
              <w:right w:val="nil"/>
            </w:tcBorders>
            <w:shd w:val="clear" w:color="auto" w:fill="D9D9D9"/>
          </w:tcPr>
          <w:p w:rsidR="00FF384B" w:rsidRDefault="00FF384B"/>
        </w:tc>
        <w:tc>
          <w:tcPr>
            <w:tcW w:w="3999" w:type="dxa"/>
            <w:tcBorders>
              <w:top w:val="single" w:sz="4" w:space="0" w:color="000000"/>
              <w:left w:val="nil"/>
              <w:bottom w:val="single" w:sz="4" w:space="0" w:color="000000"/>
              <w:right w:val="single" w:sz="4" w:space="0" w:color="000000"/>
            </w:tcBorders>
            <w:shd w:val="clear" w:color="auto" w:fill="D9D9D9"/>
          </w:tcPr>
          <w:p w:rsidR="00FF384B" w:rsidRDefault="003E3BA9">
            <w:pPr>
              <w:spacing w:after="0"/>
              <w:ind w:left="266"/>
            </w:pPr>
            <w:r>
              <w:rPr>
                <w:rFonts w:ascii="Arial" w:eastAsia="Arial" w:hAnsi="Arial" w:cs="Arial"/>
                <w:b/>
              </w:rPr>
              <w:t xml:space="preserve">Total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right"/>
            </w:pPr>
            <w:r>
              <w:rPr>
                <w:rFonts w:ascii="Arial" w:eastAsia="Arial" w:hAnsi="Arial" w:cs="Arial"/>
                <w:b/>
              </w:rPr>
              <w:t xml:space="preserve">471.000,63 </w:t>
            </w:r>
          </w:p>
        </w:tc>
      </w:tr>
    </w:tbl>
    <w:p w:rsidR="00FF384B" w:rsidRDefault="003E3BA9">
      <w:pPr>
        <w:spacing w:after="3"/>
        <w:ind w:left="283"/>
      </w:pPr>
      <w:r>
        <w:rPr>
          <w:rFonts w:ascii="Arial" w:eastAsia="Arial" w:hAnsi="Arial" w:cs="Arial"/>
        </w:rPr>
        <w:t xml:space="preserve"> </w:t>
      </w:r>
    </w:p>
    <w:p w:rsidR="00FF384B" w:rsidRDefault="003E3BA9">
      <w:pPr>
        <w:spacing w:after="109" w:line="247" w:lineRule="auto"/>
        <w:ind w:left="286" w:hanging="3"/>
        <w:jc w:val="both"/>
      </w:pPr>
      <w:r>
        <w:rPr>
          <w:rFonts w:ascii="Arial" w:eastAsia="Arial" w:hAnsi="Arial" w:cs="Arial"/>
          <w:b/>
        </w:rPr>
        <w:t xml:space="preserve">“ </w:t>
      </w:r>
    </w:p>
    <w:p w:rsidR="00FF384B" w:rsidRDefault="003E3BA9">
      <w:pPr>
        <w:spacing w:after="98"/>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 Consta en el expediente propuesta del Concejal delegado </w:t>
      </w:r>
      <w:r>
        <w:rPr>
          <w:rFonts w:ascii="Arial" w:eastAsia="Arial" w:hAnsi="Arial" w:cs="Arial"/>
          <w:b/>
        </w:rPr>
        <w:t xml:space="preserve">de Hacienda, D. Airam Pérez Chinea, de fecha 21 de abril de 2021, que transcrito literalmente dice: </w:t>
      </w:r>
    </w:p>
    <w:p w:rsidR="00FF384B" w:rsidRDefault="003E3BA9">
      <w:pPr>
        <w:spacing w:after="0"/>
        <w:ind w:left="283"/>
      </w:pPr>
      <w:r>
        <w:rPr>
          <w:rFonts w:ascii="Arial" w:eastAsia="Arial" w:hAnsi="Arial" w:cs="Arial"/>
          <w:b/>
        </w:rPr>
        <w:t xml:space="preserve"> </w:t>
      </w:r>
    </w:p>
    <w:p w:rsidR="00FF384B" w:rsidRDefault="003E3BA9">
      <w:pPr>
        <w:spacing w:after="19"/>
        <w:ind w:left="283"/>
      </w:pPr>
      <w:r>
        <w:rPr>
          <w:rFonts w:ascii="Arial" w:eastAsia="Arial" w:hAnsi="Arial" w:cs="Arial"/>
          <w:b/>
        </w:rPr>
        <w:t xml:space="preserve"> </w:t>
      </w:r>
    </w:p>
    <w:p w:rsidR="00FF384B" w:rsidRDefault="003E3BA9">
      <w:pPr>
        <w:pStyle w:val="Ttulo2"/>
        <w:spacing w:after="130"/>
        <w:ind w:left="767" w:right="731"/>
      </w:pPr>
      <w:r>
        <w:t xml:space="preserve">“Propuesta de la Concejalía de Hacienda </w:t>
      </w:r>
    </w:p>
    <w:p w:rsidR="00FF384B" w:rsidRDefault="003E3BA9">
      <w:pPr>
        <w:spacing w:after="118" w:line="247" w:lineRule="auto"/>
        <w:ind w:left="268" w:right="244" w:firstLine="708"/>
        <w:jc w:val="both"/>
      </w:pPr>
      <w:r>
        <w:rPr>
          <w:rFonts w:ascii="Arial" w:eastAsia="Arial" w:hAnsi="Arial" w:cs="Arial"/>
        </w:rPr>
        <w:t>Dado expediente 3519/2021 de Suplemento de Créditos, relativos a actuaciones y necesidades para dotar infraest</w:t>
      </w:r>
      <w:r>
        <w:rPr>
          <w:rFonts w:ascii="Arial" w:eastAsia="Arial" w:hAnsi="Arial" w:cs="Arial"/>
        </w:rPr>
        <w:t>ructuras y servicios municipales, y visto informe de la Intervención General que se transcribe a continuación:</w:t>
      </w:r>
      <w:r>
        <w:rPr>
          <w:rFonts w:ascii="Times New Roman" w:eastAsia="Times New Roman" w:hAnsi="Times New Roman" w:cs="Times New Roman"/>
          <w:sz w:val="24"/>
        </w:rPr>
        <w:t xml:space="preserve"> </w:t>
      </w:r>
    </w:p>
    <w:p w:rsidR="00FF384B" w:rsidRDefault="003E3BA9">
      <w:pPr>
        <w:spacing w:after="5" w:line="247" w:lineRule="auto"/>
        <w:ind w:left="268" w:right="244" w:firstLine="708"/>
        <w:jc w:val="both"/>
      </w:pPr>
      <w:r>
        <w:rPr>
          <w:rFonts w:ascii="Arial" w:eastAsia="Arial" w:hAnsi="Arial" w:cs="Arial"/>
        </w:rPr>
        <w:t xml:space="preserve">“Vista la propuesta de la Alcaldesa, de tramitación de modificación presupuestaria, “Con motivo de las memorias justificativas de necesidades y </w:t>
      </w:r>
      <w:r>
        <w:rPr>
          <w:rFonts w:ascii="Arial" w:eastAsia="Arial" w:hAnsi="Arial" w:cs="Arial"/>
        </w:rPr>
        <w:t xml:space="preserve">urgencias que se presentan para dar una respuesta adecuada a las actuaciones que se dan en nuestro municipio.” </w:t>
      </w:r>
    </w:p>
    <w:p w:rsidR="00FF384B" w:rsidRDefault="003E3BA9">
      <w:pPr>
        <w:spacing w:after="114" w:line="247" w:lineRule="auto"/>
        <w:ind w:left="268" w:right="244" w:firstLine="708"/>
        <w:jc w:val="both"/>
      </w:pPr>
      <w:r>
        <w:rPr>
          <w:rFonts w:ascii="Arial" w:eastAsia="Arial" w:hAnsi="Arial" w:cs="Arial"/>
        </w:rPr>
        <w:t>Siendo un gasto específico y determinado ante la imposibilidad de demorarlo a ejercicios posteriores, y no habiendo crédito suficiente en las ap</w:t>
      </w:r>
      <w:r>
        <w:rPr>
          <w:rFonts w:ascii="Arial" w:eastAsia="Arial" w:hAnsi="Arial" w:cs="Arial"/>
        </w:rPr>
        <w:t>licaciónes presupuestarias.”</w:t>
      </w:r>
      <w:r>
        <w:rPr>
          <w:rFonts w:ascii="Times New Roman" w:eastAsia="Times New Roman" w:hAnsi="Times New Roman" w:cs="Times New Roman"/>
          <w:sz w:val="24"/>
        </w:rPr>
        <w:t xml:space="preserve"> </w:t>
      </w:r>
    </w:p>
    <w:p w:rsidR="00FF384B" w:rsidRDefault="003E3BA9">
      <w:pPr>
        <w:spacing w:after="122"/>
        <w:ind w:left="991"/>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PRIMERO. </w:t>
      </w:r>
      <w:r>
        <w:rPr>
          <w:rFonts w:ascii="Arial" w:eastAsia="Arial" w:hAnsi="Arial" w:cs="Arial"/>
        </w:rPr>
        <w:t>Visto Acuerdo del Congreso de los Diputados del 20 de octubre de 2020, aprobado por mayoría absoluta, ha apreciado, por mayoría absoluta de sus miembros, que se da una situación de emergencia extraordinaria que moti</w:t>
      </w:r>
      <w:r>
        <w:rPr>
          <w:rFonts w:ascii="Arial" w:eastAsia="Arial" w:hAnsi="Arial" w:cs="Arial"/>
        </w:rPr>
        <w:t>va la suspensión de las reglas fiscales, requisito que establece el artículo 11.3 de la LOEPSF.</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41" w:line="247" w:lineRule="auto"/>
        <w:ind w:left="278" w:right="244" w:hanging="10"/>
        <w:jc w:val="both"/>
      </w:pPr>
      <w:r>
        <w:rPr>
          <w:rFonts w:ascii="Arial" w:eastAsia="Arial" w:hAnsi="Arial" w:cs="Arial"/>
        </w:rPr>
        <w:t xml:space="preserve"> Atendiendo al acuerdo del Consejo de Ministros de 6 de octubre de 2020, mediante el que se acuerda: </w:t>
      </w:r>
    </w:p>
    <w:p w:rsidR="00FF384B" w:rsidRDefault="003E3BA9">
      <w:pPr>
        <w:numPr>
          <w:ilvl w:val="0"/>
          <w:numId w:val="8"/>
        </w:numPr>
        <w:spacing w:after="44" w:line="247" w:lineRule="auto"/>
        <w:ind w:right="244" w:hanging="360"/>
        <w:jc w:val="both"/>
      </w:pPr>
      <w:r>
        <w:rPr>
          <w:rFonts w:ascii="Arial" w:eastAsia="Arial" w:hAnsi="Arial" w:cs="Arial"/>
        </w:rPr>
        <w:t xml:space="preserve">“Solicitar del Congreso de los Diputados la apreciación de que en España estamos sufriendo una pandemia, lo que supone una situación de emergencia extraordinaria que se ajusta a lo dispuesto en el artículo 135.4 de la Constitución y en el artículo 11.3 de </w:t>
      </w:r>
      <w:r>
        <w:rPr>
          <w:rFonts w:ascii="Arial" w:eastAsia="Arial" w:hAnsi="Arial" w:cs="Arial"/>
        </w:rPr>
        <w:t xml:space="preserve">la Ley Orgánica de Estabilidad Presupuestaria y Sostenibilidad Financiera”.  </w:t>
      </w:r>
    </w:p>
    <w:p w:rsidR="00FF384B" w:rsidRDefault="003E3BA9">
      <w:pPr>
        <w:numPr>
          <w:ilvl w:val="0"/>
          <w:numId w:val="8"/>
        </w:numPr>
        <w:spacing w:after="5" w:line="247" w:lineRule="auto"/>
        <w:ind w:right="244" w:hanging="360"/>
        <w:jc w:val="both"/>
      </w:pPr>
      <w:r>
        <w:rPr>
          <w:noProof/>
        </w:rPr>
        <mc:AlternateContent>
          <mc:Choice Requires="wpg">
            <w:drawing>
              <wp:anchor distT="0" distB="0" distL="114300" distR="114300" simplePos="0" relativeHeight="2516879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9098" name="Group 43909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7954" name="Picture 7954"/>
                          <pic:cNvPicPr/>
                        </pic:nvPicPr>
                        <pic:blipFill>
                          <a:blip r:embed="rId62"/>
                          <a:stretch>
                            <a:fillRect/>
                          </a:stretch>
                        </pic:blipFill>
                        <pic:spPr>
                          <a:xfrm rot="-5399999">
                            <a:off x="-1720849" y="1720849"/>
                            <a:ext cx="3797300" cy="355601"/>
                          </a:xfrm>
                          <a:prstGeom prst="rect">
                            <a:avLst/>
                          </a:prstGeom>
                        </pic:spPr>
                      </pic:pic>
                      <wps:wsp>
                        <wps:cNvPr id="7955" name="Rectangle 795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7956" name="Rectangle 795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w:t>
                              </w:r>
                              <w:r>
                                <w:rPr>
                                  <w:rFonts w:ascii="Arial" w:eastAsia="Arial" w:hAnsi="Arial" w:cs="Arial"/>
                                  <w:sz w:val="12"/>
                                </w:rPr>
                                <w:t xml:space="preserve"> Página 28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9098" style="width:41.2715pt;height:299pt;position:absolute;mso-position-horizontal-relative:page;mso-position-horizontal:absolute;margin-left:653.71pt;mso-position-vertical-relative:page;margin-top:512.92pt;" coordsize="5241,37973">
                <v:shape id="Picture 7954" style="position:absolute;width:37973;height:3556;left:-17208;top:17208;rotation:-89;" filled="f">
                  <v:imagedata r:id="rId63"/>
                </v:shape>
                <v:rect id="Rectangle 79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795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353 </w:t>
                        </w:r>
                      </w:p>
                    </w:txbxContent>
                  </v:textbox>
                </v:rect>
                <w10:wrap type="square"/>
              </v:group>
            </w:pict>
          </mc:Fallback>
        </mc:AlternateContent>
      </w:r>
      <w:r>
        <w:rPr>
          <w:rFonts w:ascii="Arial" w:eastAsia="Arial" w:hAnsi="Arial" w:cs="Arial"/>
        </w:rPr>
        <w:t>“Quedan suspendidos el Acuerdo de Consejo de Ministros de 11 de febrero de 2020 por el que se adecúan los objetivos de estabilidad presupuestaria y de deuda pública para el conjunto de Administraciones Públicas y de cada uno de sus subse</w:t>
      </w:r>
      <w:r>
        <w:rPr>
          <w:rFonts w:ascii="Arial" w:eastAsia="Arial" w:hAnsi="Arial" w:cs="Arial"/>
        </w:rPr>
        <w:t>ctores para el año 2020 para su remisión a las Cortes Generales, y se fija el límite de gasto no financiero del presupuesto del Estado para 2020, así como el Acuerdo de Consejo de Ministros de 11 de febrero de 2020 por el que se fijan los objetivos de esta</w:t>
      </w:r>
      <w:r>
        <w:rPr>
          <w:rFonts w:ascii="Arial" w:eastAsia="Arial" w:hAnsi="Arial" w:cs="Arial"/>
        </w:rPr>
        <w:t>bilidad presupuestaria y de deuda pública para el conjunto de Administraciones Públicas y de cada uno de sus subsectores para el período 2021-2023 para su remisión a las Cortes Generales, y el límite de gasto no financiero del presupuesto del Estado para 2</w:t>
      </w:r>
      <w:r>
        <w:rPr>
          <w:rFonts w:ascii="Arial" w:eastAsia="Arial" w:hAnsi="Arial" w:cs="Arial"/>
        </w:rPr>
        <w:t xml:space="preserve">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Por tanto, los objetivos de estabilidad y de deuda pública, y la regla de gasto, aprobados por el Gobierno el 11 de febrero de 2020 son inaplicables al aprobar éste su suspensión para el 2020 y el 2021.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La suspensión de las reglas fiscales ha </w:t>
      </w:r>
      <w:r>
        <w:rPr>
          <w:rFonts w:ascii="Arial" w:eastAsia="Arial" w:hAnsi="Arial" w:cs="Arial"/>
        </w:rPr>
        <w:t>supuesto que el superávit no tenga que dedicarse a amortizar deuda, aun siendo posible realizar esta amortización si la EELL lo considera. La regla del artículo 32 de la LOEPSF puede no aplicarse a partir del momento en que se han suspendido las reglas fis</w:t>
      </w:r>
      <w:r>
        <w:rPr>
          <w:rFonts w:ascii="Arial" w:eastAsia="Arial" w:hAnsi="Arial" w:cs="Arial"/>
        </w:rPr>
        <w:t xml:space="preserve">cales, ya que estas son el fundamento de aquella regla. Regla que conecta con el objetivo de estabilidad presupuestaria y con el de deuda pública.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w:t>
      </w:r>
      <w:r>
        <w:rPr>
          <w:rFonts w:ascii="Arial" w:eastAsia="Arial" w:hAnsi="Arial" w:cs="Arial"/>
        </w:rPr>
        <w:t xml:space="preserve">Al no ser aplicable la regla general, tampoco es necesaria la regla especial de destinar el superávit a inversiones financieramente sostenibles, salvo las excepciones siguientes, o mediante norma posterior que prorrogue íntegramente la DA 6ª de la LOEPSF. </w:t>
      </w:r>
    </w:p>
    <w:p w:rsidR="00FF384B" w:rsidRDefault="003E3BA9">
      <w:pPr>
        <w:spacing w:after="40"/>
        <w:ind w:left="283"/>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F384B" w:rsidRDefault="003E3BA9">
      <w:pPr>
        <w:spacing w:after="31" w:line="247" w:lineRule="auto"/>
        <w:ind w:left="278" w:right="244" w:hanging="10"/>
        <w:jc w:val="both"/>
      </w:pPr>
      <w:r>
        <w:rPr>
          <w:rFonts w:ascii="Arial" w:eastAsia="Arial" w:hAnsi="Arial" w:cs="Arial"/>
          <w:b/>
        </w:rPr>
        <w:t>SEGUNDO</w:t>
      </w:r>
      <w:r>
        <w:rPr>
          <w:rFonts w:ascii="Arial" w:eastAsia="Arial" w:hAnsi="Arial" w:cs="Arial"/>
        </w:rPr>
        <w:t>. La legislación aplicable es la siguiente:</w:t>
      </w:r>
      <w:r>
        <w:rPr>
          <w:rFonts w:ascii="Times New Roman" w:eastAsia="Times New Roman" w:hAnsi="Times New Roman" w:cs="Times New Roman"/>
          <w:sz w:val="24"/>
        </w:rPr>
        <w:t xml:space="preserve"> </w:t>
      </w:r>
    </w:p>
    <w:p w:rsidR="00FF384B" w:rsidRDefault="003E3BA9">
      <w:pPr>
        <w:numPr>
          <w:ilvl w:val="0"/>
          <w:numId w:val="9"/>
        </w:numPr>
        <w:spacing w:after="5" w:line="247" w:lineRule="auto"/>
        <w:ind w:right="244" w:hanging="360"/>
        <w:jc w:val="both"/>
      </w:pPr>
      <w:r>
        <w:rPr>
          <w:rFonts w:ascii="Arial" w:eastAsia="Arial" w:hAnsi="Arial" w:cs="Arial"/>
        </w:rPr>
        <w:t xml:space="preserve">Los artículos 169, 170 y 172 a 177 del Real Decreto Legislativo 2/2004, de 5 de marzo, por el que se aprueba el Texto Refundido de la Ley Reguladora de las Haciendas Locales.  </w:t>
      </w:r>
    </w:p>
    <w:p w:rsidR="00FF384B" w:rsidRDefault="003E3BA9">
      <w:pPr>
        <w:numPr>
          <w:ilvl w:val="0"/>
          <w:numId w:val="9"/>
        </w:numPr>
        <w:spacing w:after="52" w:line="247" w:lineRule="auto"/>
        <w:ind w:right="244" w:hanging="360"/>
        <w:jc w:val="both"/>
      </w:pPr>
      <w:r>
        <w:rPr>
          <w:rFonts w:ascii="Arial" w:eastAsia="Arial" w:hAnsi="Arial" w:cs="Arial"/>
        </w:rPr>
        <w:t xml:space="preserve">Los artículos 34 a 38 del Real Decreto 500/1990, de 20 de abril, por el que se desarrolla el Capítulo I, del Título VI, de la Ley 39/1988, de 28 de diciembre, Reguladora de las Haciendas Locales, en materia de presupuestos. </w:t>
      </w:r>
    </w:p>
    <w:p w:rsidR="00FF384B" w:rsidRDefault="003E3BA9">
      <w:pPr>
        <w:numPr>
          <w:ilvl w:val="0"/>
          <w:numId w:val="9"/>
        </w:numPr>
        <w:spacing w:after="51" w:line="247" w:lineRule="auto"/>
        <w:ind w:right="244" w:hanging="360"/>
        <w:jc w:val="both"/>
      </w:pPr>
      <w:r>
        <w:rPr>
          <w:rFonts w:ascii="Arial" w:eastAsia="Arial" w:hAnsi="Arial" w:cs="Arial"/>
        </w:rPr>
        <w:t>Los artículos 3, 4, 11, 12, 13,</w:t>
      </w:r>
      <w:r>
        <w:rPr>
          <w:rFonts w:ascii="Arial" w:eastAsia="Arial" w:hAnsi="Arial" w:cs="Arial"/>
        </w:rPr>
        <w:t xml:space="preserve"> 21, 23 y 32 de la Ley Orgánica 2/2012, de 27 de abril, de Estabilidad Presupuestaria y Sostenibilidad Financiera.  </w:t>
      </w:r>
    </w:p>
    <w:p w:rsidR="00FF384B" w:rsidRDefault="003E3BA9">
      <w:pPr>
        <w:numPr>
          <w:ilvl w:val="0"/>
          <w:numId w:val="9"/>
        </w:numPr>
        <w:spacing w:after="54" w:line="247" w:lineRule="auto"/>
        <w:ind w:right="244" w:hanging="360"/>
        <w:jc w:val="both"/>
      </w:pPr>
      <w:r>
        <w:rPr>
          <w:rFonts w:ascii="Arial" w:eastAsia="Arial" w:hAnsi="Arial" w:cs="Arial"/>
        </w:rPr>
        <w:t xml:space="preserve">El artículo 16.2 del Real Decreto 1463/2007, de 2 de noviembre, por el que se aprueba el Reglamento de Desarrollo de la Ley 18/2001, de 12 </w:t>
      </w:r>
      <w:r>
        <w:rPr>
          <w:rFonts w:ascii="Arial" w:eastAsia="Arial" w:hAnsi="Arial" w:cs="Arial"/>
        </w:rPr>
        <w:t xml:space="preserve">de noviembre, de Estabilidad Presupuestaria, en su Aplicación a las Entidades Locales. </w:t>
      </w:r>
    </w:p>
    <w:p w:rsidR="00FF384B" w:rsidRDefault="003E3BA9">
      <w:pPr>
        <w:numPr>
          <w:ilvl w:val="0"/>
          <w:numId w:val="9"/>
        </w:numPr>
        <w:spacing w:after="52" w:line="247" w:lineRule="auto"/>
        <w:ind w:right="244" w:hanging="360"/>
        <w:jc w:val="both"/>
      </w:pPr>
      <w:r>
        <w:rPr>
          <w:rFonts w:ascii="Arial" w:eastAsia="Arial" w:hAnsi="Arial" w:cs="Arial"/>
        </w:rPr>
        <w:t xml:space="preserve">El artículo 22.2.e) de la Ley 7/1985, de 2 de abril, Reguladora de las Bases del Régimen Local. </w:t>
      </w:r>
    </w:p>
    <w:p w:rsidR="00FF384B" w:rsidRDefault="003E3BA9">
      <w:pPr>
        <w:numPr>
          <w:ilvl w:val="0"/>
          <w:numId w:val="9"/>
        </w:numPr>
        <w:spacing w:after="88" w:line="247" w:lineRule="auto"/>
        <w:ind w:right="244" w:hanging="360"/>
        <w:jc w:val="both"/>
      </w:pPr>
      <w:r>
        <w:rPr>
          <w:rFonts w:ascii="Arial" w:eastAsia="Arial" w:hAnsi="Arial" w:cs="Arial"/>
        </w:rPr>
        <w:t>La Disposición Adicional 6.ª de la Ley Orgánica 2/2012, de 27 de abril,</w:t>
      </w:r>
      <w:r>
        <w:rPr>
          <w:rFonts w:ascii="Arial" w:eastAsia="Arial" w:hAnsi="Arial" w:cs="Arial"/>
        </w:rPr>
        <w:t xml:space="preserve"> de Estabilidad Presupuestaria y Sostenibilidad Financiera. </w:t>
      </w:r>
    </w:p>
    <w:p w:rsidR="00FF384B" w:rsidRDefault="003E3BA9">
      <w:pPr>
        <w:numPr>
          <w:ilvl w:val="0"/>
          <w:numId w:val="9"/>
        </w:numPr>
        <w:spacing w:after="36" w:line="247" w:lineRule="auto"/>
        <w:ind w:right="244" w:hanging="360"/>
        <w:jc w:val="both"/>
      </w:pPr>
      <w:r>
        <w:rPr>
          <w:rFonts w:ascii="Arial" w:eastAsia="Arial" w:hAnsi="Arial" w:cs="Arial"/>
        </w:rPr>
        <w:t xml:space="preserve">La Orden EHA/3565/2008, de 3 de diciembre, por la que se aprueba la estructura de presupuestos de las entidades locales. - </w:t>
      </w:r>
      <w:r>
        <w:rPr>
          <w:rFonts w:ascii="Arial" w:eastAsia="Arial" w:hAnsi="Arial" w:cs="Arial"/>
        </w:rPr>
        <w:t>Resolución de 14 de septiembre de 2009, de la Dirección General de Coordinación Financiera con las Comunidades Autónomas y con las Entidades Locales, por la que se Dictan Medidas para el Desarrollo de la Orden EHA/3565/2008, de 3 de diciembre, por la que s</w:t>
      </w:r>
      <w:r>
        <w:rPr>
          <w:rFonts w:ascii="Arial" w:eastAsia="Arial" w:hAnsi="Arial" w:cs="Arial"/>
        </w:rPr>
        <w:t>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numPr>
          <w:ilvl w:val="0"/>
          <w:numId w:val="9"/>
        </w:numPr>
        <w:spacing w:after="51" w:line="247" w:lineRule="auto"/>
        <w:ind w:right="244" w:hanging="360"/>
        <w:jc w:val="both"/>
      </w:pPr>
      <w:r>
        <w:rPr>
          <w:rFonts w:ascii="Arial" w:eastAsia="Arial" w:hAnsi="Arial" w:cs="Arial"/>
        </w:rPr>
        <w:t xml:space="preserve">La Disposición Adicional 16.ª del Texto Refundido de la Ley Reguladora de las Haciendas Locales.  </w:t>
      </w:r>
    </w:p>
    <w:p w:rsidR="00FF384B" w:rsidRDefault="003E3BA9">
      <w:pPr>
        <w:numPr>
          <w:ilvl w:val="0"/>
          <w:numId w:val="9"/>
        </w:numPr>
        <w:spacing w:after="53" w:line="247" w:lineRule="auto"/>
        <w:ind w:right="244" w:hanging="360"/>
        <w:jc w:val="both"/>
      </w:pPr>
      <w:r>
        <w:rPr>
          <w:noProof/>
        </w:rPr>
        <mc:AlternateContent>
          <mc:Choice Requires="wpg">
            <w:drawing>
              <wp:anchor distT="0" distB="0" distL="114300" distR="114300" simplePos="0" relativeHeight="2516889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9990" name="Group 43999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8083" name="Picture 8083"/>
                          <pic:cNvPicPr/>
                        </pic:nvPicPr>
                        <pic:blipFill>
                          <a:blip r:embed="rId62"/>
                          <a:stretch>
                            <a:fillRect/>
                          </a:stretch>
                        </pic:blipFill>
                        <pic:spPr>
                          <a:xfrm rot="-5399999">
                            <a:off x="-1720849" y="1720849"/>
                            <a:ext cx="3797300" cy="355601"/>
                          </a:xfrm>
                          <a:prstGeom prst="rect">
                            <a:avLst/>
                          </a:prstGeom>
                        </pic:spPr>
                      </pic:pic>
                      <wps:wsp>
                        <wps:cNvPr id="8084" name="Rectangle 808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8085" name="Rectangle 808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9990" style="width:41.2715pt;height:299pt;position:absolute;mso-position-horizontal-relative:page;mso-position-horizontal:absolute;margin-left:653.71pt;mso-position-vertical-relative:page;margin-top:512.92pt;" coordsize="5241,37973">
                <v:shape id="Picture 8083" style="position:absolute;width:37973;height:3556;left:-17208;top:17208;rotation:-89;" filled="f">
                  <v:imagedata r:id="rId63"/>
                </v:shape>
                <v:rect id="Rectangle 808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808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353 </w:t>
                        </w:r>
                      </w:p>
                    </w:txbxContent>
                  </v:textbox>
                </v:rect>
                <w10:wrap type="square"/>
              </v:group>
            </w:pict>
          </mc:Fallback>
        </mc:AlternateContent>
      </w:r>
      <w:r>
        <w:rPr>
          <w:rFonts w:ascii="Arial" w:eastAsia="Arial" w:hAnsi="Arial" w:cs="Arial"/>
        </w:rPr>
        <w:t>Acuerdo del Congreso de los Diputados del 13 de octubre de 2020, relativo al Objetivo de Estabilidad Presupuestaria, según acuerdo del Consejo de</w:t>
      </w:r>
      <w:r>
        <w:rPr>
          <w:rFonts w:ascii="Arial" w:eastAsia="Arial" w:hAnsi="Arial" w:cs="Arial"/>
        </w:rPr>
        <w:t xml:space="preserve"> Ministros de 6 de octubre de 2020 de “Someter a la deliberación del Pleno, a los efectos previstos en los artículos 135.4 de la Constitución y 11.3 de la Ley Orgánica 2/2012, de 27 de abril, de Estabilidad Presupuestaria y Sostenibilidad Financiera y publ</w:t>
      </w:r>
      <w:r>
        <w:rPr>
          <w:rFonts w:ascii="Arial" w:eastAsia="Arial" w:hAnsi="Arial" w:cs="Arial"/>
        </w:rPr>
        <w:t xml:space="preserve">icar en el Boletín Oficial de las Cortes Generales.”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TERCERO</w:t>
      </w:r>
      <w:r>
        <w:rPr>
          <w:rFonts w:ascii="Arial" w:eastAsia="Arial" w:hAnsi="Arial" w:cs="Arial"/>
        </w:rPr>
        <w:t>: Considerando que el artículo 177 del Real Decreto Legislativo 2/2004, de 5 de marzo, por el que se aprueba el texto refundido de la Ley Reguladora de las Haciendas Locales, regula los expedie</w:t>
      </w:r>
      <w:r>
        <w:rPr>
          <w:rFonts w:ascii="Arial" w:eastAsia="Arial" w:hAnsi="Arial" w:cs="Arial"/>
        </w:rPr>
        <w:t>ntes de modificación presupuestaria mediante créditos extraordinarios y suplementos de crédito, al señalar que:</w:t>
      </w:r>
      <w:r>
        <w:rPr>
          <w:rFonts w:ascii="Times New Roman" w:eastAsia="Times New Roman" w:hAnsi="Times New Roman" w:cs="Times New Roman"/>
          <w:sz w:val="24"/>
        </w:rPr>
        <w:t xml:space="preserve"> </w:t>
      </w:r>
    </w:p>
    <w:p w:rsidR="00FF384B" w:rsidRDefault="003E3BA9">
      <w:pPr>
        <w:numPr>
          <w:ilvl w:val="0"/>
          <w:numId w:val="10"/>
        </w:numPr>
        <w:spacing w:after="5" w:line="247" w:lineRule="auto"/>
        <w:ind w:right="244" w:hanging="360"/>
        <w:jc w:val="both"/>
      </w:pPr>
      <w:r>
        <w:rPr>
          <w:rFonts w:ascii="Arial" w:eastAsia="Arial" w:hAnsi="Arial" w:cs="Arial"/>
        </w:rPr>
        <w:t>Cuando haya de realizarse algún gasto que no pueda demorarse hasta el ejercicio siguiente, y sea insuficiente en el presupuesto de la corporaci</w:t>
      </w:r>
      <w:r>
        <w:rPr>
          <w:rFonts w:ascii="Arial" w:eastAsia="Arial" w:hAnsi="Arial" w:cs="Arial"/>
        </w:rPr>
        <w:t xml:space="preserve">ón el crédito consignado, el presidente de la corporación ordenará la incoación del expediente de suplemento de crédito.  </w:t>
      </w:r>
    </w:p>
    <w:p w:rsidR="00FF384B" w:rsidRDefault="003E3BA9">
      <w:pPr>
        <w:numPr>
          <w:ilvl w:val="0"/>
          <w:numId w:val="10"/>
        </w:numPr>
        <w:spacing w:after="5" w:line="247" w:lineRule="auto"/>
        <w:ind w:right="244" w:hanging="360"/>
        <w:jc w:val="both"/>
      </w:pPr>
      <w:r>
        <w:rPr>
          <w:rFonts w:ascii="Arial" w:eastAsia="Arial" w:hAnsi="Arial" w:cs="Arial"/>
        </w:rPr>
        <w:t>El expediente, que habrá de ser previamente informado por la Intervención, se someterá a la aprobación del Pleno de la corporación, c</w:t>
      </w:r>
      <w:r>
        <w:rPr>
          <w:rFonts w:ascii="Arial" w:eastAsia="Arial" w:hAnsi="Arial" w:cs="Arial"/>
        </w:rPr>
        <w:t xml:space="preserve">on sujeción a los mismos trámites y requisitos que los presupuestos. Serán asimismo, de aplicación, las normas sobre información, reclamación y publicidad de los presupuestos a que se refiere el artículo 169 de esta ley.  </w:t>
      </w:r>
    </w:p>
    <w:p w:rsidR="00FF384B" w:rsidRDefault="003E3BA9">
      <w:pPr>
        <w:numPr>
          <w:ilvl w:val="0"/>
          <w:numId w:val="10"/>
        </w:numPr>
        <w:spacing w:after="44" w:line="247" w:lineRule="auto"/>
        <w:ind w:right="244" w:hanging="360"/>
        <w:jc w:val="both"/>
      </w:pPr>
      <w:r>
        <w:rPr>
          <w:rFonts w:ascii="Arial" w:eastAsia="Arial" w:hAnsi="Arial" w:cs="Arial"/>
        </w:rPr>
        <w:t xml:space="preserve">El expediente deberá especificar la concreta partida presupuestaria a incrementar y el medio o recurso que ha de financiar el aumento que se propone. </w:t>
      </w:r>
    </w:p>
    <w:p w:rsidR="00FF384B" w:rsidRDefault="003E3BA9">
      <w:pPr>
        <w:numPr>
          <w:ilvl w:val="0"/>
          <w:numId w:val="10"/>
        </w:numPr>
        <w:spacing w:after="5" w:line="247" w:lineRule="auto"/>
        <w:ind w:right="244" w:hanging="360"/>
        <w:jc w:val="both"/>
      </w:pPr>
      <w:r>
        <w:rPr>
          <w:rFonts w:ascii="Arial" w:eastAsia="Arial" w:hAnsi="Arial" w:cs="Arial"/>
        </w:rPr>
        <w:t>Dicho aumento se financiará con cargo al remanente líquido de tesorería, con nuevos o mayores ingresos re</w:t>
      </w:r>
      <w:r>
        <w:rPr>
          <w:rFonts w:ascii="Arial" w:eastAsia="Arial" w:hAnsi="Arial" w:cs="Arial"/>
        </w:rPr>
        <w:t>caudados sobre los totales previstos en el presupuesto corriente, y mediante anulaciones o bajas de créditos de gastos de otras partidas del presupuesto vigente no comprometidos, cuyas dotaciones se estimen reducibles sin perturbación del respectivo servic</w:t>
      </w:r>
      <w:r>
        <w:rPr>
          <w:rFonts w:ascii="Arial" w:eastAsia="Arial" w:hAnsi="Arial" w:cs="Arial"/>
        </w:rPr>
        <w:t xml:space="preserve">io. En el expediente se acreditará que los ingresos previstos en el presupuesto vengan efectuándose con normalidad, salvo que aquéllos tengan carácter finalista.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 xml:space="preserve">CUARTO. </w:t>
      </w:r>
      <w:r>
        <w:rPr>
          <w:rFonts w:ascii="Arial" w:eastAsia="Arial" w:hAnsi="Arial" w:cs="Arial"/>
        </w:rPr>
        <w:t>Que el expediente de modificación presupuestaria nº 3519/2021, por Suplemento de C</w:t>
      </w:r>
      <w:r>
        <w:rPr>
          <w:rFonts w:ascii="Arial" w:eastAsia="Arial" w:hAnsi="Arial" w:cs="Arial"/>
        </w:rPr>
        <w:t xml:space="preserve">réditos financiado con remanente de tesorería para gastos generales, se realizará por la cantidad de </w:t>
      </w:r>
      <w:r>
        <w:rPr>
          <w:rFonts w:ascii="Arial" w:eastAsia="Arial" w:hAnsi="Arial" w:cs="Arial"/>
          <w:b/>
        </w:rPr>
        <w:t>471.000,63 Euros</w:t>
      </w:r>
      <w:r>
        <w:rPr>
          <w:rFonts w:ascii="Arial" w:eastAsia="Arial" w:hAnsi="Arial" w:cs="Arial"/>
        </w:rPr>
        <w:t>, según el siguiente detalle: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899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7701" name="Group 4877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8445" name="Picture 8445"/>
                          <pic:cNvPicPr/>
                        </pic:nvPicPr>
                        <pic:blipFill>
                          <a:blip r:embed="rId62"/>
                          <a:stretch>
                            <a:fillRect/>
                          </a:stretch>
                        </pic:blipFill>
                        <pic:spPr>
                          <a:xfrm rot="-5399999">
                            <a:off x="-1720849" y="1720849"/>
                            <a:ext cx="3797300" cy="355601"/>
                          </a:xfrm>
                          <a:prstGeom prst="rect">
                            <a:avLst/>
                          </a:prstGeom>
                        </pic:spPr>
                      </pic:pic>
                      <wps:wsp>
                        <wps:cNvPr id="8446" name="Rectangle 844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8447" name="Rectangle 844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7701" style="width:41.2715pt;height:299pt;position:absolute;mso-position-horizontal-relative:page;mso-position-horizontal:absolute;margin-left:653.71pt;mso-position-vertical-relative:page;margin-top:512.92pt;" coordsize="5241,37973">
                <v:shape id="Picture 8445" style="position:absolute;width:37973;height:3556;left:-17208;top:17208;rotation:-89;" filled="f">
                  <v:imagedata r:id="rId63"/>
                </v:shape>
                <v:rect id="Rectangle 844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844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353 </w:t>
                        </w:r>
                      </w:p>
                    </w:txbxContent>
                  </v:textbox>
                </v:rect>
                <w10:wrap type="square"/>
              </v:group>
            </w:pict>
          </mc:Fallback>
        </mc:AlternateContent>
      </w:r>
      <w:r>
        <w:rPr>
          <w:rFonts w:ascii="Arial" w:eastAsia="Arial" w:hAnsi="Arial" w:cs="Arial"/>
        </w:rPr>
        <w:t xml:space="preserve"> </w:t>
      </w:r>
    </w:p>
    <w:tbl>
      <w:tblPr>
        <w:tblStyle w:val="TableGrid"/>
        <w:tblW w:w="8358" w:type="dxa"/>
        <w:tblInd w:w="364" w:type="dxa"/>
        <w:tblCellMar>
          <w:top w:w="9" w:type="dxa"/>
          <w:left w:w="71" w:type="dxa"/>
          <w:bottom w:w="6" w:type="dxa"/>
          <w:right w:w="7" w:type="dxa"/>
        </w:tblCellMar>
        <w:tblLook w:val="04A0" w:firstRow="1" w:lastRow="0" w:firstColumn="1" w:lastColumn="0" w:noHBand="0" w:noVBand="1"/>
      </w:tblPr>
      <w:tblGrid>
        <w:gridCol w:w="1598"/>
        <w:gridCol w:w="1201"/>
        <w:gridCol w:w="3999"/>
        <w:gridCol w:w="1561"/>
      </w:tblGrid>
      <w:tr w:rsidR="00FF384B">
        <w:trPr>
          <w:trHeight w:val="307"/>
        </w:trPr>
        <w:tc>
          <w:tcPr>
            <w:tcW w:w="159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b/>
              </w:rPr>
              <w:t xml:space="preserve">Aplicación </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Proyecto </w:t>
            </w:r>
          </w:p>
        </w:tc>
        <w:tc>
          <w:tcPr>
            <w:tcW w:w="399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Denominación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center"/>
            </w:pPr>
            <w:r>
              <w:rPr>
                <w:rFonts w:ascii="Arial" w:eastAsia="Arial" w:hAnsi="Arial" w:cs="Arial"/>
                <w:b/>
              </w:rPr>
              <w:t xml:space="preserve">Importe </w:t>
            </w:r>
          </w:p>
        </w:tc>
      </w:tr>
      <w:tr w:rsidR="00FF384B">
        <w:trPr>
          <w:trHeight w:val="518"/>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13500.62300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9.255,21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34100.21200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R.M.C. edificios y otras construcciones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14.204,12 </w:t>
            </w:r>
          </w:p>
        </w:tc>
      </w:tr>
      <w:tr w:rsidR="00FF384B">
        <w:trPr>
          <w:trHeight w:val="516"/>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34100.22710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Trabajos realizados por otras empresas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16.450,49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45900.62400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384.429,18 </w:t>
            </w:r>
          </w:p>
        </w:tc>
      </w:tr>
      <w:tr w:rsidR="00FF384B">
        <w:trPr>
          <w:trHeight w:val="518"/>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49200.62300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46.661,63 </w:t>
            </w:r>
          </w:p>
        </w:tc>
      </w:tr>
      <w:tr w:rsidR="00FF384B">
        <w:trPr>
          <w:trHeight w:val="308"/>
        </w:trPr>
        <w:tc>
          <w:tcPr>
            <w:tcW w:w="1598" w:type="dxa"/>
            <w:tcBorders>
              <w:top w:val="single" w:sz="4" w:space="0" w:color="000000"/>
              <w:left w:val="single" w:sz="4" w:space="0" w:color="000000"/>
              <w:bottom w:val="single" w:sz="4" w:space="0" w:color="000000"/>
              <w:right w:val="nil"/>
            </w:tcBorders>
            <w:shd w:val="clear" w:color="auto" w:fill="D9D9D9"/>
          </w:tcPr>
          <w:p w:rsidR="00FF384B" w:rsidRDefault="00FF384B"/>
        </w:tc>
        <w:tc>
          <w:tcPr>
            <w:tcW w:w="1201" w:type="dxa"/>
            <w:tcBorders>
              <w:top w:val="single" w:sz="4" w:space="0" w:color="000000"/>
              <w:left w:val="nil"/>
              <w:bottom w:val="single" w:sz="4" w:space="0" w:color="000000"/>
              <w:right w:val="nil"/>
            </w:tcBorders>
            <w:shd w:val="clear" w:color="auto" w:fill="D9D9D9"/>
          </w:tcPr>
          <w:p w:rsidR="00FF384B" w:rsidRDefault="00FF384B"/>
        </w:tc>
        <w:tc>
          <w:tcPr>
            <w:tcW w:w="3999" w:type="dxa"/>
            <w:tcBorders>
              <w:top w:val="single" w:sz="4" w:space="0" w:color="000000"/>
              <w:left w:val="nil"/>
              <w:bottom w:val="single" w:sz="4" w:space="0" w:color="000000"/>
              <w:right w:val="single" w:sz="4" w:space="0" w:color="000000"/>
            </w:tcBorders>
            <w:shd w:val="clear" w:color="auto" w:fill="D9D9D9"/>
          </w:tcPr>
          <w:p w:rsidR="00FF384B" w:rsidRDefault="003E3BA9">
            <w:pPr>
              <w:spacing w:after="0"/>
              <w:ind w:left="274"/>
            </w:pPr>
            <w:r>
              <w:rPr>
                <w:rFonts w:ascii="Arial" w:eastAsia="Arial" w:hAnsi="Arial" w:cs="Arial"/>
                <w:b/>
              </w:rPr>
              <w:t xml:space="preserve">Total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right"/>
            </w:pPr>
            <w:r>
              <w:rPr>
                <w:rFonts w:ascii="Arial" w:eastAsia="Arial" w:hAnsi="Arial" w:cs="Arial"/>
                <w:b/>
              </w:rPr>
              <w:t xml:space="preserve">471.000,63 </w:t>
            </w:r>
          </w:p>
        </w:tc>
      </w:tr>
    </w:tbl>
    <w:p w:rsidR="00FF384B" w:rsidRDefault="003E3BA9">
      <w:pPr>
        <w:spacing w:after="5" w:line="247" w:lineRule="auto"/>
        <w:ind w:left="278" w:right="244" w:hanging="10"/>
        <w:jc w:val="both"/>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Este Concejal Delegado de Hacienda, PROPONE al Pleno la adopción del siguiente ACUERDO: </w:t>
      </w:r>
    </w:p>
    <w:p w:rsidR="00FF384B" w:rsidRDefault="003E3BA9">
      <w:pPr>
        <w:spacing w:after="0"/>
        <w:ind w:left="283"/>
      </w:pPr>
      <w:r>
        <w:rPr>
          <w:rFonts w:ascii="Arial" w:eastAsia="Arial" w:hAnsi="Arial" w:cs="Arial"/>
          <w:b/>
        </w:rPr>
        <w:t xml:space="preserve"> </w:t>
      </w:r>
    </w:p>
    <w:p w:rsidR="00FF384B" w:rsidRDefault="003E3BA9">
      <w:pPr>
        <w:spacing w:after="1" w:line="239" w:lineRule="auto"/>
        <w:ind w:left="278" w:right="162" w:hanging="10"/>
      </w:pPr>
      <w:r>
        <w:rPr>
          <w:rFonts w:ascii="Arial" w:eastAsia="Arial" w:hAnsi="Arial" w:cs="Arial"/>
          <w:b/>
        </w:rPr>
        <w:t xml:space="preserve">PRIMERO. - </w:t>
      </w:r>
      <w:r>
        <w:rPr>
          <w:rFonts w:ascii="Arial" w:eastAsia="Arial" w:hAnsi="Arial" w:cs="Arial"/>
        </w:rPr>
        <w:t xml:space="preserve">Aprobar expediente de modificación presupuestaria nº 3519/2021, por Suplemento de Créditos financiado con remanente de tesorería para gastos generales, se realizará por la cantidad de </w:t>
      </w:r>
      <w:r>
        <w:rPr>
          <w:rFonts w:ascii="Arial" w:eastAsia="Arial" w:hAnsi="Arial" w:cs="Arial"/>
          <w:b/>
        </w:rPr>
        <w:t>471.000,63 Euros</w:t>
      </w:r>
      <w:r>
        <w:rPr>
          <w:rFonts w:ascii="Arial" w:eastAsia="Arial" w:hAnsi="Arial" w:cs="Arial"/>
        </w:rPr>
        <w:t>, según el siguiente detalle: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tbl>
      <w:tblPr>
        <w:tblStyle w:val="TableGrid"/>
        <w:tblW w:w="8358" w:type="dxa"/>
        <w:tblInd w:w="364" w:type="dxa"/>
        <w:tblCellMar>
          <w:top w:w="9" w:type="dxa"/>
          <w:left w:w="70" w:type="dxa"/>
          <w:bottom w:w="6" w:type="dxa"/>
          <w:right w:w="7" w:type="dxa"/>
        </w:tblCellMar>
        <w:tblLook w:val="04A0" w:firstRow="1" w:lastRow="0" w:firstColumn="1" w:lastColumn="0" w:noHBand="0" w:noVBand="1"/>
      </w:tblPr>
      <w:tblGrid>
        <w:gridCol w:w="1598"/>
        <w:gridCol w:w="1201"/>
        <w:gridCol w:w="3999"/>
        <w:gridCol w:w="1561"/>
      </w:tblGrid>
      <w:tr w:rsidR="00FF384B">
        <w:trPr>
          <w:trHeight w:val="307"/>
        </w:trPr>
        <w:tc>
          <w:tcPr>
            <w:tcW w:w="159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b/>
              </w:rPr>
              <w:t xml:space="preserve">Aplicación </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Proyecto </w:t>
            </w:r>
          </w:p>
        </w:tc>
        <w:tc>
          <w:tcPr>
            <w:tcW w:w="399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Denominación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center"/>
            </w:pPr>
            <w:r>
              <w:rPr>
                <w:rFonts w:ascii="Arial" w:eastAsia="Arial" w:hAnsi="Arial" w:cs="Arial"/>
                <w:b/>
              </w:rPr>
              <w:t xml:space="preserve">Importe </w:t>
            </w:r>
          </w:p>
        </w:tc>
      </w:tr>
      <w:tr w:rsidR="00FF384B">
        <w:trPr>
          <w:trHeight w:val="517"/>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13500.62300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9.255,21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34100.21200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R.M.C. edificios y otras construcciones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14.204,12 </w:t>
            </w:r>
          </w:p>
        </w:tc>
      </w:tr>
      <w:tr w:rsidR="00FF384B">
        <w:trPr>
          <w:trHeight w:val="516"/>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34100.22710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Trabajos realizados por otras empresas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16.450,49 </w:t>
            </w:r>
          </w:p>
        </w:tc>
      </w:tr>
      <w:tr w:rsidR="00FF384B">
        <w:trPr>
          <w:trHeight w:val="305"/>
        </w:trPr>
        <w:tc>
          <w:tcPr>
            <w:tcW w:w="1598" w:type="dxa"/>
            <w:tcBorders>
              <w:top w:val="nil"/>
              <w:left w:val="single" w:sz="4" w:space="0" w:color="000000"/>
              <w:bottom w:val="single" w:sz="4" w:space="0" w:color="000000"/>
              <w:right w:val="single" w:sz="4" w:space="0" w:color="000000"/>
            </w:tcBorders>
          </w:tcPr>
          <w:p w:rsidR="00FF384B" w:rsidRDefault="003E3BA9">
            <w:pPr>
              <w:spacing w:after="0"/>
              <w:ind w:left="85"/>
            </w:pPr>
            <w:r>
              <w:rPr>
                <w:rFonts w:ascii="Arial" w:eastAsia="Arial" w:hAnsi="Arial" w:cs="Arial"/>
              </w:rPr>
              <w:t xml:space="preserve">45900.62400 </w:t>
            </w:r>
          </w:p>
        </w:tc>
        <w:tc>
          <w:tcPr>
            <w:tcW w:w="1201"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561" w:type="dxa"/>
            <w:tcBorders>
              <w:top w:val="nil"/>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384.429,18 </w:t>
            </w:r>
          </w:p>
        </w:tc>
      </w:tr>
      <w:tr w:rsidR="00FF384B">
        <w:trPr>
          <w:trHeight w:val="517"/>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5"/>
            </w:pPr>
            <w:r>
              <w:rPr>
                <w:rFonts w:ascii="Arial" w:eastAsia="Arial" w:hAnsi="Arial" w:cs="Arial"/>
              </w:rPr>
              <w:t xml:space="preserve">49200.62300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46.661,63 </w:t>
            </w:r>
          </w:p>
        </w:tc>
      </w:tr>
      <w:tr w:rsidR="00FF384B">
        <w:trPr>
          <w:trHeight w:val="308"/>
        </w:trPr>
        <w:tc>
          <w:tcPr>
            <w:tcW w:w="1598" w:type="dxa"/>
            <w:tcBorders>
              <w:top w:val="single" w:sz="4" w:space="0" w:color="000000"/>
              <w:left w:val="single" w:sz="4" w:space="0" w:color="000000"/>
              <w:bottom w:val="single" w:sz="4" w:space="0" w:color="000000"/>
              <w:right w:val="nil"/>
            </w:tcBorders>
            <w:shd w:val="clear" w:color="auto" w:fill="D9D9D9"/>
          </w:tcPr>
          <w:p w:rsidR="00FF384B" w:rsidRDefault="00FF384B"/>
        </w:tc>
        <w:tc>
          <w:tcPr>
            <w:tcW w:w="1201" w:type="dxa"/>
            <w:tcBorders>
              <w:top w:val="single" w:sz="4" w:space="0" w:color="000000"/>
              <w:left w:val="nil"/>
              <w:bottom w:val="single" w:sz="4" w:space="0" w:color="000000"/>
              <w:right w:val="nil"/>
            </w:tcBorders>
            <w:shd w:val="clear" w:color="auto" w:fill="D9D9D9"/>
          </w:tcPr>
          <w:p w:rsidR="00FF384B" w:rsidRDefault="00FF384B"/>
        </w:tc>
        <w:tc>
          <w:tcPr>
            <w:tcW w:w="3999" w:type="dxa"/>
            <w:tcBorders>
              <w:top w:val="single" w:sz="4" w:space="0" w:color="000000"/>
              <w:left w:val="nil"/>
              <w:bottom w:val="single" w:sz="4" w:space="0" w:color="000000"/>
              <w:right w:val="single" w:sz="4" w:space="0" w:color="000000"/>
            </w:tcBorders>
            <w:shd w:val="clear" w:color="auto" w:fill="D9D9D9"/>
          </w:tcPr>
          <w:p w:rsidR="00FF384B" w:rsidRDefault="003E3BA9">
            <w:pPr>
              <w:spacing w:after="0"/>
              <w:ind w:left="274"/>
            </w:pPr>
            <w:r>
              <w:rPr>
                <w:rFonts w:ascii="Arial" w:eastAsia="Arial" w:hAnsi="Arial" w:cs="Arial"/>
                <w:b/>
              </w:rPr>
              <w:t xml:space="preserve">Total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right"/>
            </w:pPr>
            <w:r>
              <w:rPr>
                <w:rFonts w:ascii="Arial" w:eastAsia="Arial" w:hAnsi="Arial" w:cs="Arial"/>
                <w:b/>
              </w:rPr>
              <w:t xml:space="preserve">471.000,63 </w:t>
            </w:r>
          </w:p>
        </w:tc>
      </w:tr>
    </w:tbl>
    <w:p w:rsidR="00FF384B" w:rsidRDefault="003E3BA9">
      <w:pPr>
        <w:spacing w:after="98"/>
        <w:ind w:left="283"/>
      </w:pPr>
      <w:r>
        <w:rPr>
          <w:rFonts w:ascii="Arial" w:eastAsia="Arial" w:hAnsi="Arial" w:cs="Arial"/>
          <w:b/>
        </w:rPr>
        <w:t xml:space="preserve"> </w:t>
      </w:r>
    </w:p>
    <w:p w:rsidR="00FF384B" w:rsidRDefault="003E3BA9">
      <w:pPr>
        <w:spacing w:after="1" w:line="239" w:lineRule="auto"/>
        <w:ind w:left="278" w:right="162" w:hanging="10"/>
      </w:pPr>
      <w:r>
        <w:rPr>
          <w:rFonts w:ascii="Arial" w:eastAsia="Arial" w:hAnsi="Arial" w:cs="Arial"/>
          <w:b/>
        </w:rPr>
        <w:t>SEGUNDO. -</w:t>
      </w:r>
      <w:r>
        <w:rPr>
          <w:rFonts w:ascii="Arial" w:eastAsia="Arial" w:hAnsi="Arial" w:cs="Arial"/>
        </w:rPr>
        <w:t xml:space="preserve"> </w:t>
      </w:r>
      <w:r>
        <w:rPr>
          <w:rFonts w:ascii="Arial" w:eastAsia="Arial" w:hAnsi="Arial" w:cs="Arial"/>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r>
        <w:rPr>
          <w:rFonts w:ascii="Arial" w:eastAsia="Arial" w:hAnsi="Arial" w:cs="Arial"/>
        </w:rPr>
        <w:tab/>
        <w:t xml:space="preserve"> </w:t>
      </w:r>
    </w:p>
    <w:p w:rsidR="00FF384B" w:rsidRDefault="003E3BA9">
      <w:pPr>
        <w:spacing w:after="5" w:line="247" w:lineRule="auto"/>
        <w:ind w:left="278" w:right="244" w:hanging="10"/>
        <w:jc w:val="both"/>
      </w:pPr>
      <w:r>
        <w:rPr>
          <w:rFonts w:ascii="Arial" w:eastAsia="Arial" w:hAnsi="Arial" w:cs="Arial"/>
          <w:b/>
        </w:rPr>
        <w:t xml:space="preserve">TERCERO. - </w:t>
      </w:r>
      <w:r>
        <w:rPr>
          <w:rFonts w:ascii="Arial" w:eastAsia="Arial" w:hAnsi="Arial" w:cs="Arial"/>
        </w:rPr>
        <w:t>El expediente se considerará def</w:t>
      </w:r>
      <w:r>
        <w:rPr>
          <w:rFonts w:ascii="Arial" w:eastAsia="Arial" w:hAnsi="Arial" w:cs="Arial"/>
        </w:rPr>
        <w:t>initivamente aprobado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0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DICTAMEN FAVORABLE DE LA COMISIÓN INFORMATIVA DE HACIENDA, RECURSOS HUMANOS Y SERVICIOS GENERALES DE 26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Votos a favor: 4. </w:t>
      </w:r>
    </w:p>
    <w:p w:rsidR="00FF384B" w:rsidRDefault="003E3BA9">
      <w:pPr>
        <w:spacing w:after="5" w:line="247" w:lineRule="auto"/>
        <w:ind w:left="278" w:right="244" w:hanging="10"/>
        <w:jc w:val="both"/>
      </w:pPr>
      <w:r>
        <w:rPr>
          <w:rFonts w:ascii="Arial" w:eastAsia="Arial" w:hAnsi="Arial" w:cs="Arial"/>
        </w:rPr>
        <w:t>4 concejales del Grupo Socialista: Don Airam Pérez Chinea, Don José Francisco Pinto Ramos, Don Olegario Fran</w:t>
      </w:r>
      <w:r>
        <w:rPr>
          <w:rFonts w:ascii="Arial" w:eastAsia="Arial" w:hAnsi="Arial" w:cs="Arial"/>
        </w:rPr>
        <w:t xml:space="preserve">cisco Alonso Bello y Don Jorge Baute Delgado.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910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7967" name="Group 43796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8614" name="Picture 8614"/>
                          <pic:cNvPicPr/>
                        </pic:nvPicPr>
                        <pic:blipFill>
                          <a:blip r:embed="rId62"/>
                          <a:stretch>
                            <a:fillRect/>
                          </a:stretch>
                        </pic:blipFill>
                        <pic:spPr>
                          <a:xfrm rot="-5399999">
                            <a:off x="-1720849" y="1720849"/>
                            <a:ext cx="3797300" cy="355601"/>
                          </a:xfrm>
                          <a:prstGeom prst="rect">
                            <a:avLst/>
                          </a:prstGeom>
                        </pic:spPr>
                      </pic:pic>
                      <wps:wsp>
                        <wps:cNvPr id="8615" name="Rectangle 861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8616" name="Rectangle 861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7967" style="width:41.2715pt;height:299pt;position:absolute;mso-position-horizontal-relative:page;mso-position-horizontal:absolute;margin-left:653.71pt;mso-position-vertical-relative:page;margin-top:512.92pt;" coordsize="5241,37973">
                <v:shape id="Picture 8614" style="position:absolute;width:37973;height:3556;left:-17208;top:17208;rotation:-89;" filled="f">
                  <v:imagedata r:id="rId63"/>
                </v:shape>
                <v:rect id="Rectangle 861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861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353 </w:t>
                        </w:r>
                      </w:p>
                    </w:txbxContent>
                  </v:textbox>
                </v:rect>
                <w10:wrap type="square"/>
              </v:group>
            </w:pict>
          </mc:Fallback>
        </mc:AlternateContent>
      </w:r>
      <w:r>
        <w:rPr>
          <w:rFonts w:ascii="Arial" w:eastAsia="Arial" w:hAnsi="Arial" w:cs="Arial"/>
        </w:rPr>
        <w:t xml:space="preserve">Votos en contra: 0.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Abstenciones: 3. </w:t>
      </w:r>
    </w:p>
    <w:p w:rsidR="00FF384B" w:rsidRDefault="003E3BA9">
      <w:pPr>
        <w:numPr>
          <w:ilvl w:val="0"/>
          <w:numId w:val="11"/>
        </w:numPr>
        <w:spacing w:after="5" w:line="247" w:lineRule="auto"/>
        <w:ind w:right="244" w:hanging="184"/>
        <w:jc w:val="both"/>
      </w:pPr>
      <w:r>
        <w:rPr>
          <w:rFonts w:ascii="Arial" w:eastAsia="Arial" w:hAnsi="Arial" w:cs="Arial"/>
        </w:rPr>
        <w:t xml:space="preserve">de la concejal del Grupo Popular, Doña Raquel Martín Castro. </w:t>
      </w:r>
    </w:p>
    <w:p w:rsidR="00FF384B" w:rsidRDefault="003E3BA9">
      <w:pPr>
        <w:numPr>
          <w:ilvl w:val="0"/>
          <w:numId w:val="11"/>
        </w:numPr>
        <w:spacing w:after="5" w:line="247" w:lineRule="auto"/>
        <w:ind w:right="244" w:hanging="184"/>
        <w:jc w:val="both"/>
      </w:pPr>
      <w:r>
        <w:rPr>
          <w:rFonts w:ascii="Arial" w:eastAsia="Arial" w:hAnsi="Arial" w:cs="Arial"/>
        </w:rPr>
        <w:t xml:space="preserve">de las concejales del Grupo Mixto: Lourdes del Carmen Mondéjar Rondón y Doña Ángela Cruz Perera.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JUNTA DE PORTAVOCES DE 26 DE ABRIL DE 2021.  </w:t>
      </w:r>
    </w:p>
    <w:p w:rsidR="00FF384B" w:rsidRDefault="003E3BA9">
      <w:pPr>
        <w:spacing w:after="5" w:line="247" w:lineRule="auto"/>
        <w:ind w:left="278" w:right="244" w:hanging="10"/>
        <w:jc w:val="both"/>
      </w:pPr>
      <w:r>
        <w:rPr>
          <w:rFonts w:ascii="Arial" w:eastAsia="Arial" w:hAnsi="Arial" w:cs="Arial"/>
        </w:rPr>
        <w:t xml:space="preserve">Quedó oída.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VOTACIÓN EN EL PLENO DE 29 DE ABRIL DE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1001" w:right="244" w:hanging="10"/>
        <w:jc w:val="both"/>
      </w:pPr>
      <w:r>
        <w:rPr>
          <w:rFonts w:ascii="Arial" w:eastAsia="Arial" w:hAnsi="Arial" w:cs="Arial"/>
        </w:rPr>
        <w:t xml:space="preserve">Votos a favor: 14. </w:t>
      </w:r>
    </w:p>
    <w:p w:rsidR="00FF384B" w:rsidRDefault="003E3BA9">
      <w:pPr>
        <w:spacing w:after="114" w:line="247" w:lineRule="auto"/>
        <w:ind w:left="268" w:right="24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w:t>
      </w:r>
      <w:r>
        <w:rPr>
          <w:rFonts w:ascii="Arial" w:eastAsia="Arial" w:hAnsi="Arial" w:cs="Arial"/>
        </w:rPr>
        <w:t xml:space="preserve">ria Cecilia Otazo González, Don Airam Pérez Chinea, Doña Margarita Eva Tendero Barroso, Don Manuel Alberto González Pestano, Doña María del Carmen Clemente Díaz, Don Olegario Francisco Alonso Bello y Don Reinaldo José Triviño Blanco. </w:t>
      </w:r>
    </w:p>
    <w:p w:rsidR="00FF384B" w:rsidRDefault="003E3BA9">
      <w:pPr>
        <w:spacing w:after="5" w:line="247" w:lineRule="auto"/>
        <w:ind w:left="268" w:right="244" w:firstLine="708"/>
        <w:jc w:val="both"/>
      </w:pPr>
      <w:r>
        <w:rPr>
          <w:rFonts w:ascii="Arial" w:eastAsia="Arial" w:hAnsi="Arial" w:cs="Arial"/>
        </w:rPr>
        <w:t>2 concejales del Grup</w:t>
      </w:r>
      <w:r>
        <w:rPr>
          <w:rFonts w:ascii="Arial" w:eastAsia="Arial" w:hAnsi="Arial" w:cs="Arial"/>
        </w:rPr>
        <w:t xml:space="preserve">o Popular: Don Andrés Rodríguez Delgado y Don Jacobo López Fariña. </w:t>
      </w:r>
    </w:p>
    <w:p w:rsidR="00FF384B" w:rsidRDefault="003E3BA9">
      <w:pPr>
        <w:numPr>
          <w:ilvl w:val="1"/>
          <w:numId w:val="12"/>
        </w:numPr>
        <w:spacing w:after="111" w:line="247" w:lineRule="auto"/>
        <w:ind w:right="244" w:firstLine="708"/>
        <w:jc w:val="both"/>
      </w:pPr>
      <w:r>
        <w:rPr>
          <w:rFonts w:ascii="Arial" w:eastAsia="Arial" w:hAnsi="Arial" w:cs="Arial"/>
        </w:rPr>
        <w:t xml:space="preserve">de la concejal del Grupo Mixto, Doña Ángela Cruz Perera (CC-PNC). </w:t>
      </w:r>
    </w:p>
    <w:p w:rsidR="00FF384B" w:rsidRDefault="003E3BA9">
      <w:pPr>
        <w:spacing w:after="98"/>
        <w:ind w:left="283"/>
      </w:pPr>
      <w:r>
        <w:rPr>
          <w:rFonts w:ascii="Arial" w:eastAsia="Arial" w:hAnsi="Arial" w:cs="Arial"/>
        </w:rPr>
        <w:t xml:space="preserve"> </w:t>
      </w:r>
    </w:p>
    <w:p w:rsidR="00FF384B" w:rsidRDefault="003E3BA9">
      <w:pPr>
        <w:spacing w:after="109" w:line="247" w:lineRule="auto"/>
        <w:ind w:left="1001" w:right="244" w:hanging="10"/>
        <w:jc w:val="both"/>
      </w:pPr>
      <w:r>
        <w:rPr>
          <w:rFonts w:ascii="Arial" w:eastAsia="Arial" w:hAnsi="Arial" w:cs="Arial"/>
        </w:rPr>
        <w:t xml:space="preserve">Votos en contra: 2. </w:t>
      </w:r>
    </w:p>
    <w:p w:rsidR="00FF384B" w:rsidRDefault="003E3BA9">
      <w:pPr>
        <w:numPr>
          <w:ilvl w:val="1"/>
          <w:numId w:val="12"/>
        </w:numPr>
        <w:spacing w:after="111" w:line="247" w:lineRule="auto"/>
        <w:ind w:right="244" w:firstLine="708"/>
        <w:jc w:val="both"/>
      </w:pPr>
      <w:r>
        <w:rPr>
          <w:rFonts w:ascii="Arial" w:eastAsia="Arial" w:hAnsi="Arial" w:cs="Arial"/>
        </w:rPr>
        <w:t>concejales del Grupo Mixto (SSP), Don Antonio Delgado García y Lourdes del Carmen Mondéjar Rondón.</w:t>
      </w:r>
      <w:r>
        <w:rPr>
          <w:rFonts w:ascii="Arial" w:eastAsia="Arial" w:hAnsi="Arial" w:cs="Arial"/>
        </w:rPr>
        <w:t xml:space="preserve"> </w:t>
      </w:r>
    </w:p>
    <w:p w:rsidR="00FF384B" w:rsidRDefault="003E3BA9">
      <w:pPr>
        <w:spacing w:after="101"/>
        <w:ind w:left="991"/>
      </w:pPr>
      <w:r>
        <w:rPr>
          <w:rFonts w:ascii="Arial" w:eastAsia="Arial" w:hAnsi="Arial" w:cs="Arial"/>
        </w:rPr>
        <w:t xml:space="preserve"> </w:t>
      </w:r>
    </w:p>
    <w:p w:rsidR="00FF384B" w:rsidRDefault="003E3BA9">
      <w:pPr>
        <w:spacing w:after="109" w:line="247" w:lineRule="auto"/>
        <w:ind w:left="1001" w:right="244" w:hanging="10"/>
        <w:jc w:val="both"/>
      </w:pPr>
      <w:r>
        <w:rPr>
          <w:rFonts w:ascii="Arial" w:eastAsia="Arial" w:hAnsi="Arial" w:cs="Arial"/>
        </w:rPr>
        <w:t xml:space="preserve">Abstenciones: 1. </w:t>
      </w:r>
    </w:p>
    <w:p w:rsidR="00FF384B" w:rsidRDefault="003E3BA9">
      <w:pPr>
        <w:spacing w:after="111" w:line="247" w:lineRule="auto"/>
        <w:ind w:left="1001" w:right="244" w:hanging="10"/>
        <w:jc w:val="both"/>
      </w:pPr>
      <w:r>
        <w:rPr>
          <w:rFonts w:ascii="Arial" w:eastAsia="Arial" w:hAnsi="Arial" w:cs="Arial"/>
        </w:rPr>
        <w:t xml:space="preserve">1 del concejal del Grupo Mixto (VxC), Don José Fernando Gómez Martín.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994" w:hanging="3"/>
        <w:jc w:val="both"/>
      </w:pPr>
      <w:r>
        <w:rPr>
          <w:rFonts w:ascii="Arial" w:eastAsia="Arial" w:hAnsi="Arial" w:cs="Arial"/>
          <w:b/>
        </w:rPr>
        <w:t xml:space="preserve">   ACUERDO DEL PLENO DE 29 DE ABRIL DE 2021. </w:t>
      </w:r>
    </w:p>
    <w:p w:rsidR="00FF384B" w:rsidRDefault="003E3BA9">
      <w:pPr>
        <w:spacing w:after="0"/>
        <w:ind w:left="283"/>
      </w:pPr>
      <w:r>
        <w:rPr>
          <w:rFonts w:ascii="Arial" w:eastAsia="Arial" w:hAnsi="Arial" w:cs="Arial"/>
          <w:b/>
        </w:rPr>
        <w:t xml:space="preserve"> </w:t>
      </w:r>
    </w:p>
    <w:p w:rsidR="00FF384B" w:rsidRDefault="003E3BA9">
      <w:pPr>
        <w:spacing w:after="1" w:line="239" w:lineRule="auto"/>
        <w:ind w:left="278" w:right="162" w:hanging="10"/>
      </w:pPr>
      <w:r>
        <w:rPr>
          <w:rFonts w:ascii="Arial" w:eastAsia="Arial" w:hAnsi="Arial" w:cs="Arial"/>
          <w:b/>
        </w:rPr>
        <w:t xml:space="preserve">PRIMERO. - </w:t>
      </w:r>
      <w:r>
        <w:rPr>
          <w:rFonts w:ascii="Arial" w:eastAsia="Arial" w:hAnsi="Arial" w:cs="Arial"/>
        </w:rPr>
        <w:t>Aprobar expediente de modificación presupuestaria nº 3519/2021, por Suplemento de Créditos financiad</w:t>
      </w:r>
      <w:r>
        <w:rPr>
          <w:rFonts w:ascii="Arial" w:eastAsia="Arial" w:hAnsi="Arial" w:cs="Arial"/>
        </w:rPr>
        <w:t xml:space="preserve">o con remanente de tesorería para gastos generales, se realizará por la cantidad de </w:t>
      </w:r>
      <w:r>
        <w:rPr>
          <w:rFonts w:ascii="Arial" w:eastAsia="Arial" w:hAnsi="Arial" w:cs="Arial"/>
          <w:b/>
        </w:rPr>
        <w:t>471.000,63 Euros</w:t>
      </w:r>
      <w:r>
        <w:rPr>
          <w:rFonts w:ascii="Arial" w:eastAsia="Arial" w:hAnsi="Arial" w:cs="Arial"/>
        </w:rPr>
        <w:t>, según el siguiente detalle: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6920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0169" name="Group 44016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8888" name="Picture 8888"/>
                          <pic:cNvPicPr/>
                        </pic:nvPicPr>
                        <pic:blipFill>
                          <a:blip r:embed="rId62"/>
                          <a:stretch>
                            <a:fillRect/>
                          </a:stretch>
                        </pic:blipFill>
                        <pic:spPr>
                          <a:xfrm rot="-5399999">
                            <a:off x="-1720849" y="1720849"/>
                            <a:ext cx="3797300" cy="355601"/>
                          </a:xfrm>
                          <a:prstGeom prst="rect">
                            <a:avLst/>
                          </a:prstGeom>
                        </pic:spPr>
                      </pic:pic>
                      <wps:wsp>
                        <wps:cNvPr id="8889" name="Rectangle 88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8890" name="Rectangle 889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0169" style="width:41.2715pt;height:299pt;position:absolute;mso-position-horizontal-relative:page;mso-position-horizontal:absolute;margin-left:653.71pt;mso-position-vertical-relative:page;margin-top:512.92pt;" coordsize="5241,37973">
                <v:shape id="Picture 8888" style="position:absolute;width:37973;height:3556;left:-17208;top:17208;rotation:-89;" filled="f">
                  <v:imagedata r:id="rId63"/>
                </v:shape>
                <v:rect id="Rectangle 88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889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353 </w:t>
                        </w:r>
                      </w:p>
                    </w:txbxContent>
                  </v:textbox>
                </v:rect>
                <w10:wrap type="square"/>
              </v:group>
            </w:pict>
          </mc:Fallback>
        </mc:AlternateContent>
      </w:r>
      <w:r>
        <w:rPr>
          <w:rFonts w:ascii="Arial" w:eastAsia="Arial" w:hAnsi="Arial" w:cs="Arial"/>
        </w:rPr>
        <w:t xml:space="preserve"> </w:t>
      </w:r>
    </w:p>
    <w:tbl>
      <w:tblPr>
        <w:tblStyle w:val="TableGrid"/>
        <w:tblW w:w="8358" w:type="dxa"/>
        <w:tblInd w:w="364" w:type="dxa"/>
        <w:tblCellMar>
          <w:top w:w="9" w:type="dxa"/>
          <w:left w:w="71" w:type="dxa"/>
          <w:bottom w:w="6" w:type="dxa"/>
          <w:right w:w="7" w:type="dxa"/>
        </w:tblCellMar>
        <w:tblLook w:val="04A0" w:firstRow="1" w:lastRow="0" w:firstColumn="1" w:lastColumn="0" w:noHBand="0" w:noVBand="1"/>
      </w:tblPr>
      <w:tblGrid>
        <w:gridCol w:w="1598"/>
        <w:gridCol w:w="1201"/>
        <w:gridCol w:w="3999"/>
        <w:gridCol w:w="1561"/>
      </w:tblGrid>
      <w:tr w:rsidR="00FF384B">
        <w:trPr>
          <w:trHeight w:val="307"/>
        </w:trPr>
        <w:tc>
          <w:tcPr>
            <w:tcW w:w="1598"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66"/>
              <w:jc w:val="center"/>
            </w:pPr>
            <w:r>
              <w:rPr>
                <w:rFonts w:ascii="Arial" w:eastAsia="Arial" w:hAnsi="Arial" w:cs="Arial"/>
                <w:b/>
              </w:rPr>
              <w:t xml:space="preserve">Aplicación </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Proyecto </w:t>
            </w:r>
          </w:p>
        </w:tc>
        <w:tc>
          <w:tcPr>
            <w:tcW w:w="3999"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pPr>
            <w:r>
              <w:rPr>
                <w:rFonts w:ascii="Arial" w:eastAsia="Arial" w:hAnsi="Arial" w:cs="Arial"/>
                <w:b/>
              </w:rPr>
              <w:t xml:space="preserve">Denominación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center"/>
            </w:pPr>
            <w:r>
              <w:rPr>
                <w:rFonts w:ascii="Arial" w:eastAsia="Arial" w:hAnsi="Arial" w:cs="Arial"/>
                <w:b/>
              </w:rPr>
              <w:t xml:space="preserve">Importe </w:t>
            </w:r>
          </w:p>
        </w:tc>
      </w:tr>
      <w:tr w:rsidR="00FF384B">
        <w:trPr>
          <w:trHeight w:val="517"/>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13500.62300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9.255,21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34100.21200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R.M.C. edificios y otras construcciones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14.204,12 </w:t>
            </w:r>
          </w:p>
        </w:tc>
      </w:tr>
      <w:tr w:rsidR="00FF384B">
        <w:trPr>
          <w:trHeight w:val="516"/>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34100.22710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Trabajos realizados por otras empresas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16.450,49 </w:t>
            </w:r>
          </w:p>
        </w:tc>
      </w:tr>
      <w:tr w:rsidR="00FF384B">
        <w:trPr>
          <w:trHeight w:val="310"/>
        </w:trPr>
        <w:tc>
          <w:tcPr>
            <w:tcW w:w="159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84"/>
            </w:pPr>
            <w:r>
              <w:rPr>
                <w:rFonts w:ascii="Arial" w:eastAsia="Arial" w:hAnsi="Arial" w:cs="Arial"/>
              </w:rPr>
              <w:t xml:space="preserve">45900.62400 </w:t>
            </w:r>
          </w:p>
        </w:tc>
        <w:tc>
          <w:tcPr>
            <w:tcW w:w="1201"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5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384.429,18 </w:t>
            </w:r>
          </w:p>
        </w:tc>
      </w:tr>
      <w:tr w:rsidR="00FF384B">
        <w:trPr>
          <w:trHeight w:val="517"/>
        </w:trPr>
        <w:tc>
          <w:tcPr>
            <w:tcW w:w="1598"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84"/>
            </w:pPr>
            <w:r>
              <w:rPr>
                <w:rFonts w:ascii="Arial" w:eastAsia="Arial" w:hAnsi="Arial" w:cs="Arial"/>
              </w:rPr>
              <w:t xml:space="preserve">49200.62300 </w:t>
            </w:r>
          </w:p>
        </w:tc>
        <w:tc>
          <w:tcPr>
            <w:tcW w:w="120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pPr>
            <w:r>
              <w:rPr>
                <w:rFonts w:ascii="Arial" w:eastAsia="Arial" w:hAnsi="Arial" w:cs="Arial"/>
              </w:rPr>
              <w:t xml:space="preserve">P.21.2.32 </w:t>
            </w:r>
          </w:p>
        </w:tc>
        <w:tc>
          <w:tcPr>
            <w:tcW w:w="3999"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Maquinaría, Instalaciones Tec. y Utillaje </w:t>
            </w:r>
          </w:p>
        </w:tc>
        <w:tc>
          <w:tcPr>
            <w:tcW w:w="156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46.661,63 </w:t>
            </w:r>
          </w:p>
        </w:tc>
      </w:tr>
      <w:tr w:rsidR="00FF384B">
        <w:trPr>
          <w:trHeight w:val="307"/>
        </w:trPr>
        <w:tc>
          <w:tcPr>
            <w:tcW w:w="1598" w:type="dxa"/>
            <w:tcBorders>
              <w:top w:val="single" w:sz="4" w:space="0" w:color="000000"/>
              <w:left w:val="single" w:sz="4" w:space="0" w:color="000000"/>
              <w:bottom w:val="single" w:sz="4" w:space="0" w:color="000000"/>
              <w:right w:val="nil"/>
            </w:tcBorders>
            <w:shd w:val="clear" w:color="auto" w:fill="D9D9D9"/>
          </w:tcPr>
          <w:p w:rsidR="00FF384B" w:rsidRDefault="00FF384B"/>
        </w:tc>
        <w:tc>
          <w:tcPr>
            <w:tcW w:w="1201" w:type="dxa"/>
            <w:tcBorders>
              <w:top w:val="single" w:sz="4" w:space="0" w:color="000000"/>
              <w:left w:val="nil"/>
              <w:bottom w:val="single" w:sz="4" w:space="0" w:color="000000"/>
              <w:right w:val="nil"/>
            </w:tcBorders>
            <w:shd w:val="clear" w:color="auto" w:fill="D9D9D9"/>
          </w:tcPr>
          <w:p w:rsidR="00FF384B" w:rsidRDefault="00FF384B"/>
        </w:tc>
        <w:tc>
          <w:tcPr>
            <w:tcW w:w="3999" w:type="dxa"/>
            <w:tcBorders>
              <w:top w:val="single" w:sz="4" w:space="0" w:color="000000"/>
              <w:left w:val="nil"/>
              <w:bottom w:val="single" w:sz="4" w:space="0" w:color="000000"/>
              <w:right w:val="single" w:sz="4" w:space="0" w:color="000000"/>
            </w:tcBorders>
            <w:shd w:val="clear" w:color="auto" w:fill="D9D9D9"/>
          </w:tcPr>
          <w:p w:rsidR="00FF384B" w:rsidRDefault="003E3BA9">
            <w:pPr>
              <w:spacing w:after="0"/>
              <w:ind w:left="274"/>
            </w:pPr>
            <w:r>
              <w:rPr>
                <w:rFonts w:ascii="Arial" w:eastAsia="Arial" w:hAnsi="Arial" w:cs="Arial"/>
                <w:b/>
              </w:rPr>
              <w:t xml:space="preserve">Total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FF384B" w:rsidRDefault="003E3BA9">
            <w:pPr>
              <w:spacing w:after="0"/>
              <w:ind w:right="59"/>
              <w:jc w:val="right"/>
            </w:pPr>
            <w:r>
              <w:rPr>
                <w:rFonts w:ascii="Arial" w:eastAsia="Arial" w:hAnsi="Arial" w:cs="Arial"/>
                <w:b/>
              </w:rPr>
              <w:t xml:space="preserve">471.000,63 </w:t>
            </w:r>
          </w:p>
        </w:tc>
      </w:tr>
    </w:tbl>
    <w:p w:rsidR="00FF384B" w:rsidRDefault="003E3BA9">
      <w:pPr>
        <w:spacing w:after="100"/>
        <w:ind w:left="283"/>
      </w:pPr>
      <w:r>
        <w:rPr>
          <w:rFonts w:ascii="Arial" w:eastAsia="Arial" w:hAnsi="Arial" w:cs="Arial"/>
          <w:b/>
        </w:rPr>
        <w:t xml:space="preserve"> </w:t>
      </w:r>
    </w:p>
    <w:p w:rsidR="00FF384B" w:rsidRDefault="003E3BA9">
      <w:pPr>
        <w:spacing w:after="1" w:line="239" w:lineRule="auto"/>
        <w:ind w:left="278" w:right="162" w:hanging="10"/>
      </w:pPr>
      <w:r>
        <w:rPr>
          <w:rFonts w:ascii="Arial" w:eastAsia="Arial" w:hAnsi="Arial" w:cs="Arial"/>
          <w:b/>
        </w:rPr>
        <w:t>SEGUNDO. -</w:t>
      </w:r>
      <w:r>
        <w:rPr>
          <w:rFonts w:ascii="Arial" w:eastAsia="Arial" w:hAnsi="Arial" w:cs="Arial"/>
        </w:rPr>
        <w:t xml:space="preserve"> </w:t>
      </w:r>
      <w:r>
        <w:rPr>
          <w:rFonts w:ascii="Arial" w:eastAsia="Arial" w:hAnsi="Arial" w:cs="Arial"/>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r>
        <w:rPr>
          <w:rFonts w:ascii="Arial" w:eastAsia="Arial" w:hAnsi="Arial" w:cs="Arial"/>
        </w:rPr>
        <w:tab/>
        <w:t xml:space="preserve"> </w:t>
      </w:r>
    </w:p>
    <w:p w:rsidR="00FF384B" w:rsidRDefault="003E3BA9">
      <w:pPr>
        <w:spacing w:after="5" w:line="247" w:lineRule="auto"/>
        <w:ind w:left="278" w:right="244" w:hanging="10"/>
        <w:jc w:val="both"/>
      </w:pPr>
      <w:r>
        <w:rPr>
          <w:rFonts w:ascii="Arial" w:eastAsia="Arial" w:hAnsi="Arial" w:cs="Arial"/>
          <w:b/>
        </w:rPr>
        <w:t xml:space="preserve">TERCERO. - </w:t>
      </w:r>
      <w:r>
        <w:rPr>
          <w:rFonts w:ascii="Arial" w:eastAsia="Arial" w:hAnsi="Arial" w:cs="Arial"/>
        </w:rPr>
        <w:t>El expediente se considerará def</w:t>
      </w:r>
      <w:r>
        <w:rPr>
          <w:rFonts w:ascii="Arial" w:eastAsia="Arial" w:hAnsi="Arial" w:cs="Arial"/>
        </w:rPr>
        <w:t>initivamente aprobado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114" w:line="247" w:lineRule="auto"/>
        <w:ind w:left="286" w:right="253" w:hanging="3"/>
        <w:jc w:val="both"/>
      </w:pPr>
      <w:r>
        <w:rPr>
          <w:rFonts w:ascii="Arial" w:eastAsia="Arial" w:hAnsi="Arial" w:cs="Arial"/>
          <w:b/>
        </w:rPr>
        <w:t>4.-</w:t>
      </w:r>
      <w:r>
        <w:rPr>
          <w:rFonts w:ascii="Arial" w:eastAsia="Arial" w:hAnsi="Arial" w:cs="Arial"/>
        </w:rPr>
        <w:t xml:space="preserve"> </w:t>
      </w:r>
      <w:r>
        <w:rPr>
          <w:rFonts w:ascii="Arial" w:eastAsia="Arial" w:hAnsi="Arial" w:cs="Arial"/>
          <w:b/>
        </w:rPr>
        <w:t>Expediente 2688/2021. Propuesta del Concejal delegado de Hacienda de 21 de abril de 2021 al Pleno de aprobación inicial de la modificación presupuestaria nº 2688/2021, por créditos extraordinarios financiado con remanente de tesorería para g</w:t>
      </w:r>
      <w:r>
        <w:rPr>
          <w:rFonts w:ascii="Arial" w:eastAsia="Arial" w:hAnsi="Arial" w:cs="Arial"/>
          <w:b/>
        </w:rPr>
        <w:t>astos generales por importe 4.034.835,71 Euros.</w:t>
      </w:r>
      <w:r>
        <w:rPr>
          <w:rFonts w:ascii="Arial" w:eastAsia="Arial" w:hAnsi="Arial" w:cs="Arial"/>
        </w:rPr>
        <w:t xml:space="preserve"> </w:t>
      </w:r>
    </w:p>
    <w:p w:rsidR="00FF384B" w:rsidRDefault="003E3BA9">
      <w:pPr>
        <w:spacing w:after="98"/>
        <w:ind w:left="991"/>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    Consta en el expediente propuesta de la Alcaldesa-Presidenta, de fecha 21 de abril de 2021, cuyo tenor literal es el siguiente: </w:t>
      </w:r>
    </w:p>
    <w:p w:rsidR="00FF384B" w:rsidRDefault="003E3BA9">
      <w:pPr>
        <w:spacing w:after="0"/>
        <w:ind w:left="283"/>
      </w:pPr>
      <w:r>
        <w:rPr>
          <w:rFonts w:ascii="Arial" w:eastAsia="Arial" w:hAnsi="Arial" w:cs="Arial"/>
          <w:b/>
        </w:rPr>
        <w:t xml:space="preserve"> </w:t>
      </w:r>
    </w:p>
    <w:p w:rsidR="00FF384B" w:rsidRDefault="003E3BA9">
      <w:pPr>
        <w:spacing w:after="20"/>
        <w:ind w:left="283"/>
      </w:pPr>
      <w:r>
        <w:rPr>
          <w:rFonts w:ascii="Arial" w:eastAsia="Arial" w:hAnsi="Arial" w:cs="Arial"/>
          <w:b/>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6930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0145" name="Group 48014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9231" name="Picture 9231"/>
                          <pic:cNvPicPr/>
                        </pic:nvPicPr>
                        <pic:blipFill>
                          <a:blip r:embed="rId62"/>
                          <a:stretch>
                            <a:fillRect/>
                          </a:stretch>
                        </pic:blipFill>
                        <pic:spPr>
                          <a:xfrm rot="-5399999">
                            <a:off x="-1720849" y="1720849"/>
                            <a:ext cx="3797300" cy="355601"/>
                          </a:xfrm>
                          <a:prstGeom prst="rect">
                            <a:avLst/>
                          </a:prstGeom>
                        </pic:spPr>
                      </pic:pic>
                      <wps:wsp>
                        <wps:cNvPr id="9232" name="Rectangle 923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9233" name="Rectangle 923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0145" style="width:41.2715pt;height:299pt;position:absolute;mso-position-horizontal-relative:page;mso-position-horizontal:absolute;margin-left:653.71pt;mso-position-vertical-relative:page;margin-top:512.92pt;" coordsize="5241,37973">
                <v:shape id="Picture 9231" style="position:absolute;width:37973;height:3556;left:-17208;top:17208;rotation:-89;" filled="f">
                  <v:imagedata r:id="rId63"/>
                </v:shape>
                <v:rect id="Rectangle 923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923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353 </w:t>
                        </w:r>
                      </w:p>
                    </w:txbxContent>
                  </v:textbox>
                </v:rect>
                <w10:wrap type="square"/>
              </v:group>
            </w:pict>
          </mc:Fallback>
        </mc:AlternateContent>
      </w:r>
      <w:r>
        <w:rPr>
          <w:rFonts w:ascii="Arial" w:eastAsia="Arial" w:hAnsi="Arial" w:cs="Arial"/>
        </w:rPr>
        <w:t xml:space="preserve">     </w:t>
      </w:r>
      <w:r>
        <w:rPr>
          <w:rFonts w:ascii="Arial" w:eastAsia="Arial" w:hAnsi="Arial" w:cs="Arial"/>
        </w:rPr>
        <w:t xml:space="preserve">“Con motivo de las memorias justificativas de necesidades y urgencias que se presentan para dar una respuesta adecuada a las actuaciones que se dan en nuestro municipio.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Siendo un gasto específico y determinado ante la imposibilidad de demorarlo a </w:t>
      </w:r>
      <w:r>
        <w:rPr>
          <w:rFonts w:ascii="Arial" w:eastAsia="Arial" w:hAnsi="Arial" w:cs="Arial"/>
        </w:rPr>
        <w:t xml:space="preserve">ejercicios posteriores, y no habiendo crédito suficiente en las aplicaciones presupuestarias.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SE PROPONE: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Primero: Tramitar expediente 2688/2021 de modificación presupuestaria por Créditos extraordinarios financiado con Remanente de Tesorería par</w:t>
      </w:r>
      <w:r>
        <w:rPr>
          <w:rFonts w:ascii="Arial" w:eastAsia="Arial" w:hAnsi="Arial" w:cs="Arial"/>
        </w:rPr>
        <w:t xml:space="preserve">a gastos generales, por la cantidad de </w:t>
      </w:r>
      <w:r>
        <w:rPr>
          <w:rFonts w:ascii="Arial" w:eastAsia="Arial" w:hAnsi="Arial" w:cs="Arial"/>
          <w:b/>
        </w:rPr>
        <w:t>4.034.835,71 euros</w:t>
      </w:r>
      <w:r>
        <w:rPr>
          <w:rFonts w:ascii="Arial" w:eastAsia="Arial" w:hAnsi="Arial" w:cs="Arial"/>
        </w:rPr>
        <w:t>, de acuerdo al siguiente detalle: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tabs>
          <w:tab w:val="center" w:pos="422"/>
          <w:tab w:val="center" w:pos="1848"/>
          <w:tab w:val="center" w:pos="5433"/>
          <w:tab w:val="center" w:pos="8716"/>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9074" w:type="dxa"/>
        <w:tblInd w:w="354" w:type="dxa"/>
        <w:tblCellMar>
          <w:top w:w="4" w:type="dxa"/>
          <w:left w:w="68" w:type="dxa"/>
          <w:bottom w:w="6" w:type="dxa"/>
          <w:right w:w="7" w:type="dxa"/>
        </w:tblCellMar>
        <w:tblLook w:val="04A0" w:firstRow="1" w:lastRow="0" w:firstColumn="1" w:lastColumn="0" w:noHBand="0" w:noVBand="1"/>
      </w:tblPr>
      <w:tblGrid>
        <w:gridCol w:w="1423"/>
        <w:gridCol w:w="1082"/>
        <w:gridCol w:w="5144"/>
        <w:gridCol w:w="1424"/>
      </w:tblGrid>
      <w:tr w:rsidR="00FF384B">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jc w:val="center"/>
            </w:pPr>
            <w:r>
              <w:rPr>
                <w:rFonts w:ascii="Arial" w:eastAsia="Arial" w:hAnsi="Arial" w:cs="Arial"/>
                <w:b/>
              </w:rPr>
              <w:t xml:space="preserve">Proyecto gasto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7"/>
              <w:jc w:val="center"/>
            </w:pPr>
            <w:r>
              <w:rPr>
                <w:rFonts w:ascii="Arial" w:eastAsia="Arial" w:hAnsi="Arial" w:cs="Arial"/>
                <w:b/>
              </w:rPr>
              <w:t xml:space="preserve">Denominación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8"/>
              <w:jc w:val="center"/>
            </w:pPr>
            <w:r>
              <w:rPr>
                <w:rFonts w:ascii="Arial" w:eastAsia="Arial" w:hAnsi="Arial" w:cs="Arial"/>
                <w:b/>
              </w:rPr>
              <w:t xml:space="preserve">Importe </w:t>
            </w:r>
          </w:p>
        </w:tc>
      </w:tr>
      <w:tr w:rsidR="00FF384B">
        <w:trPr>
          <w:trHeight w:val="518"/>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P.21.2.35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6.448,69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P.21.2.34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10.815,78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P.21.2.33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17.232,38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13200.62300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MAQUINARIA, INSTALACIONES Y UTILLAJE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35.802,14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13200.62400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DE VEHÍCULOS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117.470,62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13500.62200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CASETA PUESTO SOCORRISMO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18.641,95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15100.22713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REDACCIÓN Y DIRECCIÓN PROYECTO ADUDITORIO DE CANDELARIA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370.450,50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15100.22714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REDACCIÓN Y DIRECCIÓN PROYECTO PISCINA MUNICIPAL CUBIERTA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187.250,00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PARA AMPLICACIÓN CENTRO ALFARERO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150.000,00 </w:t>
            </w:r>
          </w:p>
        </w:tc>
      </w:tr>
      <w:tr w:rsidR="00FF384B">
        <w:trPr>
          <w:trHeight w:val="511"/>
        </w:trPr>
        <w:tc>
          <w:tcPr>
            <w:tcW w:w="1423" w:type="dxa"/>
            <w:tcBorders>
              <w:top w:val="nil"/>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15100.60001 </w:t>
            </w:r>
          </w:p>
        </w:tc>
        <w:tc>
          <w:tcPr>
            <w:tcW w:w="1082" w:type="dxa"/>
            <w:tcBorders>
              <w:top w:val="nil"/>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EJECUCIÓN PROYECTO LA BASÍLICA </w:t>
            </w:r>
          </w:p>
        </w:tc>
        <w:tc>
          <w:tcPr>
            <w:tcW w:w="1424" w:type="dxa"/>
            <w:tcBorders>
              <w:top w:val="nil"/>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80.000,00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15100.60002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EJECUCIÓN VIVIENDAS DE PROMOCIÓN PÚBLICA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300.000,00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15100.60003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EJECUCIÓN PROYECTO ESTACIÓN BOMBEO SAN BLAS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60.000,00 </w:t>
            </w:r>
          </w:p>
        </w:tc>
      </w:tr>
      <w:tr w:rsidR="00FF384B">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15100.60004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PEATONAL CON DESTINO PÚBLICO IGUESTE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25.000,00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15100.60005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PARCELA EBAR LA VIUDA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16.502,85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15100.60910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OBRA PLAZA DE LA VIUDA: EQUIPAMIENTO DEPORTIVO Y ASISTENCIAL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584.831,47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15100.61911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both"/>
            </w:pPr>
            <w:r>
              <w:rPr>
                <w:rFonts w:ascii="Arial" w:eastAsia="Arial" w:hAnsi="Arial" w:cs="Arial"/>
              </w:rPr>
              <w:t xml:space="preserve">OBRA REMODELACIÓN PLAZA DE SANTA ANA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955.741,74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15100.61912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OBRA ADECUACIÓN ESPACIO LIBRE Y ESCULTURA DE ARAYA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146.676,02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17100.62500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both"/>
            </w:pPr>
            <w:r>
              <w:rPr>
                <w:rFonts w:ascii="Arial" w:eastAsia="Arial" w:hAnsi="Arial" w:cs="Arial"/>
              </w:rPr>
              <w:t xml:space="preserve">DOTACIÓN MOBILIARIO Y REHABILITACIÓN PARQUES INFANTILES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80.611,82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23100.61901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REFORMA CENTRO DE ALZHEIMER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27.590,55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32300.21300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INSTALACION BAJA TENSIÓN CEIP IGUESTEPUNTA LARGA Y PRINCIPE FELIPE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156.178,83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33400.62301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AIRE ACONDICIONADO CINE VIEJO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31.182,80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33400.62400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DE VEHÍCULOS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20.665,48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34100.61904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REHABILITACIÓN ÁREA DEPORTIVA: MÓDULO DE ATLETISMO Y CAMPO DE FUTBOL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17.008,72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34100.61905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REHABILITACIÓN PABELLÓN PUNTA LARGA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42.798,79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34100.61906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REHABILITACIÓN COMPLEJO DEPORTIVO ÁLVARO DE ARMAS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24.455,30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34100.61907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REHABILITACIÓN, ACONDICIONAMIENTO Y ADECUACIÓN DE BAR/CAFETERIA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146.774,87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34100.62500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MOBILIARIO INSTALACIONES DEPORTIVAS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8.533,55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REFORMA PLAZA LA SABINITA IGUESTE DE CANDELARIA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33.922,92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45900.61902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REFORMA PLAZA MALPAIS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39.839,44 </w:t>
            </w:r>
          </w:p>
        </w:tc>
      </w:tr>
      <w:tr w:rsidR="00FF384B">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45900.61903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REFORMA PLAZA LA LIBERTAD IGUESTE DE CANDELARIA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39.899,65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45900.61904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both"/>
            </w:pPr>
            <w:r>
              <w:rPr>
                <w:rFonts w:ascii="Arial" w:eastAsia="Arial" w:hAnsi="Arial" w:cs="Arial"/>
              </w:rPr>
              <w:t xml:space="preserve">DEMOLICIÓN ESCUELITA CALLE LOS SABINAS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23.366,61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49200.45300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CONVENIO ULL: CATEDRA DE ORGANIZACIONES SALUDABLES, BIENESTAR….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49200.62500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MOBILIARIO CTCAN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20.372,80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SISTEMA DE GRABACIÓN, ESTRAMING Y VIDEOCONFERENCIA DEPENDENCIAS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30.118,61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49200.62602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EQUIPOS DE FIRMA PARA EL SAC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5.314,00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49200.62603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PROYECTO DE RENOVACION INFRAESRUCTURA DE VIRTUALIZACIÓN Y….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68.336,83 </w:t>
            </w:r>
          </w:p>
        </w:tc>
      </w:tr>
      <w:tr w:rsidR="00FF384B">
        <w:trPr>
          <w:trHeight w:val="34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92000.86030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4"/>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COMPRA DE ACCIONES DE AGUA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120.000,00 </w:t>
            </w:r>
          </w:p>
        </w:tc>
      </w:tr>
      <w:tr w:rsidR="00FF384B">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4"/>
              <w:jc w:val="center"/>
            </w:pPr>
            <w:r>
              <w:rPr>
                <w:rFonts w:ascii="Arial" w:eastAsia="Arial" w:hAnsi="Arial" w:cs="Arial"/>
                <w:b/>
              </w:rPr>
              <w:t xml:space="preserve">TOTAL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both"/>
            </w:pPr>
            <w:r>
              <w:rPr>
                <w:rFonts w:ascii="Arial" w:eastAsia="Arial" w:hAnsi="Arial" w:cs="Arial"/>
                <w:b/>
              </w:rPr>
              <w:t xml:space="preserve">4.034.835,71 </w:t>
            </w:r>
          </w:p>
        </w:tc>
      </w:tr>
    </w:tbl>
    <w:p w:rsidR="00FF384B" w:rsidRDefault="003E3BA9">
      <w:pPr>
        <w:spacing w:after="0" w:line="247" w:lineRule="auto"/>
        <w:ind w:left="1706" w:right="906"/>
        <w:jc w:val="both"/>
      </w:pPr>
      <w:r>
        <w:rPr>
          <w:noProof/>
        </w:rPr>
        <mc:AlternateContent>
          <mc:Choice Requires="wpg">
            <w:drawing>
              <wp:anchor distT="0" distB="0" distL="114300" distR="114300" simplePos="0" relativeHeight="251694080"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46659" name="Group 54665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9943" name="Picture 9943"/>
                          <pic:cNvPicPr/>
                        </pic:nvPicPr>
                        <pic:blipFill>
                          <a:blip r:embed="rId62"/>
                          <a:stretch>
                            <a:fillRect/>
                          </a:stretch>
                        </pic:blipFill>
                        <pic:spPr>
                          <a:xfrm rot="-5399999">
                            <a:off x="-1720849" y="1720849"/>
                            <a:ext cx="3797300" cy="355601"/>
                          </a:xfrm>
                          <a:prstGeom prst="rect">
                            <a:avLst/>
                          </a:prstGeom>
                        </pic:spPr>
                      </pic:pic>
                      <wps:wsp>
                        <wps:cNvPr id="9944" name="Rectangle 994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9945" name="Rectangle 994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6659" style="width:41.2715pt;height:299pt;position:absolute;mso-position-horizontal-relative:page;mso-position-horizontal:absolute;margin-left:653.71pt;mso-position-vertical-relative:page;margin-top:512.92pt;" coordsize="5241,37973">
                <v:shape id="Picture 9943" style="position:absolute;width:37973;height:3556;left:-17208;top:17208;rotation:-89;" filled="f">
                  <v:imagedata r:id="rId63"/>
                </v:shape>
                <v:rect id="Rectangle 994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994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353 </w:t>
                        </w:r>
                      </w:p>
                    </w:txbxContent>
                  </v:textbox>
                </v:rect>
                <w10:wrap type="topAndBottom"/>
              </v:group>
            </w:pict>
          </mc:Fallback>
        </mc:AlternateContent>
      </w:r>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tabs>
          <w:tab w:val="center" w:pos="422"/>
          <w:tab w:val="center" w:pos="1848"/>
          <w:tab w:val="center" w:pos="5433"/>
          <w:tab w:val="center" w:pos="8716"/>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9074" w:type="dxa"/>
        <w:tblInd w:w="354" w:type="dxa"/>
        <w:tblCellMar>
          <w:top w:w="5" w:type="dxa"/>
          <w:left w:w="68" w:type="dxa"/>
          <w:bottom w:w="0" w:type="dxa"/>
          <w:right w:w="7" w:type="dxa"/>
        </w:tblCellMar>
        <w:tblLook w:val="04A0" w:firstRow="1" w:lastRow="0" w:firstColumn="1" w:lastColumn="0" w:noHBand="0" w:noVBand="1"/>
      </w:tblPr>
      <w:tblGrid>
        <w:gridCol w:w="1423"/>
        <w:gridCol w:w="1082"/>
        <w:gridCol w:w="5144"/>
        <w:gridCol w:w="1424"/>
      </w:tblGrid>
      <w:tr w:rsidR="00FF384B">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7"/>
              <w:jc w:val="center"/>
            </w:pPr>
            <w:r>
              <w:rPr>
                <w:rFonts w:ascii="Arial" w:eastAsia="Arial" w:hAnsi="Arial" w:cs="Arial"/>
                <w:b/>
              </w:rPr>
              <w:t xml:space="preserve">Denominación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8"/>
              <w:jc w:val="center"/>
            </w:pPr>
            <w:r>
              <w:rPr>
                <w:rFonts w:ascii="Arial" w:eastAsia="Arial" w:hAnsi="Arial" w:cs="Arial"/>
                <w:b/>
              </w:rPr>
              <w:t xml:space="preserve">Importe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870.00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rPr>
              <w:t xml:space="preserve">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Remanente de Tesorería para Gastos Generales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both"/>
            </w:pPr>
            <w:r>
              <w:rPr>
                <w:rFonts w:ascii="Arial" w:eastAsia="Arial" w:hAnsi="Arial" w:cs="Arial"/>
              </w:rPr>
              <w:t xml:space="preserve">4.034.835,71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4"/>
              <w:jc w:val="center"/>
            </w:pPr>
            <w:r>
              <w:rPr>
                <w:rFonts w:ascii="Arial" w:eastAsia="Arial" w:hAnsi="Arial" w:cs="Arial"/>
                <w:b/>
              </w:rPr>
              <w:t xml:space="preserve">TOTAL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both"/>
            </w:pPr>
            <w:r>
              <w:rPr>
                <w:rFonts w:ascii="Arial" w:eastAsia="Arial" w:hAnsi="Arial" w:cs="Arial"/>
                <w:b/>
              </w:rPr>
              <w:t xml:space="preserve">4.034.835,71 </w:t>
            </w:r>
          </w:p>
        </w:tc>
      </w:tr>
    </w:tbl>
    <w:p w:rsidR="00FF384B" w:rsidRDefault="003E3BA9">
      <w:pPr>
        <w:spacing w:after="131" w:line="247" w:lineRule="auto"/>
        <w:ind w:left="278" w:right="244" w:hanging="10"/>
        <w:jc w:val="both"/>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7" w:hanging="3"/>
        <w:jc w:val="both"/>
      </w:pPr>
      <w:r>
        <w:rPr>
          <w:rFonts w:ascii="Arial" w:eastAsia="Arial" w:hAnsi="Arial" w:cs="Arial"/>
          <w:b/>
        </w:rPr>
        <w:t xml:space="preserve">Consta en el expediente Informe de Intervención emitido por Don Nicolás Rojo Garnica, que desempeña el puesto de trabajo de Interventor Municipal, de 21 de abril de 2021, del siguiente tenor literal: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32"/>
        <w:ind w:left="283"/>
      </w:pPr>
      <w:r>
        <w:rPr>
          <w:rFonts w:ascii="Arial" w:eastAsia="Arial" w:hAnsi="Arial" w:cs="Arial"/>
        </w:rPr>
        <w:t xml:space="preserve"> </w:t>
      </w:r>
    </w:p>
    <w:p w:rsidR="00FF384B" w:rsidRDefault="003E3BA9">
      <w:pPr>
        <w:pStyle w:val="Ttulo1"/>
        <w:spacing w:after="109"/>
        <w:ind w:left="767" w:right="728"/>
      </w:pPr>
      <w:r>
        <w:t>“INFORME</w:t>
      </w:r>
      <w:r>
        <w:rPr>
          <w:b w:val="0"/>
        </w:rPr>
        <w:t xml:space="preserve"> </w:t>
      </w:r>
    </w:p>
    <w:p w:rsidR="00FF384B" w:rsidRDefault="003E3BA9">
      <w:pPr>
        <w:spacing w:after="98"/>
        <w:ind w:left="283"/>
      </w:pPr>
      <w:r>
        <w:rPr>
          <w:rFonts w:ascii="Arial" w:eastAsia="Arial" w:hAnsi="Arial" w:cs="Arial"/>
        </w:rPr>
        <w:t xml:space="preserve"> </w:t>
      </w:r>
    </w:p>
    <w:p w:rsidR="00FF384B" w:rsidRDefault="003E3BA9">
      <w:pPr>
        <w:spacing w:after="144" w:line="247" w:lineRule="auto"/>
        <w:ind w:left="268" w:right="244" w:firstLine="708"/>
        <w:jc w:val="both"/>
      </w:pPr>
      <w:r>
        <w:rPr>
          <w:noProof/>
        </w:rPr>
        <mc:AlternateContent>
          <mc:Choice Requires="wpg">
            <w:drawing>
              <wp:anchor distT="0" distB="0" distL="114300" distR="114300" simplePos="0" relativeHeight="2516951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7718" name="Group 44771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0138" name="Picture 10138"/>
                          <pic:cNvPicPr/>
                        </pic:nvPicPr>
                        <pic:blipFill>
                          <a:blip r:embed="rId62"/>
                          <a:stretch>
                            <a:fillRect/>
                          </a:stretch>
                        </pic:blipFill>
                        <pic:spPr>
                          <a:xfrm rot="-5399999">
                            <a:off x="-1720849" y="1720849"/>
                            <a:ext cx="3797300" cy="355601"/>
                          </a:xfrm>
                          <a:prstGeom prst="rect">
                            <a:avLst/>
                          </a:prstGeom>
                        </pic:spPr>
                      </pic:pic>
                      <wps:wsp>
                        <wps:cNvPr id="10139" name="Rectangle 1013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0140" name="Rectangle 1014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7718" style="width:41.2715pt;height:299pt;position:absolute;mso-position-horizontal-relative:page;mso-position-horizontal:absolute;margin-left:653.71pt;mso-position-vertical-relative:page;margin-top:512.92pt;" coordsize="5241,37973">
                <v:shape id="Picture 10138" style="position:absolute;width:37973;height:3556;left:-17208;top:17208;rotation:-89;" filled="f">
                  <v:imagedata r:id="rId63"/>
                </v:shape>
                <v:rect id="Rectangle 1013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014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353 </w:t>
                        </w:r>
                      </w:p>
                    </w:txbxContent>
                  </v:textbox>
                </v:rect>
                <w10:wrap type="square"/>
              </v:group>
            </w:pict>
          </mc:Fallback>
        </mc:AlternateContent>
      </w:r>
      <w:r>
        <w:rPr>
          <w:rFonts w:ascii="Arial" w:eastAsia="Arial" w:hAnsi="Arial" w:cs="Arial"/>
        </w:rPr>
        <w:t>Vista la propuesta de la Alcaldesa, de tramitación de modifica</w:t>
      </w:r>
      <w:r>
        <w:rPr>
          <w:rFonts w:ascii="Arial" w:eastAsia="Arial" w:hAnsi="Arial" w:cs="Arial"/>
        </w:rPr>
        <w:t>ción presupuestaria, “Con motivo de las memorias justificativas de necesidades y urgencias que se presentan para dar una respuesta adecuada a las actuaciones que se dan en nuestro municipio.”</w:t>
      </w:r>
      <w:r>
        <w:rPr>
          <w:rFonts w:ascii="Times New Roman" w:eastAsia="Times New Roman" w:hAnsi="Times New Roman" w:cs="Times New Roman"/>
          <w:sz w:val="24"/>
        </w:rPr>
        <w:t xml:space="preserve"> </w:t>
      </w:r>
    </w:p>
    <w:p w:rsidR="00FF384B" w:rsidRDefault="003E3BA9">
      <w:pPr>
        <w:spacing w:after="137" w:line="247" w:lineRule="auto"/>
        <w:ind w:left="268" w:right="244" w:firstLine="720"/>
        <w:jc w:val="both"/>
      </w:pPr>
      <w:r>
        <w:rPr>
          <w:rFonts w:ascii="Arial" w:eastAsia="Arial" w:hAnsi="Arial" w:cs="Arial"/>
        </w:rPr>
        <w:t xml:space="preserve">Siendo un gasto específico y determinado ante la imposibilidad de demorarlo a ejercicios posteriores, y no habiendo crédito suficiente en las aplicaciones presupuestarias.” </w:t>
      </w:r>
    </w:p>
    <w:p w:rsidR="00FF384B" w:rsidRDefault="003E3BA9">
      <w:pPr>
        <w:spacing w:after="5" w:line="247" w:lineRule="auto"/>
        <w:ind w:left="278" w:right="244" w:hanging="10"/>
        <w:jc w:val="both"/>
      </w:pPr>
      <w:r>
        <w:rPr>
          <w:rFonts w:ascii="Arial" w:eastAsia="Arial" w:hAnsi="Arial" w:cs="Arial"/>
          <w:b/>
        </w:rPr>
        <w:t xml:space="preserve">PRIMERO. </w:t>
      </w:r>
      <w:r>
        <w:rPr>
          <w:rFonts w:ascii="Arial" w:eastAsia="Arial" w:hAnsi="Arial" w:cs="Arial"/>
        </w:rPr>
        <w:t>Visto Acuerdo del Congreso de los Diputados del 20 de octubre de 2020, ap</w:t>
      </w:r>
      <w:r>
        <w:rPr>
          <w:rFonts w:ascii="Arial" w:eastAsia="Arial" w:hAnsi="Arial" w:cs="Arial"/>
        </w:rPr>
        <w:t>robado por mayoría absoluta, ha apreciado, por mayoría absoluta de sus miembros, que se da una situación de emergencia extraordinaria que motiva la suspensión de las reglas fiscales, requisito que establece el artículo 11.3 de la LOEPSF.</w:t>
      </w:r>
      <w:r>
        <w:rPr>
          <w:rFonts w:ascii="Arial" w:eastAsia="Arial" w:hAnsi="Arial" w:cs="Arial"/>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45" w:line="247" w:lineRule="auto"/>
        <w:ind w:left="278" w:right="244" w:hanging="10"/>
        <w:jc w:val="both"/>
      </w:pPr>
      <w:r>
        <w:rPr>
          <w:rFonts w:ascii="Arial" w:eastAsia="Arial" w:hAnsi="Arial" w:cs="Arial"/>
        </w:rPr>
        <w:t xml:space="preserve"> Atendiendo al </w:t>
      </w:r>
      <w:r>
        <w:rPr>
          <w:rFonts w:ascii="Arial" w:eastAsia="Arial" w:hAnsi="Arial" w:cs="Arial"/>
        </w:rPr>
        <w:t xml:space="preserve">acuerdo del Consejo de Ministros de 6 de octubre de 2020, mediante el que se acuerda: </w:t>
      </w:r>
    </w:p>
    <w:p w:rsidR="00FF384B" w:rsidRDefault="003E3BA9">
      <w:pPr>
        <w:numPr>
          <w:ilvl w:val="0"/>
          <w:numId w:val="13"/>
        </w:numPr>
        <w:spacing w:after="44" w:line="247" w:lineRule="auto"/>
        <w:ind w:right="244" w:hanging="360"/>
        <w:jc w:val="both"/>
      </w:pPr>
      <w:r>
        <w:rPr>
          <w:rFonts w:ascii="Arial" w:eastAsia="Arial" w:hAnsi="Arial" w:cs="Arial"/>
        </w:rPr>
        <w:t xml:space="preserve">“Solicitar del Congreso de los Diputados la apreciación de que en España estamos sufriendo una pandemia, lo que supone una situación de emergencia extraordinaria que se </w:t>
      </w:r>
      <w:r>
        <w:rPr>
          <w:rFonts w:ascii="Arial" w:eastAsia="Arial" w:hAnsi="Arial" w:cs="Arial"/>
        </w:rPr>
        <w:t xml:space="preserve">ajusta a lo dispuesto en el artículo 135.4 de la Constitución y en el artículo 11.3 de la Ley Orgánica de Estabilidad Presupuestaria y Sostenibilidad Financiera”.  </w:t>
      </w:r>
    </w:p>
    <w:p w:rsidR="00FF384B" w:rsidRDefault="003E3BA9">
      <w:pPr>
        <w:numPr>
          <w:ilvl w:val="0"/>
          <w:numId w:val="13"/>
        </w:numPr>
        <w:spacing w:after="5" w:line="247" w:lineRule="auto"/>
        <w:ind w:right="244" w:hanging="360"/>
        <w:jc w:val="both"/>
      </w:pPr>
      <w:r>
        <w:rPr>
          <w:rFonts w:ascii="Arial" w:eastAsia="Arial" w:hAnsi="Arial" w:cs="Arial"/>
        </w:rPr>
        <w:t xml:space="preserve">“Quedan suspendidos el Acuerdo de Consejo de Ministros de 11 de febrero de 2020 por el que se adecúan los objetivos de estabilidad presupuestaria y de deuda pública para el conjunto de Administraciones Públicas y de cada uno de sus subsectores para el año </w:t>
      </w:r>
      <w:r>
        <w:rPr>
          <w:rFonts w:ascii="Arial" w:eastAsia="Arial" w:hAnsi="Arial" w:cs="Arial"/>
        </w:rPr>
        <w:t xml:space="preserve">2020 para su remisión a las Cortes Generales, y se fija el límite de gasto no financiero del presupuesto del Estado para 2020, así como el Acuerdo de Consejo de Ministros de 11 de febrero de 2020 por el que </w:t>
      </w:r>
    </w:p>
    <w:p w:rsidR="00FF384B" w:rsidRDefault="003E3BA9">
      <w:pPr>
        <w:spacing w:after="5" w:line="247" w:lineRule="auto"/>
        <w:ind w:left="1013" w:right="244" w:hanging="10"/>
        <w:jc w:val="both"/>
      </w:pPr>
      <w:r>
        <w:rPr>
          <w:rFonts w:ascii="Arial" w:eastAsia="Arial" w:hAnsi="Arial" w:cs="Arial"/>
        </w:rPr>
        <w:t>se fijan los objetivos de estabilidad presupuest</w:t>
      </w:r>
      <w:r>
        <w:rPr>
          <w:rFonts w:ascii="Arial" w:eastAsia="Arial" w:hAnsi="Arial" w:cs="Arial"/>
        </w:rPr>
        <w:t xml:space="preserve">aria y de deuda pública para el conjunto de Administraciones Públicas y de cada uno de sus subsectores para el período 2021-2023 para su remisión a las Cortes Generales, y el límite de gasto no financiero del presupuesto del Estado para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Por tant</w:t>
      </w:r>
      <w:r>
        <w:rPr>
          <w:rFonts w:ascii="Arial" w:eastAsia="Arial" w:hAnsi="Arial" w:cs="Arial"/>
        </w:rPr>
        <w:t xml:space="preserve">o, los objetivos de estabilidad y de deuda pública, y la regla de gasto, aprobados por el Gobierno el 11 de febrero de 2020 son inaplicables al aprobar éste su suspensión para el 2020 y el 2021.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La suspensión de las reglas fiscales ha supuesto que el su</w:t>
      </w:r>
      <w:r>
        <w:rPr>
          <w:rFonts w:ascii="Arial" w:eastAsia="Arial" w:hAnsi="Arial" w:cs="Arial"/>
        </w:rPr>
        <w:t>perávit no tenga que dedicarse a amortizar deuda, aun siendo posible realizar esta amortización si la EELL lo considera. La regla del artículo 32 de la LOEPSF puede no aplicarse a partir del momento en que se han suspendido las reglas fiscales, ya que esta</w:t>
      </w:r>
      <w:r>
        <w:rPr>
          <w:rFonts w:ascii="Arial" w:eastAsia="Arial" w:hAnsi="Arial" w:cs="Arial"/>
        </w:rPr>
        <w:t xml:space="preserve">s son el fundamento de aquella regla. Regla que conecta con el objetivo de estabilidad presupuestaria y con el de deuda pública.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Al no ser aplicable la regla general, tampoco es necesaria la regla especial de destinar el superávit a inversiones financ</w:t>
      </w:r>
      <w:r>
        <w:rPr>
          <w:rFonts w:ascii="Arial" w:eastAsia="Arial" w:hAnsi="Arial" w:cs="Arial"/>
        </w:rPr>
        <w:t xml:space="preserve">ieramente sostenibles, salvo las excepciones siguientes, o mediante norma posterior que prorrogue íntegramente la DA 6ª de la LOEPSF. </w:t>
      </w:r>
    </w:p>
    <w:p w:rsidR="00FF384B" w:rsidRDefault="003E3BA9">
      <w:pPr>
        <w:spacing w:after="40"/>
        <w:ind w:left="283"/>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F384B" w:rsidRDefault="003E3BA9">
      <w:pPr>
        <w:spacing w:after="33" w:line="247" w:lineRule="auto"/>
        <w:ind w:left="278" w:right="244" w:hanging="10"/>
        <w:jc w:val="both"/>
      </w:pPr>
      <w:r>
        <w:rPr>
          <w:rFonts w:ascii="Arial" w:eastAsia="Arial" w:hAnsi="Arial" w:cs="Arial"/>
          <w:b/>
        </w:rPr>
        <w:t>SEGUNDO</w:t>
      </w:r>
      <w:r>
        <w:rPr>
          <w:rFonts w:ascii="Arial" w:eastAsia="Arial" w:hAnsi="Arial" w:cs="Arial"/>
        </w:rPr>
        <w:t>. La legislación aplicable es la siguiente:</w:t>
      </w:r>
      <w:r>
        <w:rPr>
          <w:rFonts w:ascii="Times New Roman" w:eastAsia="Times New Roman" w:hAnsi="Times New Roman" w:cs="Times New Roman"/>
          <w:sz w:val="24"/>
        </w:rPr>
        <w:t xml:space="preserve"> </w:t>
      </w:r>
    </w:p>
    <w:p w:rsidR="00FF384B" w:rsidRDefault="003E3BA9">
      <w:pPr>
        <w:numPr>
          <w:ilvl w:val="0"/>
          <w:numId w:val="14"/>
        </w:numPr>
        <w:spacing w:after="52" w:line="247" w:lineRule="auto"/>
        <w:ind w:right="244" w:hanging="360"/>
        <w:jc w:val="both"/>
      </w:pPr>
      <w:r>
        <w:rPr>
          <w:noProof/>
        </w:rPr>
        <mc:AlternateContent>
          <mc:Choice Requires="wpg">
            <w:drawing>
              <wp:anchor distT="0" distB="0" distL="114300" distR="114300" simplePos="0" relativeHeight="2516961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1267" name="Group 44126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0258" name="Picture 10258"/>
                          <pic:cNvPicPr/>
                        </pic:nvPicPr>
                        <pic:blipFill>
                          <a:blip r:embed="rId62"/>
                          <a:stretch>
                            <a:fillRect/>
                          </a:stretch>
                        </pic:blipFill>
                        <pic:spPr>
                          <a:xfrm rot="-5399999">
                            <a:off x="-1720849" y="1720849"/>
                            <a:ext cx="3797300" cy="355601"/>
                          </a:xfrm>
                          <a:prstGeom prst="rect">
                            <a:avLst/>
                          </a:prstGeom>
                        </pic:spPr>
                      </pic:pic>
                      <wps:wsp>
                        <wps:cNvPr id="10259" name="Rectangle 1025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0260" name="Rectangle 1026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1267" style="width:41.2715pt;height:299pt;position:absolute;mso-position-horizontal-relative:page;mso-position-horizontal:absolute;margin-left:653.71pt;mso-position-vertical-relative:page;margin-top:512.92pt;" coordsize="5241,37973">
                <v:shape id="Picture 10258" style="position:absolute;width:37973;height:3556;left:-17208;top:17208;rotation:-89;" filled="f">
                  <v:imagedata r:id="rId63"/>
                </v:shape>
                <v:rect id="Rectangle 1025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026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353 </w:t>
                        </w:r>
                      </w:p>
                    </w:txbxContent>
                  </v:textbox>
                </v:rect>
                <w10:wrap type="square"/>
              </v:group>
            </w:pict>
          </mc:Fallback>
        </mc:AlternateContent>
      </w:r>
      <w:r>
        <w:rPr>
          <w:rFonts w:ascii="Arial" w:eastAsia="Arial" w:hAnsi="Arial" w:cs="Arial"/>
        </w:rPr>
        <w:t>Los artículos 169, 170 y 172 a 177 del Real Decreto Legislativ</w:t>
      </w:r>
      <w:r>
        <w:rPr>
          <w:rFonts w:ascii="Arial" w:eastAsia="Arial" w:hAnsi="Arial" w:cs="Arial"/>
        </w:rPr>
        <w:t xml:space="preserve">o 2/2004, de 5 de marzo, por el que se aprueba el Texto Refundido de la Ley Reguladora de las Haciendas Locales.  </w:t>
      </w:r>
    </w:p>
    <w:p w:rsidR="00FF384B" w:rsidRDefault="003E3BA9">
      <w:pPr>
        <w:numPr>
          <w:ilvl w:val="0"/>
          <w:numId w:val="14"/>
        </w:numPr>
        <w:spacing w:after="52" w:line="247" w:lineRule="auto"/>
        <w:ind w:right="244" w:hanging="360"/>
        <w:jc w:val="both"/>
      </w:pPr>
      <w:r>
        <w:rPr>
          <w:rFonts w:ascii="Arial" w:eastAsia="Arial" w:hAnsi="Arial" w:cs="Arial"/>
        </w:rPr>
        <w:t>Los artículos 34 a 38 del Real Decreto 500/1990, de 20 de abril, por el que se desarrolla el Capítulo I, del Título VI, de la Ley 39/1988, de</w:t>
      </w:r>
      <w:r>
        <w:rPr>
          <w:rFonts w:ascii="Arial" w:eastAsia="Arial" w:hAnsi="Arial" w:cs="Arial"/>
        </w:rPr>
        <w:t xml:space="preserve"> 28 de diciembre, Reguladora de las Haciendas Locales, en materia de presupuestos. </w:t>
      </w:r>
    </w:p>
    <w:p w:rsidR="00FF384B" w:rsidRDefault="003E3BA9">
      <w:pPr>
        <w:numPr>
          <w:ilvl w:val="0"/>
          <w:numId w:val="14"/>
        </w:numPr>
        <w:spacing w:after="51" w:line="247" w:lineRule="auto"/>
        <w:ind w:right="244" w:hanging="360"/>
        <w:jc w:val="both"/>
      </w:pPr>
      <w:r>
        <w:rPr>
          <w:rFonts w:ascii="Arial" w:eastAsia="Arial" w:hAnsi="Arial" w:cs="Arial"/>
        </w:rPr>
        <w:t xml:space="preserve">Los artículos 3, 4, 11, 12, 13, 21, 23 y 32 de la Ley Orgánica 2/2012, de 27 de abril, de Estabilidad Presupuestaria y Sostenibilidad Financiera.  </w:t>
      </w:r>
    </w:p>
    <w:p w:rsidR="00FF384B" w:rsidRDefault="003E3BA9">
      <w:pPr>
        <w:numPr>
          <w:ilvl w:val="0"/>
          <w:numId w:val="14"/>
        </w:numPr>
        <w:spacing w:after="52" w:line="247" w:lineRule="auto"/>
        <w:ind w:right="244" w:hanging="360"/>
        <w:jc w:val="both"/>
      </w:pPr>
      <w:r>
        <w:rPr>
          <w:rFonts w:ascii="Arial" w:eastAsia="Arial" w:hAnsi="Arial" w:cs="Arial"/>
        </w:rPr>
        <w:t>El artículo 16.2 del Rea</w:t>
      </w:r>
      <w:r>
        <w:rPr>
          <w:rFonts w:ascii="Arial" w:eastAsia="Arial" w:hAnsi="Arial" w:cs="Arial"/>
        </w:rPr>
        <w:t xml:space="preserve">l Decreto 1463/2007, de 2 de noviembre, por el que se aprueba el Reglamento de Desarrollo de la Ley 18/2001, de 12 de noviembre, de Estabilidad Presupuestaria, en su Aplicación a las Entidades Locales. </w:t>
      </w:r>
    </w:p>
    <w:p w:rsidR="00FF384B" w:rsidRDefault="003E3BA9">
      <w:pPr>
        <w:numPr>
          <w:ilvl w:val="0"/>
          <w:numId w:val="14"/>
        </w:numPr>
        <w:spacing w:after="51" w:line="247" w:lineRule="auto"/>
        <w:ind w:right="244" w:hanging="360"/>
        <w:jc w:val="both"/>
      </w:pPr>
      <w:r>
        <w:rPr>
          <w:rFonts w:ascii="Arial" w:eastAsia="Arial" w:hAnsi="Arial" w:cs="Arial"/>
        </w:rPr>
        <w:t xml:space="preserve">El artículo 22.2.e) de la Ley 7/1985, de 2 de abril, </w:t>
      </w:r>
      <w:r>
        <w:rPr>
          <w:rFonts w:ascii="Arial" w:eastAsia="Arial" w:hAnsi="Arial" w:cs="Arial"/>
        </w:rPr>
        <w:t xml:space="preserve">Reguladora de las Bases del Régimen Local. </w:t>
      </w:r>
    </w:p>
    <w:p w:rsidR="00FF384B" w:rsidRDefault="003E3BA9">
      <w:pPr>
        <w:numPr>
          <w:ilvl w:val="0"/>
          <w:numId w:val="14"/>
        </w:numPr>
        <w:spacing w:after="88" w:line="247" w:lineRule="auto"/>
        <w:ind w:right="244" w:hanging="360"/>
        <w:jc w:val="both"/>
      </w:pPr>
      <w:r>
        <w:rPr>
          <w:rFonts w:ascii="Arial" w:eastAsia="Arial" w:hAnsi="Arial" w:cs="Arial"/>
        </w:rPr>
        <w:t xml:space="preserve">La Disposición Adicional 6.ª de la Ley Orgánica 2/2012, de 27 de abril, de Estabilidad Presupuestaria y Sostenibilidad Financiera. </w:t>
      </w:r>
    </w:p>
    <w:p w:rsidR="00FF384B" w:rsidRDefault="003E3BA9">
      <w:pPr>
        <w:numPr>
          <w:ilvl w:val="0"/>
          <w:numId w:val="14"/>
        </w:numPr>
        <w:spacing w:after="36" w:line="247" w:lineRule="auto"/>
        <w:ind w:right="244" w:hanging="360"/>
        <w:jc w:val="both"/>
      </w:pPr>
      <w:r>
        <w:rPr>
          <w:rFonts w:ascii="Arial" w:eastAsia="Arial" w:hAnsi="Arial" w:cs="Arial"/>
        </w:rPr>
        <w:t>La Orden EHA/3565/2008, de 3 de diciembre, por la que se aprueba la estructura d</w:t>
      </w:r>
      <w:r>
        <w:rPr>
          <w:rFonts w:ascii="Arial" w:eastAsia="Arial" w:hAnsi="Arial" w:cs="Arial"/>
        </w:rPr>
        <w:t>e presupuestos de las entidades locales. - Resolución de 14 de septiembre de 2009, de la Dirección General de Coordinación Financiera con las Comunidades Autónomas y con las Entidades Locales, por la que se Dictan Medidas para el Desarrollo de la Orden EHA</w:t>
      </w:r>
      <w:r>
        <w:rPr>
          <w:rFonts w:ascii="Arial" w:eastAsia="Arial" w:hAnsi="Arial" w:cs="Arial"/>
        </w:rPr>
        <w:t>/3565/2008, de 3 de diciembre, por la que se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numPr>
          <w:ilvl w:val="0"/>
          <w:numId w:val="14"/>
        </w:numPr>
        <w:spacing w:after="5" w:line="247" w:lineRule="auto"/>
        <w:ind w:right="244" w:hanging="360"/>
        <w:jc w:val="both"/>
      </w:pPr>
      <w:r>
        <w:rPr>
          <w:rFonts w:ascii="Arial" w:eastAsia="Arial" w:hAnsi="Arial" w:cs="Arial"/>
        </w:rPr>
        <w:t xml:space="preserve">La Disposición Adicional 16.ª del Texto Refundido de la Ley Reguladora de las Haciendas Locales.  </w:t>
      </w:r>
    </w:p>
    <w:p w:rsidR="00FF384B" w:rsidRDefault="003E3BA9">
      <w:pPr>
        <w:numPr>
          <w:ilvl w:val="0"/>
          <w:numId w:val="14"/>
        </w:numPr>
        <w:spacing w:after="53" w:line="247" w:lineRule="auto"/>
        <w:ind w:right="244" w:hanging="360"/>
        <w:jc w:val="both"/>
      </w:pPr>
      <w:r>
        <w:rPr>
          <w:rFonts w:ascii="Arial" w:eastAsia="Arial" w:hAnsi="Arial" w:cs="Arial"/>
        </w:rPr>
        <w:t>Acuerdo del Congreso de los Diputados del 1</w:t>
      </w:r>
      <w:r>
        <w:rPr>
          <w:rFonts w:ascii="Arial" w:eastAsia="Arial" w:hAnsi="Arial" w:cs="Arial"/>
        </w:rPr>
        <w:t>3 de octubre de 2020, relativo al Objetivo de Estabilidad Presupuestaria, según acuerdo del Consejo de Ministros de 6 de octubre de 2020 de “Someter a la deliberación del Pleno, a los efectos previstos en los artículos 135.4 de la Constitución y 11.3 de la</w:t>
      </w:r>
      <w:r>
        <w:rPr>
          <w:rFonts w:ascii="Arial" w:eastAsia="Arial" w:hAnsi="Arial" w:cs="Arial"/>
        </w:rPr>
        <w:t xml:space="preserve"> Ley Orgánica 2/2012, de 27 de abril, de Estabilidad Presupuestaria y Sostenibilidad Financiera y publicar en el Boletín Oficial de las Cortes Generales.”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TERCERO</w:t>
      </w:r>
      <w:r>
        <w:rPr>
          <w:rFonts w:ascii="Arial" w:eastAsia="Arial" w:hAnsi="Arial" w:cs="Arial"/>
        </w:rPr>
        <w:t>: Considerando que el artículo 177 del Real Decreto Legislativo 2/2004, de 5 de marzo, por el que se aprueba el texto refundido de la Ley Reguladora de las Haciendas Locales, regula los expedientes de modificación presupuestaria mediante créditos extraordi</w:t>
      </w:r>
      <w:r>
        <w:rPr>
          <w:rFonts w:ascii="Arial" w:eastAsia="Arial" w:hAnsi="Arial" w:cs="Arial"/>
        </w:rPr>
        <w:t>narios y suplementos de crédito, al señalar que:</w:t>
      </w:r>
      <w:r>
        <w:rPr>
          <w:rFonts w:ascii="Times New Roman" w:eastAsia="Times New Roman" w:hAnsi="Times New Roman" w:cs="Times New Roman"/>
          <w:sz w:val="24"/>
        </w:rPr>
        <w:t xml:space="preserve"> </w:t>
      </w:r>
    </w:p>
    <w:p w:rsidR="00FF384B" w:rsidRDefault="003E3BA9">
      <w:pPr>
        <w:numPr>
          <w:ilvl w:val="0"/>
          <w:numId w:val="15"/>
        </w:numPr>
        <w:spacing w:after="5" w:line="247" w:lineRule="auto"/>
        <w:ind w:right="244" w:hanging="360"/>
        <w:jc w:val="both"/>
      </w:pPr>
      <w:r>
        <w:rPr>
          <w:rFonts w:ascii="Arial" w:eastAsia="Arial" w:hAnsi="Arial" w:cs="Arial"/>
        </w:rPr>
        <w:t>Cuando haya de realizarse algún gasto que no pueda demorarse hasta el ejercicio siguiente, y sea insuficiente en el presupuesto de la corporación el crédito consignado, el presidente de la corporación orden</w:t>
      </w:r>
      <w:r>
        <w:rPr>
          <w:rFonts w:ascii="Arial" w:eastAsia="Arial" w:hAnsi="Arial" w:cs="Arial"/>
        </w:rPr>
        <w:t xml:space="preserve">ará la incoación del expediente de suplemento de crédito.  </w:t>
      </w:r>
    </w:p>
    <w:p w:rsidR="00FF384B" w:rsidRDefault="003E3BA9">
      <w:pPr>
        <w:numPr>
          <w:ilvl w:val="0"/>
          <w:numId w:val="15"/>
        </w:numPr>
        <w:spacing w:after="5" w:line="247" w:lineRule="auto"/>
        <w:ind w:right="244" w:hanging="360"/>
        <w:jc w:val="both"/>
      </w:pPr>
      <w:r>
        <w:rPr>
          <w:noProof/>
        </w:rPr>
        <mc:AlternateContent>
          <mc:Choice Requires="wpg">
            <w:drawing>
              <wp:anchor distT="0" distB="0" distL="114300" distR="114300" simplePos="0" relativeHeight="2516971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1448" name="Group 47144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0526" name="Picture 10526"/>
                          <pic:cNvPicPr/>
                        </pic:nvPicPr>
                        <pic:blipFill>
                          <a:blip r:embed="rId62"/>
                          <a:stretch>
                            <a:fillRect/>
                          </a:stretch>
                        </pic:blipFill>
                        <pic:spPr>
                          <a:xfrm rot="-5399999">
                            <a:off x="-1720849" y="1720849"/>
                            <a:ext cx="3797300" cy="355601"/>
                          </a:xfrm>
                          <a:prstGeom prst="rect">
                            <a:avLst/>
                          </a:prstGeom>
                        </pic:spPr>
                      </pic:pic>
                      <wps:wsp>
                        <wps:cNvPr id="10527" name="Rectangle 1052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0528" name="Rectangle 1052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1448" style="width:41.2715pt;height:299pt;position:absolute;mso-position-horizontal-relative:page;mso-position-horizontal:absolute;margin-left:653.71pt;mso-position-vertical-relative:page;margin-top:512.92pt;" coordsize="5241,37973">
                <v:shape id="Picture 10526" style="position:absolute;width:37973;height:3556;left:-17208;top:17208;rotation:-89;" filled="f">
                  <v:imagedata r:id="rId63"/>
                </v:shape>
                <v:rect id="Rectangle 1052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052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353 </w:t>
                        </w:r>
                      </w:p>
                    </w:txbxContent>
                  </v:textbox>
                </v:rect>
                <w10:wrap type="square"/>
              </v:group>
            </w:pict>
          </mc:Fallback>
        </mc:AlternateContent>
      </w:r>
      <w:r>
        <w:rPr>
          <w:rFonts w:ascii="Arial" w:eastAsia="Arial" w:hAnsi="Arial" w:cs="Arial"/>
        </w:rPr>
        <w:t>El expediente, que habrá de ser previamente informado por la Intervención, se someterá a la aprobación del Pleno de la corporación, con sujeción a los mismos trámites y requisitos que los presupuestos. Serán asimismo, de aplicación, las normas sobre infor</w:t>
      </w:r>
      <w:r>
        <w:rPr>
          <w:rFonts w:ascii="Arial" w:eastAsia="Arial" w:hAnsi="Arial" w:cs="Arial"/>
        </w:rPr>
        <w:t xml:space="preserve">mación, reclamación y publicidad de los presupuestos a que se refiere el artículo 169 de esta ley.  </w:t>
      </w:r>
    </w:p>
    <w:p w:rsidR="00FF384B" w:rsidRDefault="003E3BA9">
      <w:pPr>
        <w:numPr>
          <w:ilvl w:val="0"/>
          <w:numId w:val="15"/>
        </w:numPr>
        <w:spacing w:after="44" w:line="247" w:lineRule="auto"/>
        <w:ind w:right="244" w:hanging="360"/>
        <w:jc w:val="both"/>
      </w:pPr>
      <w:r>
        <w:rPr>
          <w:rFonts w:ascii="Arial" w:eastAsia="Arial" w:hAnsi="Arial" w:cs="Arial"/>
        </w:rPr>
        <w:t xml:space="preserve">El expediente deberá especificar la concreta partida presupuestaria a incrementar y el medio o recurso que ha de financiar el aumento que se propone. </w:t>
      </w:r>
    </w:p>
    <w:p w:rsidR="00FF384B" w:rsidRDefault="003E3BA9">
      <w:pPr>
        <w:numPr>
          <w:ilvl w:val="0"/>
          <w:numId w:val="15"/>
        </w:numPr>
        <w:spacing w:after="5" w:line="247" w:lineRule="auto"/>
        <w:ind w:right="244" w:hanging="360"/>
        <w:jc w:val="both"/>
      </w:pPr>
      <w:r>
        <w:rPr>
          <w:rFonts w:ascii="Arial" w:eastAsia="Arial" w:hAnsi="Arial" w:cs="Arial"/>
        </w:rPr>
        <w:t>Dich</w:t>
      </w:r>
      <w:r>
        <w:rPr>
          <w:rFonts w:ascii="Arial" w:eastAsia="Arial" w:hAnsi="Arial" w:cs="Arial"/>
        </w:rPr>
        <w:t>o aumento se financiará con cargo al remanente líquido de tesorería, con nuevos o mayores ingresos recaudados sobre los totales previstos en el presupuesto corriente, y mediante anulaciones o bajas de créditos de gastos de otras partidas del presupuesto vi</w:t>
      </w:r>
      <w:r>
        <w:rPr>
          <w:rFonts w:ascii="Arial" w:eastAsia="Arial" w:hAnsi="Arial" w:cs="Arial"/>
        </w:rPr>
        <w:t>gente no comprometidos, cuyas dotaciones se estimen reducibles sin perturbación del respectivo servicio. En el expediente se acreditará que los ingresos previstos en el presupuesto vengan efectuándose con normalidad, salvo que aquéllos tengan carácter fina</w:t>
      </w:r>
      <w:r>
        <w:rPr>
          <w:rFonts w:ascii="Arial" w:eastAsia="Arial" w:hAnsi="Arial" w:cs="Arial"/>
        </w:rPr>
        <w:t xml:space="preserve">lista.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CUARTO:</w:t>
      </w:r>
      <w:r>
        <w:rPr>
          <w:rFonts w:ascii="Arial" w:eastAsia="Arial" w:hAnsi="Arial" w:cs="Arial"/>
        </w:rPr>
        <w:t xml:space="preserve"> Que el expediente de modificación presupuestaria nº 2688/2021, por Créditos Extraordinarios financiado con remanente de tesorería para gastos generales, se realizará por la cantidad de</w:t>
      </w:r>
      <w:r>
        <w:rPr>
          <w:rFonts w:ascii="Arial" w:eastAsia="Arial" w:hAnsi="Arial" w:cs="Arial"/>
          <w:b/>
        </w:rPr>
        <w:t xml:space="preserve"> 4.034.835,71 Euros</w:t>
      </w:r>
      <w:r>
        <w:rPr>
          <w:rFonts w:ascii="Arial" w:eastAsia="Arial" w:hAnsi="Arial" w:cs="Arial"/>
        </w:rPr>
        <w:t>, según el siguiente detalle: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tabs>
          <w:tab w:val="center" w:pos="422"/>
          <w:tab w:val="center" w:pos="1848"/>
          <w:tab w:val="center" w:pos="5433"/>
          <w:tab w:val="center" w:pos="8716"/>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9074" w:type="dxa"/>
        <w:tblInd w:w="354" w:type="dxa"/>
        <w:tblCellMar>
          <w:top w:w="5" w:type="dxa"/>
          <w:left w:w="68" w:type="dxa"/>
          <w:bottom w:w="6" w:type="dxa"/>
          <w:right w:w="7" w:type="dxa"/>
        </w:tblCellMar>
        <w:tblLook w:val="04A0" w:firstRow="1" w:lastRow="0" w:firstColumn="1" w:lastColumn="0" w:noHBand="0" w:noVBand="1"/>
      </w:tblPr>
      <w:tblGrid>
        <w:gridCol w:w="1423"/>
        <w:gridCol w:w="1082"/>
        <w:gridCol w:w="5144"/>
        <w:gridCol w:w="1424"/>
      </w:tblGrid>
      <w:tr w:rsidR="00FF384B">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jc w:val="center"/>
            </w:pPr>
            <w:r>
              <w:rPr>
                <w:rFonts w:ascii="Arial" w:eastAsia="Arial" w:hAnsi="Arial" w:cs="Arial"/>
                <w:b/>
              </w:rPr>
              <w:t xml:space="preserve">Proyecto gasto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7"/>
              <w:jc w:val="center"/>
            </w:pPr>
            <w:r>
              <w:rPr>
                <w:rFonts w:ascii="Arial" w:eastAsia="Arial" w:hAnsi="Arial" w:cs="Arial"/>
                <w:b/>
              </w:rPr>
              <w:t xml:space="preserve">Denominación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8"/>
              <w:jc w:val="center"/>
            </w:pPr>
            <w:r>
              <w:rPr>
                <w:rFonts w:ascii="Arial" w:eastAsia="Arial" w:hAnsi="Arial" w:cs="Arial"/>
                <w:b/>
              </w:rPr>
              <w:t xml:space="preserve">Importe </w:t>
            </w:r>
          </w:p>
        </w:tc>
      </w:tr>
      <w:tr w:rsidR="00FF384B">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P.21.2.35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6.448,69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P.21.2.34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10.815,78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P.21.2.33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PANELES FOTOVOLTAICO DEPENDENCIAS MUNICIPALES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17.232,38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13200.62300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MAQUINARIA, INSTALACIONES Y UTILLAJE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35.802,14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13200.62400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ADQUISICIÓN DE VEHÍCULOS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117.470,62 </w:t>
            </w:r>
          </w:p>
        </w:tc>
      </w:tr>
    </w:tbl>
    <w:tbl>
      <w:tblPr>
        <w:tblStyle w:val="TableGrid"/>
        <w:tblpPr w:vertAnchor="text" w:tblpX="353"/>
        <w:tblOverlap w:val="never"/>
        <w:tblW w:w="9076" w:type="dxa"/>
        <w:tblInd w:w="0" w:type="dxa"/>
        <w:tblCellMar>
          <w:top w:w="4" w:type="dxa"/>
          <w:left w:w="70" w:type="dxa"/>
          <w:bottom w:w="6" w:type="dxa"/>
          <w:right w:w="8" w:type="dxa"/>
        </w:tblCellMar>
        <w:tblLook w:val="04A0" w:firstRow="1" w:lastRow="0" w:firstColumn="1" w:lastColumn="0" w:noHBand="0" w:noVBand="1"/>
      </w:tblPr>
      <w:tblGrid>
        <w:gridCol w:w="1426"/>
        <w:gridCol w:w="1083"/>
        <w:gridCol w:w="5144"/>
        <w:gridCol w:w="1423"/>
      </w:tblGrid>
      <w:tr w:rsidR="00FF384B">
        <w:trPr>
          <w:trHeight w:val="259"/>
        </w:trPr>
        <w:tc>
          <w:tcPr>
            <w:tcW w:w="1426"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13500.62200 </w:t>
            </w:r>
          </w:p>
        </w:tc>
        <w:tc>
          <w:tcPr>
            <w:tcW w:w="1083"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CASETA PUESTO SOCORRISMO </w:t>
            </w:r>
          </w:p>
        </w:tc>
        <w:tc>
          <w:tcPr>
            <w:tcW w:w="1423" w:type="dxa"/>
            <w:tcBorders>
              <w:top w:val="nil"/>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18.641,95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15100.22713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REDACCIÓN Y DIRECCIÓN PROYECTO ADUDITORIO DE CANDELARIA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370.450,50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15100.22714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REDACCIÓN Y DIRECCIÓN PROYECTO PISCINA MUNICIPAL CUBIERTA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187.250,00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15100.60000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PARA AMPLICACIÓN CENTRO ALFARERO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150.000,00 </w:t>
            </w:r>
          </w:p>
        </w:tc>
      </w:tr>
      <w:tr w:rsidR="00FF384B">
        <w:trPr>
          <w:trHeight w:val="517"/>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15100.60001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LA BASÍLICA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15100.60002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VIVIENDAS DE PROMOCIÓN PÚBLICA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15100.60003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ESTACIÓN BOMBEO SAN BLAS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15100.60004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PEATONAL CON DESTINO PÚBLICO IGUESTE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25.000,00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15100.60005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EBAR LA VIUDA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16.502,85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15100.60910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OBRA PLAZA DE LA VIUDA: EQUIPAMIENTO DEPORTIVO Y ASISTENCIAL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584.831,47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15100.61911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OBRA REMODELACIÓN PLAZA DE SANTA ANA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955.741,74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15100.61912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OBRA ADECUACIÓN ESPACIO LIBRE Y ESCULTURA DE ARAYA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146.676,02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17100.62500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DOTACIÓN MOBILIARIO Y REHABILITACIÓN PARQUES INFANTILES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80.611,82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23100.61901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CENTRO DE ALZHEIMER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27.590,55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32300.21300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INSTALACION BAJA TENSIÓN CEIP IGUESTEPUNTA LARGA Y PRINCIPE FELIPE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156.178,83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33400.62301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AIRE ACONDICIONADO CINE VIEJO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31.182,80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33400.62400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20.665,48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34100.61904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ÁREA DEPORTIVA: MÓDULO DE ATLETISMO Y CAMPO DE FUTBOL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17.008,72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34100.61905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PABELLÓN PUNTA LARGA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42.798,79 </w:t>
            </w:r>
          </w:p>
        </w:tc>
      </w:tr>
      <w:tr w:rsidR="00FF384B">
        <w:trPr>
          <w:trHeight w:val="517"/>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34100.61906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COMPLEJO DEPORTIVO ÁLVARO DE ARMAS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24.455,30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34100.61907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ACONDICIONAMIENTO Y ADECUACIÓN DE BAR/CAFETERIA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146.774,87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34100.62500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MOBILIARIO INSTALACIONES DEPORTIVAS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8.533,55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45900.61901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SABINITA IGUESTE DE CANDELARIA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33.922,92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45900.61902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MALPAIS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39.839,44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45900.61903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LIBERTAD IGUESTE DE CANDELARIA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39.899,65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45900.61904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DEMOLICIÓN ESCUELITA CALLE LOS SABINAS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23.366,61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49200.45300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CONVENIO ULL: CATEDRA DE ORGANIZACIONES SALUDABLES, BIENESTAR….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49200.62500 </w:t>
            </w:r>
          </w:p>
        </w:tc>
        <w:tc>
          <w:tcPr>
            <w:tcW w:w="108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MOBILIARIO CTCAN </w:t>
            </w:r>
          </w:p>
        </w:tc>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20.372,80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49200.62601 </w:t>
            </w:r>
          </w:p>
        </w:tc>
        <w:tc>
          <w:tcPr>
            <w:tcW w:w="108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SISTEMA DE GRABACIÓN, ESTRAMING Y VIDEOCONFERENCIA DEPENDENCIAS </w:t>
            </w:r>
          </w:p>
        </w:tc>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30.118,61 </w:t>
            </w:r>
          </w:p>
        </w:tc>
      </w:tr>
    </w:tbl>
    <w:p w:rsidR="00FF384B" w:rsidRDefault="003E3BA9">
      <w:pPr>
        <w:spacing w:after="0"/>
        <w:ind w:left="-2553" w:right="11595"/>
      </w:pPr>
      <w:r>
        <w:rPr>
          <w:noProof/>
        </w:rPr>
        <mc:AlternateContent>
          <mc:Choice Requires="wpg">
            <w:drawing>
              <wp:anchor distT="0" distB="0" distL="114300" distR="114300" simplePos="0" relativeHeight="25169817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46387" name="Group 54638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1224" name="Picture 11224"/>
                          <pic:cNvPicPr/>
                        </pic:nvPicPr>
                        <pic:blipFill>
                          <a:blip r:embed="rId62"/>
                          <a:stretch>
                            <a:fillRect/>
                          </a:stretch>
                        </pic:blipFill>
                        <pic:spPr>
                          <a:xfrm rot="-5399999">
                            <a:off x="-1720849" y="1720849"/>
                            <a:ext cx="3797300" cy="355601"/>
                          </a:xfrm>
                          <a:prstGeom prst="rect">
                            <a:avLst/>
                          </a:prstGeom>
                        </pic:spPr>
                      </pic:pic>
                      <wps:wsp>
                        <wps:cNvPr id="11225" name="Rectangle 1122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1226" name="Rectangle 1122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6387" style="width:41.2715pt;height:299pt;position:absolute;mso-position-horizontal-relative:page;mso-position-horizontal:absolute;margin-left:653.71pt;mso-position-vertical-relative:page;margin-top:512.92pt;" coordsize="5241,37973">
                <v:shape id="Picture 11224" style="position:absolute;width:37973;height:3556;left:-17208;top:17208;rotation:-89;" filled="f">
                  <v:imagedata r:id="rId63"/>
                </v:shape>
                <v:rect id="Rectangle 1122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122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353 </w:t>
                        </w:r>
                      </w:p>
                    </w:txbxContent>
                  </v:textbox>
                </v:rect>
                <w10:wrap type="topAndBottom"/>
              </v:group>
            </w:pict>
          </mc:Fallback>
        </mc:AlternateContent>
      </w:r>
      <w:r>
        <w:br w:type="page"/>
      </w:r>
    </w:p>
    <w:tbl>
      <w:tblPr>
        <w:tblStyle w:val="TableGrid"/>
        <w:tblW w:w="9074" w:type="dxa"/>
        <w:tblInd w:w="354" w:type="dxa"/>
        <w:tblCellMar>
          <w:top w:w="4" w:type="dxa"/>
          <w:left w:w="68" w:type="dxa"/>
          <w:bottom w:w="8" w:type="dxa"/>
          <w:right w:w="7" w:type="dxa"/>
        </w:tblCellMar>
        <w:tblLook w:val="04A0" w:firstRow="1" w:lastRow="0" w:firstColumn="1" w:lastColumn="0" w:noHBand="0" w:noVBand="1"/>
      </w:tblPr>
      <w:tblGrid>
        <w:gridCol w:w="1423"/>
        <w:gridCol w:w="1082"/>
        <w:gridCol w:w="5144"/>
        <w:gridCol w:w="1424"/>
      </w:tblGrid>
      <w:tr w:rsidR="00FF384B">
        <w:trPr>
          <w:trHeight w:val="259"/>
        </w:trPr>
        <w:tc>
          <w:tcPr>
            <w:tcW w:w="1423"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49200.62602 </w:t>
            </w:r>
          </w:p>
        </w:tc>
        <w:tc>
          <w:tcPr>
            <w:tcW w:w="1082" w:type="dxa"/>
            <w:tcBorders>
              <w:top w:val="nil"/>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EQUIPOS DE FIRMA PARA EL SAC </w:t>
            </w:r>
          </w:p>
        </w:tc>
        <w:tc>
          <w:tcPr>
            <w:tcW w:w="1424" w:type="dxa"/>
            <w:tcBorders>
              <w:top w:val="nil"/>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5.314,00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49200.62603 </w:t>
            </w:r>
          </w:p>
        </w:tc>
        <w:tc>
          <w:tcPr>
            <w:tcW w:w="1082"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2"/>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PROYECTO DE RENOVACION INFRAESRUCTURA DE VIRTUALIZACIÓN Y…. </w:t>
            </w:r>
          </w:p>
        </w:tc>
        <w:tc>
          <w:tcPr>
            <w:tcW w:w="142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68.336,83 </w:t>
            </w:r>
          </w:p>
        </w:tc>
      </w:tr>
      <w:tr w:rsidR="00FF384B">
        <w:trPr>
          <w:trHeight w:val="340"/>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92000.86030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4"/>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COMPRA DE ACCIONES DE AGUA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120.000,00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4"/>
              <w:jc w:val="center"/>
            </w:pPr>
            <w:r>
              <w:rPr>
                <w:rFonts w:ascii="Arial" w:eastAsia="Arial" w:hAnsi="Arial" w:cs="Arial"/>
                <w:b/>
              </w:rPr>
              <w:t xml:space="preserve">TOTAL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both"/>
            </w:pPr>
            <w:r>
              <w:rPr>
                <w:rFonts w:ascii="Arial" w:eastAsia="Arial" w:hAnsi="Arial" w:cs="Arial"/>
                <w:b/>
              </w:rPr>
              <w:t xml:space="preserve">4.034.835,71 </w:t>
            </w:r>
          </w:p>
        </w:tc>
      </w:tr>
    </w:tbl>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883"/>
        <w:jc w:val="center"/>
      </w:pPr>
      <w:r>
        <w:rPr>
          <w:rFonts w:ascii="Arial" w:eastAsia="Arial" w:hAnsi="Arial" w:cs="Arial"/>
        </w:rPr>
        <w:t xml:space="preserve"> </w:t>
      </w:r>
    </w:p>
    <w:p w:rsidR="00FF384B" w:rsidRDefault="003E3BA9">
      <w:pPr>
        <w:spacing w:after="0"/>
        <w:ind w:left="1706"/>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p>
    <w:p w:rsidR="00FF384B" w:rsidRDefault="003E3BA9">
      <w:pPr>
        <w:spacing w:after="0"/>
        <w:ind w:left="1706"/>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F384B" w:rsidRDefault="003E3BA9">
      <w:pPr>
        <w:tabs>
          <w:tab w:val="center" w:pos="422"/>
          <w:tab w:val="center" w:pos="1848"/>
          <w:tab w:val="center" w:pos="5433"/>
          <w:tab w:val="center" w:pos="8716"/>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9074" w:type="dxa"/>
        <w:tblInd w:w="354" w:type="dxa"/>
        <w:tblCellMar>
          <w:top w:w="5" w:type="dxa"/>
          <w:left w:w="68" w:type="dxa"/>
          <w:bottom w:w="0" w:type="dxa"/>
          <w:right w:w="7" w:type="dxa"/>
        </w:tblCellMar>
        <w:tblLook w:val="04A0" w:firstRow="1" w:lastRow="0" w:firstColumn="1" w:lastColumn="0" w:noHBand="0" w:noVBand="1"/>
      </w:tblPr>
      <w:tblGrid>
        <w:gridCol w:w="1423"/>
        <w:gridCol w:w="1082"/>
        <w:gridCol w:w="5144"/>
        <w:gridCol w:w="1424"/>
      </w:tblGrid>
      <w:tr w:rsidR="00FF384B">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7"/>
              <w:jc w:val="center"/>
            </w:pPr>
            <w:r>
              <w:rPr>
                <w:rFonts w:ascii="Arial" w:eastAsia="Arial" w:hAnsi="Arial" w:cs="Arial"/>
                <w:b/>
              </w:rPr>
              <w:t xml:space="preserve">Denominación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8"/>
              <w:jc w:val="center"/>
            </w:pPr>
            <w:r>
              <w:rPr>
                <w:rFonts w:ascii="Arial" w:eastAsia="Arial" w:hAnsi="Arial" w:cs="Arial"/>
                <w:b/>
              </w:rPr>
              <w:t xml:space="preserve">Importe </w:t>
            </w:r>
          </w:p>
        </w:tc>
      </w:tr>
      <w:tr w:rsidR="00FF384B">
        <w:trPr>
          <w:trHeight w:val="266"/>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rPr>
              <w:t xml:space="preserve">870.00 </w:t>
            </w:r>
          </w:p>
        </w:tc>
        <w:tc>
          <w:tcPr>
            <w:tcW w:w="108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rPr>
              <w:t xml:space="preserve">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pPr>
            <w:r>
              <w:rPr>
                <w:rFonts w:ascii="Arial" w:eastAsia="Arial" w:hAnsi="Arial" w:cs="Arial"/>
              </w:rPr>
              <w:t xml:space="preserve">Remanente de Tesorería para Gastos Generales  </w:t>
            </w:r>
          </w:p>
        </w:tc>
        <w:tc>
          <w:tcPr>
            <w:tcW w:w="14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both"/>
            </w:pPr>
            <w:r>
              <w:rPr>
                <w:rFonts w:ascii="Arial" w:eastAsia="Arial" w:hAnsi="Arial" w:cs="Arial"/>
              </w:rPr>
              <w:t xml:space="preserve">4.034.835,71 </w:t>
            </w:r>
          </w:p>
        </w:tc>
      </w:tr>
      <w:tr w:rsidR="00FF384B">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3"/>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4"/>
              <w:jc w:val="center"/>
            </w:pPr>
            <w:r>
              <w:rPr>
                <w:rFonts w:ascii="Arial" w:eastAsia="Arial" w:hAnsi="Arial" w:cs="Arial"/>
                <w:b/>
              </w:rPr>
              <w:t xml:space="preserve">TOTAL </w:t>
            </w:r>
          </w:p>
        </w:tc>
        <w:tc>
          <w:tcPr>
            <w:tcW w:w="142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both"/>
            </w:pPr>
            <w:r>
              <w:rPr>
                <w:rFonts w:ascii="Arial" w:eastAsia="Arial" w:hAnsi="Arial" w:cs="Arial"/>
                <w:b/>
              </w:rPr>
              <w:t xml:space="preserve">4.034.835,71 </w:t>
            </w:r>
          </w:p>
        </w:tc>
      </w:tr>
    </w:tbl>
    <w:p w:rsidR="00FF384B" w:rsidRDefault="003E3BA9">
      <w:pPr>
        <w:spacing w:after="131" w:line="247" w:lineRule="auto"/>
        <w:ind w:left="278" w:right="244" w:hanging="10"/>
        <w:jc w:val="both"/>
      </w:pPr>
      <w:r>
        <w:rPr>
          <w:rFonts w:ascii="Arial" w:eastAsia="Arial" w:hAnsi="Arial" w:cs="Arial"/>
        </w:rPr>
        <w:t xml:space="preserve">“ </w:t>
      </w:r>
    </w:p>
    <w:p w:rsidR="00FF384B" w:rsidRDefault="003E3BA9">
      <w:pPr>
        <w:spacing w:after="0"/>
        <w:ind w:left="991"/>
      </w:pPr>
      <w:r>
        <w:rPr>
          <w:rFonts w:ascii="Arial" w:eastAsia="Arial" w:hAnsi="Arial" w:cs="Arial"/>
          <w:b/>
        </w:rPr>
        <w:t xml:space="preserve"> </w:t>
      </w:r>
    </w:p>
    <w:p w:rsidR="00FF384B" w:rsidRDefault="003E3BA9">
      <w:pPr>
        <w:spacing w:after="0"/>
        <w:ind w:left="991"/>
      </w:pPr>
      <w:r>
        <w:rPr>
          <w:rFonts w:ascii="Arial" w:eastAsia="Arial" w:hAnsi="Arial" w:cs="Arial"/>
          <w:b/>
        </w:rPr>
        <w:t xml:space="preserve"> </w:t>
      </w:r>
    </w:p>
    <w:p w:rsidR="00FF384B" w:rsidRDefault="003E3BA9">
      <w:pPr>
        <w:spacing w:after="0"/>
        <w:ind w:left="10" w:right="246" w:hanging="10"/>
        <w:jc w:val="right"/>
      </w:pPr>
      <w:r>
        <w:rPr>
          <w:rFonts w:ascii="Arial" w:eastAsia="Arial" w:hAnsi="Arial" w:cs="Arial"/>
          <w:b/>
        </w:rPr>
        <w:t xml:space="preserve">Consta en el expediente propuesta del Concejal delegado de Hacienda, D. </w:t>
      </w:r>
    </w:p>
    <w:p w:rsidR="00FF384B" w:rsidRDefault="003E3BA9">
      <w:pPr>
        <w:spacing w:after="15" w:line="247" w:lineRule="auto"/>
        <w:ind w:left="286" w:hanging="3"/>
        <w:jc w:val="both"/>
      </w:pPr>
      <w:r>
        <w:rPr>
          <w:rFonts w:ascii="Arial" w:eastAsia="Arial" w:hAnsi="Arial" w:cs="Arial"/>
          <w:b/>
        </w:rPr>
        <w:t xml:space="preserve">Airam Pérez Chinea, de fecha 21 de abril de 2021, que transcrito literalmente dice: </w:t>
      </w:r>
    </w:p>
    <w:p w:rsidR="00FF384B" w:rsidRDefault="003E3BA9">
      <w:pPr>
        <w:spacing w:after="124"/>
        <w:ind w:left="283"/>
      </w:pPr>
      <w:r>
        <w:rPr>
          <w:rFonts w:ascii="Arial" w:eastAsia="Arial" w:hAnsi="Arial" w:cs="Arial"/>
          <w:b/>
        </w:rPr>
        <w:t xml:space="preserve"> </w:t>
      </w:r>
    </w:p>
    <w:p w:rsidR="00FF384B" w:rsidRDefault="003E3BA9">
      <w:pPr>
        <w:spacing w:after="118" w:line="247" w:lineRule="auto"/>
        <w:ind w:left="268" w:right="244" w:firstLine="708"/>
        <w:jc w:val="both"/>
      </w:pPr>
      <w:r>
        <w:rPr>
          <w:noProof/>
        </w:rPr>
        <mc:AlternateContent>
          <mc:Choice Requires="wpg">
            <w:drawing>
              <wp:anchor distT="0" distB="0" distL="114300" distR="114300" simplePos="0" relativeHeight="2516992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9903" name="Group 47990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1518" name="Picture 11518"/>
                          <pic:cNvPicPr/>
                        </pic:nvPicPr>
                        <pic:blipFill>
                          <a:blip r:embed="rId62"/>
                          <a:stretch>
                            <a:fillRect/>
                          </a:stretch>
                        </pic:blipFill>
                        <pic:spPr>
                          <a:xfrm rot="-5399999">
                            <a:off x="-1720849" y="1720849"/>
                            <a:ext cx="3797300" cy="355601"/>
                          </a:xfrm>
                          <a:prstGeom prst="rect">
                            <a:avLst/>
                          </a:prstGeom>
                        </pic:spPr>
                      </pic:pic>
                      <wps:wsp>
                        <wps:cNvPr id="11519" name="Rectangle 1151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1520" name="Rectangle 1152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9903" style="width:41.2715pt;height:299pt;position:absolute;mso-position-horizontal-relative:page;mso-position-horizontal:absolute;margin-left:653.71pt;mso-position-vertical-relative:page;margin-top:512.92pt;" coordsize="5241,37973">
                <v:shape id="Picture 11518" style="position:absolute;width:37973;height:3556;left:-17208;top:17208;rotation:-89;" filled="f">
                  <v:imagedata r:id="rId63"/>
                </v:shape>
                <v:rect id="Rectangle 1151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152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353 </w:t>
                        </w:r>
                      </w:p>
                    </w:txbxContent>
                  </v:textbox>
                </v:rect>
                <w10:wrap type="square"/>
              </v:group>
            </w:pict>
          </mc:Fallback>
        </mc:AlternateContent>
      </w:r>
      <w:r>
        <w:rPr>
          <w:rFonts w:ascii="Arial" w:eastAsia="Arial" w:hAnsi="Arial" w:cs="Arial"/>
        </w:rPr>
        <w:t>“Dado expediente 2688/2021 de Créditos Extraordinarios, relativos a actuaciones y necesidades para dotar infraestructuras y servicios municipales, y visto informe</w:t>
      </w:r>
      <w:r>
        <w:rPr>
          <w:rFonts w:ascii="Arial" w:eastAsia="Arial" w:hAnsi="Arial" w:cs="Arial"/>
        </w:rPr>
        <w:t xml:space="preserve"> de la Intervención General que se transcribe a continuación:</w:t>
      </w:r>
      <w:r>
        <w:rPr>
          <w:rFonts w:ascii="Times New Roman" w:eastAsia="Times New Roman" w:hAnsi="Times New Roman" w:cs="Times New Roman"/>
          <w:sz w:val="24"/>
        </w:rPr>
        <w:t xml:space="preserve"> </w:t>
      </w:r>
    </w:p>
    <w:p w:rsidR="00FF384B" w:rsidRDefault="003E3BA9">
      <w:pPr>
        <w:spacing w:after="146" w:line="247" w:lineRule="auto"/>
        <w:ind w:left="268" w:right="244" w:firstLine="708"/>
        <w:jc w:val="both"/>
      </w:pPr>
      <w:r>
        <w:rPr>
          <w:rFonts w:ascii="Arial" w:eastAsia="Arial" w:hAnsi="Arial" w:cs="Arial"/>
        </w:rPr>
        <w:t xml:space="preserve"> “Vista la propuesta de la Alcaldesa, de tramitación de modificación presupuestaria, “Con motivo de las memorias justificativas de necesidades y urgencias que se presentan para dar una respuest</w:t>
      </w:r>
      <w:r>
        <w:rPr>
          <w:rFonts w:ascii="Arial" w:eastAsia="Arial" w:hAnsi="Arial" w:cs="Arial"/>
        </w:rPr>
        <w:t>a adecuada a las actuaciones que se dan en nuestro municipio.”</w:t>
      </w:r>
      <w:r>
        <w:rPr>
          <w:rFonts w:ascii="Times New Roman" w:eastAsia="Times New Roman" w:hAnsi="Times New Roman" w:cs="Times New Roman"/>
          <w:sz w:val="24"/>
        </w:rPr>
        <w:t xml:space="preserve"> </w:t>
      </w:r>
    </w:p>
    <w:p w:rsidR="00FF384B" w:rsidRDefault="003E3BA9">
      <w:pPr>
        <w:spacing w:after="137" w:line="247" w:lineRule="auto"/>
        <w:ind w:left="268" w:right="244" w:firstLine="720"/>
        <w:jc w:val="both"/>
      </w:pPr>
      <w:r>
        <w:rPr>
          <w:rFonts w:ascii="Arial" w:eastAsia="Arial" w:hAnsi="Arial" w:cs="Arial"/>
        </w:rPr>
        <w:t xml:space="preserve">Siendo un gasto específico y determinado ante la imposibilidad de demorarlo a ejercicios posteriores, y no habiendo crédito suficiente en las aplicaciones presupuestarias.” </w:t>
      </w:r>
    </w:p>
    <w:p w:rsidR="00FF384B" w:rsidRDefault="003E3BA9">
      <w:pPr>
        <w:spacing w:after="5" w:line="247" w:lineRule="auto"/>
        <w:ind w:left="278" w:right="244" w:hanging="10"/>
        <w:jc w:val="both"/>
      </w:pPr>
      <w:r>
        <w:rPr>
          <w:rFonts w:ascii="Arial" w:eastAsia="Arial" w:hAnsi="Arial" w:cs="Arial"/>
          <w:b/>
        </w:rPr>
        <w:t xml:space="preserve">PRIMERO. </w:t>
      </w:r>
      <w:r>
        <w:rPr>
          <w:rFonts w:ascii="Arial" w:eastAsia="Arial" w:hAnsi="Arial" w:cs="Arial"/>
        </w:rPr>
        <w:t xml:space="preserve">Visto Acuerdo del Congreso de los Diputados del 20 de octubre de 2020, aprobado por mayoría absoluta, ha apreciado, por mayoría absoluta de sus miembros, que se da una situación de emergencia extraordinaria que motiva la suspensión de las reglas fiscales, </w:t>
      </w:r>
      <w:r>
        <w:rPr>
          <w:rFonts w:ascii="Arial" w:eastAsia="Arial" w:hAnsi="Arial" w:cs="Arial"/>
        </w:rPr>
        <w:t>requisito que establece el artículo 11.3 de la LOEPSF.</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45" w:line="247" w:lineRule="auto"/>
        <w:ind w:left="278" w:right="244" w:hanging="10"/>
        <w:jc w:val="both"/>
      </w:pPr>
      <w:r>
        <w:rPr>
          <w:rFonts w:ascii="Arial" w:eastAsia="Arial" w:hAnsi="Arial" w:cs="Arial"/>
        </w:rPr>
        <w:t xml:space="preserve"> Atendiendo al acuerdo del Consejo de Ministros de 6 de octubre de 2020, mediante el que se acuerda: </w:t>
      </w:r>
    </w:p>
    <w:p w:rsidR="00FF384B" w:rsidRDefault="003E3BA9">
      <w:pPr>
        <w:numPr>
          <w:ilvl w:val="0"/>
          <w:numId w:val="16"/>
        </w:numPr>
        <w:spacing w:after="5" w:line="247" w:lineRule="auto"/>
        <w:ind w:right="244" w:hanging="360"/>
        <w:jc w:val="both"/>
      </w:pPr>
      <w:r>
        <w:rPr>
          <w:rFonts w:ascii="Arial" w:eastAsia="Arial" w:hAnsi="Arial" w:cs="Arial"/>
        </w:rPr>
        <w:t>“Solicitar del Congreso de los Diputados la apreciación de que en España estamos sufriendo una p</w:t>
      </w:r>
      <w:r>
        <w:rPr>
          <w:rFonts w:ascii="Arial" w:eastAsia="Arial" w:hAnsi="Arial" w:cs="Arial"/>
        </w:rPr>
        <w:t xml:space="preserve">andemia, lo que supone una situación de emergencia extraordinaria que se ajusta a lo dispuesto en el artículo 135.4 de la Constitución y en el artículo 11.3 de la Ley Orgánica de Estabilidad Presupuestaria y Sostenibilidad Financiera”.  </w:t>
      </w:r>
    </w:p>
    <w:p w:rsidR="00FF384B" w:rsidRDefault="003E3BA9">
      <w:pPr>
        <w:numPr>
          <w:ilvl w:val="0"/>
          <w:numId w:val="16"/>
        </w:numPr>
        <w:spacing w:after="5" w:line="247" w:lineRule="auto"/>
        <w:ind w:right="244" w:hanging="360"/>
        <w:jc w:val="both"/>
      </w:pPr>
      <w:r>
        <w:rPr>
          <w:rFonts w:ascii="Arial" w:eastAsia="Arial" w:hAnsi="Arial" w:cs="Arial"/>
        </w:rPr>
        <w:t xml:space="preserve">“Quedan suspendidos el Acuerdo de Consejo de Ministros de 11 de febrero de 2020 por el que se adecúan los objetivos de estabilidad presupuestaria y de deuda pública para el conjunto de Administraciones Públicas y de cada uno de sus subsectores para el año </w:t>
      </w:r>
      <w:r>
        <w:rPr>
          <w:rFonts w:ascii="Arial" w:eastAsia="Arial" w:hAnsi="Arial" w:cs="Arial"/>
        </w:rPr>
        <w:t>2020 para su remisión a las Cortes Generales, y se fija el límite de gasto no financiero del presupuesto del Estado para 2020, así como el Acuerdo de Consejo de Ministros de 11 de febrero de 2020 por el que se fijan los objetivos de estabilidad presupuesta</w:t>
      </w:r>
      <w:r>
        <w:rPr>
          <w:rFonts w:ascii="Arial" w:eastAsia="Arial" w:hAnsi="Arial" w:cs="Arial"/>
        </w:rPr>
        <w:t xml:space="preserve">ria y de deuda pública para el conjunto de Administraciones Públicas y de cada uno de sus subsectores para el período 2021-2023 para su remisión a las Cortes Generales, y el límite de gasto no financiero del presupuesto del Estado para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Por tanto</w:t>
      </w:r>
      <w:r>
        <w:rPr>
          <w:rFonts w:ascii="Arial" w:eastAsia="Arial" w:hAnsi="Arial" w:cs="Arial"/>
        </w:rPr>
        <w:t xml:space="preserve">, los objetivos de estabilidad y de deuda pública, y la regla de gasto, aprobados por el Gobierno el 11 de febrero de 2020 son inaplicables al aprobar éste su suspensión para el 2020 y el 2021.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La suspensión de las reglas fiscales ha supuesto que el sup</w:t>
      </w:r>
      <w:r>
        <w:rPr>
          <w:rFonts w:ascii="Arial" w:eastAsia="Arial" w:hAnsi="Arial" w:cs="Arial"/>
        </w:rPr>
        <w:t>erávit no tenga que dedicarse a amortizar deuda, aun siendo posible realizar esta amortización si la EELL lo considera. La regla del artículo 32 de la LOEPSF puede no aplicarse a partir del momento en que se han suspendido las reglas fiscales, ya que estas</w:t>
      </w:r>
      <w:r>
        <w:rPr>
          <w:rFonts w:ascii="Arial" w:eastAsia="Arial" w:hAnsi="Arial" w:cs="Arial"/>
        </w:rPr>
        <w:t xml:space="preserve"> son el fundamento de aquella regla. Regla que conecta con el objetivo de estabilidad presupuestaria y con el de deuda pública.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7002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39416" name="Group 43941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1640" name="Picture 11640"/>
                          <pic:cNvPicPr/>
                        </pic:nvPicPr>
                        <pic:blipFill>
                          <a:blip r:embed="rId62"/>
                          <a:stretch>
                            <a:fillRect/>
                          </a:stretch>
                        </pic:blipFill>
                        <pic:spPr>
                          <a:xfrm rot="-5399999">
                            <a:off x="-1720849" y="1720849"/>
                            <a:ext cx="3797300" cy="355601"/>
                          </a:xfrm>
                          <a:prstGeom prst="rect">
                            <a:avLst/>
                          </a:prstGeom>
                        </pic:spPr>
                      </pic:pic>
                      <wps:wsp>
                        <wps:cNvPr id="11641" name="Rectangle 1164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1642" name="Rectangle 1164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w:t>
                              </w:r>
                              <w:r>
                                <w:rPr>
                                  <w:rFonts w:ascii="Arial" w:eastAsia="Arial" w:hAnsi="Arial" w:cs="Arial"/>
                                  <w:sz w:val="12"/>
                                </w:rPr>
                                <w:t xml:space="preserve">ctrónicamente desde la plataforma esPublico Gestiona | Página 40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39416" style="width:41.2715pt;height:299pt;position:absolute;mso-position-horizontal-relative:page;mso-position-horizontal:absolute;margin-left:653.71pt;mso-position-vertical-relative:page;margin-top:512.92pt;" coordsize="5241,37973">
                <v:shape id="Picture 11640" style="position:absolute;width:37973;height:3556;left:-17208;top:17208;rotation:-89;" filled="f">
                  <v:imagedata r:id="rId63"/>
                </v:shape>
                <v:rect id="Rectangle 1164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164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353 </w:t>
                        </w:r>
                      </w:p>
                    </w:txbxContent>
                  </v:textbox>
                </v:rect>
                <w10:wrap type="square"/>
              </v:group>
            </w:pict>
          </mc:Fallback>
        </mc:AlternateContent>
      </w:r>
      <w:r>
        <w:rPr>
          <w:rFonts w:ascii="Arial" w:eastAsia="Arial" w:hAnsi="Arial" w:cs="Arial"/>
        </w:rPr>
        <w:t xml:space="preserve"> Al no ser aplicable la regla general, tampoco es necesaria la regla especial de destinar el superávit a inversiones financieramente sostenibles, salvo las excepciones siguientes, o m</w:t>
      </w:r>
      <w:r>
        <w:rPr>
          <w:rFonts w:ascii="Arial" w:eastAsia="Arial" w:hAnsi="Arial" w:cs="Arial"/>
        </w:rPr>
        <w:t xml:space="preserve">ediante norma posterior que prorrogue íntegramente la DA 6ª de la LOEPSF. </w:t>
      </w:r>
    </w:p>
    <w:p w:rsidR="00FF384B" w:rsidRDefault="003E3BA9">
      <w:pPr>
        <w:spacing w:after="40"/>
        <w:ind w:left="283"/>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F384B" w:rsidRDefault="003E3BA9">
      <w:pPr>
        <w:spacing w:after="33" w:line="247" w:lineRule="auto"/>
        <w:ind w:left="278" w:right="244" w:hanging="10"/>
        <w:jc w:val="both"/>
      </w:pPr>
      <w:r>
        <w:rPr>
          <w:rFonts w:ascii="Arial" w:eastAsia="Arial" w:hAnsi="Arial" w:cs="Arial"/>
          <w:b/>
        </w:rPr>
        <w:t>SEGUNDO</w:t>
      </w:r>
      <w:r>
        <w:rPr>
          <w:rFonts w:ascii="Arial" w:eastAsia="Arial" w:hAnsi="Arial" w:cs="Arial"/>
        </w:rPr>
        <w:t>. La legislación aplicable es la siguiente:</w:t>
      </w:r>
      <w:r>
        <w:rPr>
          <w:rFonts w:ascii="Times New Roman" w:eastAsia="Times New Roman" w:hAnsi="Times New Roman" w:cs="Times New Roman"/>
          <w:sz w:val="24"/>
        </w:rPr>
        <w:t xml:space="preserve"> </w:t>
      </w:r>
    </w:p>
    <w:p w:rsidR="00FF384B" w:rsidRDefault="003E3BA9">
      <w:pPr>
        <w:numPr>
          <w:ilvl w:val="0"/>
          <w:numId w:val="17"/>
        </w:numPr>
        <w:spacing w:after="52" w:line="247" w:lineRule="auto"/>
        <w:ind w:right="244" w:hanging="360"/>
        <w:jc w:val="both"/>
      </w:pPr>
      <w:r>
        <w:rPr>
          <w:rFonts w:ascii="Arial" w:eastAsia="Arial" w:hAnsi="Arial" w:cs="Arial"/>
        </w:rPr>
        <w:t xml:space="preserve">Los artículos 169, 170 y 172 a 177 del Real Decreto Legislativo 2/2004, de 5 de marzo, por el que se aprueba el Texto Refundido de la Ley Reguladora de las Haciendas Locales.  </w:t>
      </w:r>
    </w:p>
    <w:p w:rsidR="00FF384B" w:rsidRDefault="003E3BA9">
      <w:pPr>
        <w:numPr>
          <w:ilvl w:val="0"/>
          <w:numId w:val="17"/>
        </w:numPr>
        <w:spacing w:after="52" w:line="247" w:lineRule="auto"/>
        <w:ind w:right="244" w:hanging="360"/>
        <w:jc w:val="both"/>
      </w:pPr>
      <w:r>
        <w:rPr>
          <w:rFonts w:ascii="Arial" w:eastAsia="Arial" w:hAnsi="Arial" w:cs="Arial"/>
        </w:rPr>
        <w:t xml:space="preserve">Los artículos 34 a 38 del Real Decreto 500/1990, de 20 de abril, por el que se </w:t>
      </w:r>
      <w:r>
        <w:rPr>
          <w:rFonts w:ascii="Arial" w:eastAsia="Arial" w:hAnsi="Arial" w:cs="Arial"/>
        </w:rPr>
        <w:t xml:space="preserve">desarrolla el Capítulo I, del Título VI, de la Ley 39/1988, de 28 de diciembre, Reguladora de las Haciendas Locales, en materia de presupuestos. </w:t>
      </w:r>
    </w:p>
    <w:p w:rsidR="00FF384B" w:rsidRDefault="003E3BA9">
      <w:pPr>
        <w:numPr>
          <w:ilvl w:val="0"/>
          <w:numId w:val="17"/>
        </w:numPr>
        <w:spacing w:after="51" w:line="247" w:lineRule="auto"/>
        <w:ind w:right="244" w:hanging="360"/>
        <w:jc w:val="both"/>
      </w:pPr>
      <w:r>
        <w:rPr>
          <w:rFonts w:ascii="Arial" w:eastAsia="Arial" w:hAnsi="Arial" w:cs="Arial"/>
        </w:rPr>
        <w:t>Los artículos 3, 4, 11, 12, 13, 21, 23 y 32 de la Ley Orgánica 2/2012, de 27 de abril, de Estabilidad Presupue</w:t>
      </w:r>
      <w:r>
        <w:rPr>
          <w:rFonts w:ascii="Arial" w:eastAsia="Arial" w:hAnsi="Arial" w:cs="Arial"/>
        </w:rPr>
        <w:t xml:space="preserve">staria y Sostenibilidad Financiera.  </w:t>
      </w:r>
    </w:p>
    <w:p w:rsidR="00FF384B" w:rsidRDefault="003E3BA9">
      <w:pPr>
        <w:numPr>
          <w:ilvl w:val="0"/>
          <w:numId w:val="17"/>
        </w:numPr>
        <w:spacing w:after="52" w:line="247" w:lineRule="auto"/>
        <w:ind w:right="244" w:hanging="360"/>
        <w:jc w:val="both"/>
      </w:pPr>
      <w:r>
        <w:rPr>
          <w:rFonts w:ascii="Arial" w:eastAsia="Arial" w:hAnsi="Arial" w:cs="Arial"/>
        </w:rPr>
        <w:t>El artículo 16.2 del Real Decreto 1463/2007, de 2 de noviembre, por el que se aprueba el Reglamento de Desarrollo de la Ley 18/2001, de 12 de noviembre, de Estabilidad Presupuestaria, en su Aplicación a las Entidades L</w:t>
      </w:r>
      <w:r>
        <w:rPr>
          <w:rFonts w:ascii="Arial" w:eastAsia="Arial" w:hAnsi="Arial" w:cs="Arial"/>
        </w:rPr>
        <w:t xml:space="preserve">ocales. </w:t>
      </w:r>
    </w:p>
    <w:p w:rsidR="00FF384B" w:rsidRDefault="003E3BA9">
      <w:pPr>
        <w:numPr>
          <w:ilvl w:val="0"/>
          <w:numId w:val="17"/>
        </w:numPr>
        <w:spacing w:after="51" w:line="247" w:lineRule="auto"/>
        <w:ind w:right="244" w:hanging="360"/>
        <w:jc w:val="both"/>
      </w:pPr>
      <w:r>
        <w:rPr>
          <w:rFonts w:ascii="Arial" w:eastAsia="Arial" w:hAnsi="Arial" w:cs="Arial"/>
        </w:rPr>
        <w:t xml:space="preserve">El artículo 22.2.e) de la Ley 7/1985, de 2 de abril, Reguladora de las Bases del Régimen Local. </w:t>
      </w:r>
    </w:p>
    <w:p w:rsidR="00FF384B" w:rsidRDefault="003E3BA9">
      <w:pPr>
        <w:numPr>
          <w:ilvl w:val="0"/>
          <w:numId w:val="17"/>
        </w:numPr>
        <w:spacing w:after="88" w:line="247" w:lineRule="auto"/>
        <w:ind w:right="244" w:hanging="360"/>
        <w:jc w:val="both"/>
      </w:pPr>
      <w:r>
        <w:rPr>
          <w:rFonts w:ascii="Arial" w:eastAsia="Arial" w:hAnsi="Arial" w:cs="Arial"/>
        </w:rPr>
        <w:t xml:space="preserve">La Disposición Adicional 6.ª de la Ley Orgánica 2/2012, de 27 de abril, de Estabilidad Presupuestaria y Sostenibilidad Financiera. </w:t>
      </w:r>
    </w:p>
    <w:p w:rsidR="00FF384B" w:rsidRDefault="003E3BA9">
      <w:pPr>
        <w:numPr>
          <w:ilvl w:val="0"/>
          <w:numId w:val="17"/>
        </w:numPr>
        <w:spacing w:after="5" w:line="247" w:lineRule="auto"/>
        <w:ind w:right="244" w:hanging="360"/>
        <w:jc w:val="both"/>
      </w:pPr>
      <w:r>
        <w:rPr>
          <w:rFonts w:ascii="Arial" w:eastAsia="Arial" w:hAnsi="Arial" w:cs="Arial"/>
        </w:rPr>
        <w:t>La Orden EHA/3565/</w:t>
      </w:r>
      <w:r>
        <w:rPr>
          <w:rFonts w:ascii="Arial" w:eastAsia="Arial" w:hAnsi="Arial" w:cs="Arial"/>
        </w:rPr>
        <w:t xml:space="preserve">2008, de 3 de diciembre, por la que se aprueba la estructura de presupuestos de las entidades locales. - Resolución de 14 de septiembre </w:t>
      </w:r>
    </w:p>
    <w:p w:rsidR="00FF384B" w:rsidRDefault="003E3BA9">
      <w:pPr>
        <w:spacing w:after="39" w:line="247" w:lineRule="auto"/>
        <w:ind w:left="1013" w:right="244" w:hanging="10"/>
        <w:jc w:val="both"/>
      </w:pPr>
      <w:r>
        <w:rPr>
          <w:rFonts w:ascii="Arial" w:eastAsia="Arial" w:hAnsi="Arial" w:cs="Arial"/>
        </w:rPr>
        <w:t xml:space="preserve">de 2009, de la Dirección General de Coordinación Financiera con las Comunidades Autónomas y con las Entidades Locales, </w:t>
      </w:r>
      <w:r>
        <w:rPr>
          <w:rFonts w:ascii="Arial" w:eastAsia="Arial" w:hAnsi="Arial" w:cs="Arial"/>
        </w:rPr>
        <w:t>por la que se Dictan Medidas para el Desarrollo de la Orden EHA/3565/2008, de 3 de diciembre, por la que se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numPr>
          <w:ilvl w:val="0"/>
          <w:numId w:val="17"/>
        </w:numPr>
        <w:spacing w:after="54" w:line="247" w:lineRule="auto"/>
        <w:ind w:right="244" w:hanging="360"/>
        <w:jc w:val="both"/>
      </w:pPr>
      <w:r>
        <w:rPr>
          <w:rFonts w:ascii="Arial" w:eastAsia="Arial" w:hAnsi="Arial" w:cs="Arial"/>
        </w:rPr>
        <w:t>La Disposición Adicional 16.ª del Texto Refundido de la Ley Reguladora de las H</w:t>
      </w:r>
      <w:r>
        <w:rPr>
          <w:rFonts w:ascii="Arial" w:eastAsia="Arial" w:hAnsi="Arial" w:cs="Arial"/>
        </w:rPr>
        <w:t xml:space="preserve">aciendas Locales.  </w:t>
      </w:r>
    </w:p>
    <w:p w:rsidR="00FF384B" w:rsidRDefault="003E3BA9">
      <w:pPr>
        <w:numPr>
          <w:ilvl w:val="0"/>
          <w:numId w:val="17"/>
        </w:numPr>
        <w:spacing w:after="51" w:line="247" w:lineRule="auto"/>
        <w:ind w:right="244" w:hanging="360"/>
        <w:jc w:val="both"/>
      </w:pPr>
      <w:r>
        <w:rPr>
          <w:rFonts w:ascii="Arial" w:eastAsia="Arial" w:hAnsi="Arial" w:cs="Arial"/>
        </w:rPr>
        <w:t>Acuerdo del Congreso de los Diputados del 13 de octubre de 2020, relativo al Objetivo de Estabilidad Presupuestaria, según acuerdo del Consejo de Ministros de 6 de octubre de 2020 de “Someter a la deliberación del Pleno, a los efectos p</w:t>
      </w:r>
      <w:r>
        <w:rPr>
          <w:rFonts w:ascii="Arial" w:eastAsia="Arial" w:hAnsi="Arial" w:cs="Arial"/>
        </w:rPr>
        <w:t xml:space="preserve">revistos en los artículos 135.4 de la Constitución y 11.3 de la Ley Orgánica 2/2012, de 27 de abril, de Estabilidad Presupuestaria y Sostenibilidad Financiera y publicar en el Boletín Oficial de las Cortes Generales.”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TERCERO</w:t>
      </w:r>
      <w:r>
        <w:rPr>
          <w:rFonts w:ascii="Arial" w:eastAsia="Arial" w:hAnsi="Arial" w:cs="Arial"/>
        </w:rPr>
        <w:t>: Considerando que el artículo 177 del Real Decreto Legislativo 2/2004, de 5 de marzo, por el que se aprueba el texto refundido de la Ley Reguladora de las Haciendas Locales, regula los expedientes de modificación presupuestaria mediante créditos extraordi</w:t>
      </w:r>
      <w:r>
        <w:rPr>
          <w:rFonts w:ascii="Arial" w:eastAsia="Arial" w:hAnsi="Arial" w:cs="Arial"/>
        </w:rPr>
        <w:t>narios y suplementos de crédito, al señalar que:</w:t>
      </w:r>
      <w:r>
        <w:rPr>
          <w:rFonts w:ascii="Times New Roman" w:eastAsia="Times New Roman" w:hAnsi="Times New Roman" w:cs="Times New Roman"/>
          <w:sz w:val="24"/>
        </w:rPr>
        <w:t xml:space="preserve"> </w:t>
      </w:r>
    </w:p>
    <w:p w:rsidR="00FF384B" w:rsidRDefault="003E3BA9">
      <w:pPr>
        <w:numPr>
          <w:ilvl w:val="0"/>
          <w:numId w:val="18"/>
        </w:numPr>
        <w:spacing w:after="5" w:line="247" w:lineRule="auto"/>
        <w:ind w:right="244" w:hanging="360"/>
        <w:jc w:val="both"/>
      </w:pPr>
      <w:r>
        <w:rPr>
          <w:rFonts w:ascii="Arial" w:eastAsia="Arial" w:hAnsi="Arial" w:cs="Arial"/>
        </w:rPr>
        <w:t>Cuando haya de realizarse algún gasto que no pueda demorarse hasta el ejercicio siguiente, y sea insuficiente en el presupuesto de la corporación el crédito consignado, el presidente de la corporación orden</w:t>
      </w:r>
      <w:r>
        <w:rPr>
          <w:rFonts w:ascii="Arial" w:eastAsia="Arial" w:hAnsi="Arial" w:cs="Arial"/>
        </w:rPr>
        <w:t xml:space="preserve">ará la incoación del expediente de suplemento de crédito.  </w:t>
      </w:r>
    </w:p>
    <w:p w:rsidR="00FF384B" w:rsidRDefault="003E3BA9">
      <w:pPr>
        <w:numPr>
          <w:ilvl w:val="0"/>
          <w:numId w:val="18"/>
        </w:numPr>
        <w:spacing w:after="5" w:line="247" w:lineRule="auto"/>
        <w:ind w:right="244" w:hanging="360"/>
        <w:jc w:val="both"/>
      </w:pPr>
      <w:r>
        <w:rPr>
          <w:noProof/>
        </w:rPr>
        <mc:AlternateContent>
          <mc:Choice Requires="wpg">
            <w:drawing>
              <wp:anchor distT="0" distB="0" distL="114300" distR="114300" simplePos="0" relativeHeight="2517012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8306" name="Group 4483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1825" name="Picture 11825"/>
                          <pic:cNvPicPr/>
                        </pic:nvPicPr>
                        <pic:blipFill>
                          <a:blip r:embed="rId62"/>
                          <a:stretch>
                            <a:fillRect/>
                          </a:stretch>
                        </pic:blipFill>
                        <pic:spPr>
                          <a:xfrm rot="-5399999">
                            <a:off x="-1720849" y="1720849"/>
                            <a:ext cx="3797300" cy="355601"/>
                          </a:xfrm>
                          <a:prstGeom prst="rect">
                            <a:avLst/>
                          </a:prstGeom>
                        </pic:spPr>
                      </pic:pic>
                      <wps:wsp>
                        <wps:cNvPr id="11826" name="Rectangle 118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1827" name="Rectangle 1182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8306" style="width:41.2715pt;height:299pt;position:absolute;mso-position-horizontal-relative:page;mso-position-horizontal:absolute;margin-left:653.71pt;mso-position-vertical-relative:page;margin-top:512.92pt;" coordsize="5241,37973">
                <v:shape id="Picture 11825" style="position:absolute;width:37973;height:3556;left:-17208;top:17208;rotation:-89;" filled="f">
                  <v:imagedata r:id="rId63"/>
                </v:shape>
                <v:rect id="Rectangle 118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182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353 </w:t>
                        </w:r>
                      </w:p>
                    </w:txbxContent>
                  </v:textbox>
                </v:rect>
                <w10:wrap type="square"/>
              </v:group>
            </w:pict>
          </mc:Fallback>
        </mc:AlternateContent>
      </w:r>
      <w:r>
        <w:rPr>
          <w:rFonts w:ascii="Arial" w:eastAsia="Arial" w:hAnsi="Arial" w:cs="Arial"/>
        </w:rPr>
        <w:t>El expediente, que habrá de ser previamente informado por la Intervención, se someterá a la aprobación del Pleno de la corporación, con sujeción a los mismos trámites y requisitos que los presupuestos. Serán asimismo, de aplicación, las normas sobre infor</w:t>
      </w:r>
      <w:r>
        <w:rPr>
          <w:rFonts w:ascii="Arial" w:eastAsia="Arial" w:hAnsi="Arial" w:cs="Arial"/>
        </w:rPr>
        <w:t xml:space="preserve">mación, reclamación y publicidad de los presupuestos a que se refiere el artículo 169 de esta ley.  </w:t>
      </w:r>
    </w:p>
    <w:p w:rsidR="00FF384B" w:rsidRDefault="003E3BA9">
      <w:pPr>
        <w:numPr>
          <w:ilvl w:val="0"/>
          <w:numId w:val="18"/>
        </w:numPr>
        <w:spacing w:after="42" w:line="247" w:lineRule="auto"/>
        <w:ind w:right="244" w:hanging="360"/>
        <w:jc w:val="both"/>
      </w:pPr>
      <w:r>
        <w:rPr>
          <w:rFonts w:ascii="Arial" w:eastAsia="Arial" w:hAnsi="Arial" w:cs="Arial"/>
        </w:rPr>
        <w:t xml:space="preserve">El expediente deberá especificar la concreta partida presupuestaria a incrementar y el medio o recurso que ha de financiar el aumento que se propone. </w:t>
      </w:r>
    </w:p>
    <w:p w:rsidR="00FF384B" w:rsidRDefault="003E3BA9">
      <w:pPr>
        <w:numPr>
          <w:ilvl w:val="0"/>
          <w:numId w:val="18"/>
        </w:numPr>
        <w:spacing w:after="5" w:line="247" w:lineRule="auto"/>
        <w:ind w:right="244" w:hanging="360"/>
        <w:jc w:val="both"/>
      </w:pPr>
      <w:r>
        <w:rPr>
          <w:rFonts w:ascii="Arial" w:eastAsia="Arial" w:hAnsi="Arial" w:cs="Arial"/>
        </w:rPr>
        <w:t>Dicho aumento se financiará con cargo al remanente líquido de tesorería, con nuevos o mayores ingresos recaudados sobre los totales previstos en el presupuesto corriente, y mediante anulaciones o bajas de créditos de gastos de otras partidas del presupuest</w:t>
      </w:r>
      <w:r>
        <w:rPr>
          <w:rFonts w:ascii="Arial" w:eastAsia="Arial" w:hAnsi="Arial" w:cs="Arial"/>
        </w:rP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rPr>
          <w:rFonts w:ascii="Arial" w:eastAsia="Arial" w:hAnsi="Arial" w:cs="Arial"/>
        </w:rPr>
        <w:t xml:space="preserve">finalista.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35"/>
        <w:ind w:left="283"/>
      </w:pPr>
      <w:r>
        <w:rPr>
          <w:rFonts w:ascii="Arial" w:eastAsia="Arial" w:hAnsi="Arial" w:cs="Arial"/>
        </w:rPr>
        <w:t xml:space="preserve"> </w:t>
      </w:r>
    </w:p>
    <w:p w:rsidR="00FF384B" w:rsidRDefault="003E3BA9">
      <w:pPr>
        <w:spacing w:after="39" w:line="247" w:lineRule="auto"/>
        <w:ind w:left="278" w:right="244" w:hanging="10"/>
        <w:jc w:val="both"/>
      </w:pPr>
      <w:r>
        <w:rPr>
          <w:rFonts w:ascii="Arial" w:eastAsia="Arial" w:hAnsi="Arial" w:cs="Arial"/>
          <w:b/>
        </w:rPr>
        <w:t>CUARTO:</w:t>
      </w:r>
      <w:r>
        <w:rPr>
          <w:rFonts w:ascii="Arial" w:eastAsia="Arial" w:hAnsi="Arial" w:cs="Arial"/>
        </w:rPr>
        <w:t xml:space="preserve"> Que el expediente de modificación presupuestaria nº 2688/2021, por Créditos Extraordinarios financiado con remanente de tesorería para gastos generales, se realizará por la cantidad de</w:t>
      </w:r>
      <w:r>
        <w:rPr>
          <w:rFonts w:ascii="Arial" w:eastAsia="Arial" w:hAnsi="Arial" w:cs="Arial"/>
          <w:b/>
        </w:rPr>
        <w:t xml:space="preserve"> 4.034.835,71 Euros</w:t>
      </w:r>
      <w:r>
        <w:rPr>
          <w:rFonts w:ascii="Arial" w:eastAsia="Arial" w:hAnsi="Arial" w:cs="Arial"/>
        </w:rPr>
        <w:t>, según el siguiente detalle</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37"/>
        <w:ind w:left="283"/>
      </w:pPr>
      <w:r>
        <w:rPr>
          <w:rFonts w:ascii="Arial" w:eastAsia="Arial" w:hAnsi="Arial" w:cs="Arial"/>
        </w:rPr>
        <w:t xml:space="preserve"> </w:t>
      </w:r>
    </w:p>
    <w:p w:rsidR="00FF384B" w:rsidRDefault="003E3BA9">
      <w:pPr>
        <w:tabs>
          <w:tab w:val="center" w:pos="422"/>
          <w:tab w:val="center" w:pos="1848"/>
          <w:tab w:val="center" w:pos="5414"/>
          <w:tab w:val="center" w:pos="8697"/>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9057" w:type="dxa"/>
        <w:tblInd w:w="354" w:type="dxa"/>
        <w:tblCellMar>
          <w:top w:w="7" w:type="dxa"/>
          <w:left w:w="68" w:type="dxa"/>
          <w:bottom w:w="9" w:type="dxa"/>
          <w:right w:w="9" w:type="dxa"/>
        </w:tblCellMar>
        <w:tblLook w:val="04A0" w:firstRow="1" w:lastRow="0" w:firstColumn="1" w:lastColumn="0" w:noHBand="0" w:noVBand="1"/>
      </w:tblPr>
      <w:tblGrid>
        <w:gridCol w:w="1423"/>
        <w:gridCol w:w="1064"/>
        <w:gridCol w:w="5144"/>
        <w:gridCol w:w="1426"/>
      </w:tblGrid>
      <w:tr w:rsidR="00FF384B">
        <w:trPr>
          <w:trHeight w:val="767"/>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left="84"/>
            </w:pPr>
            <w:r>
              <w:rPr>
                <w:rFonts w:ascii="Arial" w:eastAsia="Arial" w:hAnsi="Arial" w:cs="Arial"/>
                <w:b/>
              </w:rPr>
              <w:t xml:space="preserve">Aplicación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13" w:firstLine="6"/>
              <w:jc w:val="center"/>
            </w:pPr>
            <w:r>
              <w:rPr>
                <w:rFonts w:ascii="Arial" w:eastAsia="Arial" w:hAnsi="Arial" w:cs="Arial"/>
                <w:b/>
              </w:rPr>
              <w:t xml:space="preserve">Proyecto gasto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7"/>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9"/>
              <w:jc w:val="center"/>
            </w:pPr>
            <w:r>
              <w:rPr>
                <w:rFonts w:ascii="Arial" w:eastAsia="Arial" w:hAnsi="Arial" w:cs="Arial"/>
                <w:b/>
              </w:rPr>
              <w:t xml:space="preserve">Importe </w:t>
            </w:r>
          </w:p>
        </w:tc>
      </w:tr>
      <w:tr w:rsidR="00FF384B">
        <w:trPr>
          <w:trHeight w:val="265"/>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P.21.2.35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PANELES FOTOVOLTAICO DEPENDENCIAS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6.448,69 </w:t>
            </w:r>
          </w:p>
        </w:tc>
      </w:tr>
    </w:tbl>
    <w:tbl>
      <w:tblPr>
        <w:tblStyle w:val="TableGrid"/>
        <w:tblpPr w:vertAnchor="text" w:tblpX="353"/>
        <w:tblOverlap w:val="never"/>
        <w:tblW w:w="9059" w:type="dxa"/>
        <w:tblInd w:w="0" w:type="dxa"/>
        <w:tblCellMar>
          <w:top w:w="4" w:type="dxa"/>
          <w:left w:w="70" w:type="dxa"/>
          <w:bottom w:w="6" w:type="dxa"/>
          <w:right w:w="11" w:type="dxa"/>
        </w:tblCellMar>
        <w:tblLook w:val="04A0" w:firstRow="1" w:lastRow="0" w:firstColumn="1" w:lastColumn="0" w:noHBand="0" w:noVBand="1"/>
      </w:tblPr>
      <w:tblGrid>
        <w:gridCol w:w="1426"/>
        <w:gridCol w:w="1064"/>
        <w:gridCol w:w="5144"/>
        <w:gridCol w:w="1426"/>
      </w:tblGrid>
      <w:tr w:rsidR="00FF384B">
        <w:trPr>
          <w:trHeight w:val="259"/>
        </w:trPr>
        <w:tc>
          <w:tcPr>
            <w:tcW w:w="1426" w:type="dxa"/>
            <w:tcBorders>
              <w:top w:val="nil"/>
              <w:left w:val="single" w:sz="4" w:space="0" w:color="000000"/>
              <w:bottom w:val="single" w:sz="4" w:space="0" w:color="000000"/>
              <w:right w:val="single" w:sz="4" w:space="0" w:color="000000"/>
            </w:tcBorders>
          </w:tcPr>
          <w:p w:rsidR="00FF384B" w:rsidRDefault="00FF384B"/>
        </w:tc>
        <w:tc>
          <w:tcPr>
            <w:tcW w:w="1064" w:type="dxa"/>
            <w:tcBorders>
              <w:top w:val="nil"/>
              <w:left w:val="single" w:sz="4" w:space="0" w:color="000000"/>
              <w:bottom w:val="single" w:sz="4" w:space="0" w:color="000000"/>
              <w:right w:val="single" w:sz="4" w:space="0" w:color="000000"/>
            </w:tcBorders>
          </w:tcPr>
          <w:p w:rsidR="00FF384B" w:rsidRDefault="00FF384B"/>
        </w:tc>
        <w:tc>
          <w:tcPr>
            <w:tcW w:w="5144"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MUNICIPALES </w:t>
            </w:r>
          </w:p>
        </w:tc>
        <w:tc>
          <w:tcPr>
            <w:tcW w:w="1426" w:type="dxa"/>
            <w:tcBorders>
              <w:top w:val="nil"/>
              <w:left w:val="single" w:sz="4" w:space="0" w:color="000000"/>
              <w:bottom w:val="single" w:sz="4" w:space="0" w:color="000000"/>
              <w:right w:val="single" w:sz="4" w:space="0" w:color="000000"/>
            </w:tcBorders>
          </w:tcPr>
          <w:p w:rsidR="00FF384B" w:rsidRDefault="00FF384B"/>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P.21.2.34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10.815,78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P.21.2.33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17.232,38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13200.62300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MAQUINARIA, INSTALACIONES Y UTILLAJE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35.802,14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13200.62400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117.470,62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13500.62200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CASETA PUESTO SOCORRISMO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18.641,95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REDACCIÓN Y DIRECCIÓN PROYECTO ADUDITORIO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370.450,50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15100.22714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REDACCIÓN Y DIRECCIÓN PROYECTO PISCINA MUNICIPAL CUBIERTA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187.250,00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PARA AMPLICACIÓN CENTRO ALFARERO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LA BASÍLICA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15100.60002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VIVIENDAS DE PROMOCIÓN PÚBLICA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ESTACIÓN BOMBEO SAN BLAS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15100.60004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PEATONAL CON DESTINO PÚBLICO IGUESTE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25.000,00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15100.60005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EBAR LA VIUDA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16.502,85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15100.60910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OBRA PLAZA DE LA VIUDA: EQUIPAMIENTO DEPORTIVO Y ASISTENCIAL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584.831,47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15100.61911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OBRA REMODELACIÓN PLAZA DE SANTA ANA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955.741,74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15100.61912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OBRA </w:t>
            </w:r>
            <w:r>
              <w:rPr>
                <w:rFonts w:ascii="Arial" w:eastAsia="Arial" w:hAnsi="Arial" w:cs="Arial"/>
              </w:rPr>
              <w:t xml:space="preserve">ADECUACIÓN ESPACIO LIBRE Y ESCULTURA DE ARAYA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146.676,02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17100.62500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DOTACIÓN MOBILIARIO Y REHABILITACIÓN PARQUES INFANTILES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80.611,82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23100.61901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CENTRO DE ALZHEIMER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27.590,55 </w:t>
            </w:r>
          </w:p>
        </w:tc>
      </w:tr>
      <w:tr w:rsidR="00FF384B">
        <w:trPr>
          <w:trHeight w:val="517"/>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32300.21300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INSTALACION BAJA TENSIÓN CEIP IGUESTEPUNTA LARGA Y PRINCIPE FELIPE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156.178,83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33400.62301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AIRE ACONDICIONADO CINE VIEJO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31.182,80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33400.62400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20.665,48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34100.61904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REHABILITACIÓN ÁREA DEPORTIVA: MÓDULO DE ATLETISMO Y CAMPO DE FUTBOL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17.008,72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34100.61905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PABELLÓN PUNTA LARGA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42.798,79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34100.61906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COMPLEJO DEPORTIVO ÁLVARO DE ARMAS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24.455,30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34100.61907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REHABILITACIÓN, ACONDICIONAMIENTO Y ADECUACIÓN DE BAR/CAFETERIA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146.774,87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34100.62500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MOBILIARIO INSTALACIONES DEPORTIVAS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8.533,55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SABINITA IGUESTE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33.922,92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45900.61902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MALPAIS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39.839,44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45900.61903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LIBERTAD IGUESTE DE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39.899,65 </w:t>
            </w:r>
          </w:p>
        </w:tc>
      </w:tr>
    </w:tbl>
    <w:p w:rsidR="00FF384B" w:rsidRDefault="003E3BA9">
      <w:pPr>
        <w:spacing w:after="0"/>
        <w:ind w:left="-2553" w:right="11595"/>
      </w:pPr>
      <w:r>
        <w:rPr>
          <w:noProof/>
        </w:rPr>
        <mc:AlternateContent>
          <mc:Choice Requires="wpg">
            <w:drawing>
              <wp:anchor distT="0" distB="0" distL="114300" distR="114300" simplePos="0" relativeHeight="251702272"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46834" name="Group 54683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2538" name="Picture 12538"/>
                          <pic:cNvPicPr/>
                        </pic:nvPicPr>
                        <pic:blipFill>
                          <a:blip r:embed="rId62"/>
                          <a:stretch>
                            <a:fillRect/>
                          </a:stretch>
                        </pic:blipFill>
                        <pic:spPr>
                          <a:xfrm rot="-5399999">
                            <a:off x="-1720849" y="1720849"/>
                            <a:ext cx="3797300" cy="355601"/>
                          </a:xfrm>
                          <a:prstGeom prst="rect">
                            <a:avLst/>
                          </a:prstGeom>
                        </pic:spPr>
                      </pic:pic>
                      <wps:wsp>
                        <wps:cNvPr id="12539" name="Rectangle 1253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2540" name="Rectangle 1254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6834" style="width:41.2715pt;height:299pt;position:absolute;mso-position-horizontal-relative:page;mso-position-horizontal:absolute;margin-left:653.71pt;mso-position-vertical-relative:page;margin-top:512.92pt;" coordsize="5241,37973">
                <v:shape id="Picture 12538" style="position:absolute;width:37973;height:3556;left:-17208;top:17208;rotation:-89;" filled="f">
                  <v:imagedata r:id="rId63"/>
                </v:shape>
                <v:rect id="Rectangle 1253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254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353 </w:t>
                        </w:r>
                      </w:p>
                    </w:txbxContent>
                  </v:textbox>
                </v:rect>
                <w10:wrap type="topAndBottom"/>
              </v:group>
            </w:pict>
          </mc:Fallback>
        </mc:AlternateContent>
      </w:r>
      <w:r>
        <w:br w:type="page"/>
      </w:r>
    </w:p>
    <w:tbl>
      <w:tblPr>
        <w:tblStyle w:val="TableGrid"/>
        <w:tblW w:w="9057" w:type="dxa"/>
        <w:tblInd w:w="354" w:type="dxa"/>
        <w:tblCellMar>
          <w:top w:w="4" w:type="dxa"/>
          <w:left w:w="68" w:type="dxa"/>
          <w:bottom w:w="6" w:type="dxa"/>
          <w:right w:w="9" w:type="dxa"/>
        </w:tblCellMar>
        <w:tblLook w:val="04A0" w:firstRow="1" w:lastRow="0" w:firstColumn="1" w:lastColumn="0" w:noHBand="0" w:noVBand="1"/>
      </w:tblPr>
      <w:tblGrid>
        <w:gridCol w:w="1423"/>
        <w:gridCol w:w="1064"/>
        <w:gridCol w:w="5144"/>
        <w:gridCol w:w="1426"/>
      </w:tblGrid>
      <w:tr w:rsidR="00FF384B">
        <w:trPr>
          <w:trHeight w:val="259"/>
        </w:trPr>
        <w:tc>
          <w:tcPr>
            <w:tcW w:w="1423" w:type="dxa"/>
            <w:tcBorders>
              <w:top w:val="nil"/>
              <w:left w:val="single" w:sz="4" w:space="0" w:color="000000"/>
              <w:bottom w:val="single" w:sz="4" w:space="0" w:color="000000"/>
              <w:right w:val="single" w:sz="4" w:space="0" w:color="000000"/>
            </w:tcBorders>
            <w:vAlign w:val="center"/>
          </w:tcPr>
          <w:p w:rsidR="00FF384B" w:rsidRDefault="00FF384B"/>
        </w:tc>
        <w:tc>
          <w:tcPr>
            <w:tcW w:w="1064" w:type="dxa"/>
            <w:tcBorders>
              <w:top w:val="nil"/>
              <w:left w:val="single" w:sz="4" w:space="0" w:color="000000"/>
              <w:bottom w:val="single" w:sz="4" w:space="0" w:color="000000"/>
              <w:right w:val="single" w:sz="4" w:space="0" w:color="000000"/>
            </w:tcBorders>
          </w:tcPr>
          <w:p w:rsidR="00FF384B" w:rsidRDefault="00FF384B"/>
        </w:tc>
        <w:tc>
          <w:tcPr>
            <w:tcW w:w="5144" w:type="dxa"/>
            <w:tcBorders>
              <w:top w:val="nil"/>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CANDELARIA </w:t>
            </w:r>
          </w:p>
        </w:tc>
        <w:tc>
          <w:tcPr>
            <w:tcW w:w="1426" w:type="dxa"/>
            <w:tcBorders>
              <w:top w:val="nil"/>
              <w:left w:val="single" w:sz="4" w:space="0" w:color="000000"/>
              <w:bottom w:val="single" w:sz="4" w:space="0" w:color="000000"/>
              <w:right w:val="single" w:sz="4" w:space="0" w:color="000000"/>
            </w:tcBorders>
            <w:vAlign w:val="center"/>
          </w:tcPr>
          <w:p w:rsidR="00FF384B" w:rsidRDefault="00FF384B"/>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45900.61904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DEMOLICIÓN ESCUELITA CALLE LOS SABINAS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23.366,61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49200.45300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CONVENIO ULL: CATEDRA DE ORGANIZACIONES SALUDABLES, BIENESTAR….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49200.62500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MOBILIARIO CTCAN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20.372,80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SISTEMA DE GRABACIÓN, ESTRAMING Y VIDEOCONFERENCIA DEPENDENCIAS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8"/>
              <w:jc w:val="right"/>
            </w:pPr>
            <w:r>
              <w:rPr>
                <w:rFonts w:ascii="Arial" w:eastAsia="Arial" w:hAnsi="Arial" w:cs="Arial"/>
              </w:rPr>
              <w:t xml:space="preserve">30.118,61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49200.62602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EQUIPOS DE FIRMA PARA EL SAC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5.314,00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PROYECTO DE RENOVACION INFRAESRUCTURA DE VIRTUALIZACIÓN Y….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68.336,83 </w:t>
            </w:r>
          </w:p>
        </w:tc>
      </w:tr>
      <w:tr w:rsidR="00FF384B">
        <w:trPr>
          <w:trHeight w:val="34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92000.86030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COMPRA DE ACCIONES DE AGUA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120.000,00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0"/>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both"/>
            </w:pPr>
            <w:r>
              <w:rPr>
                <w:rFonts w:ascii="Arial" w:eastAsia="Arial" w:hAnsi="Arial" w:cs="Arial"/>
                <w:b/>
              </w:rPr>
              <w:t xml:space="preserve">4.034.835,71 </w:t>
            </w:r>
          </w:p>
        </w:tc>
      </w:tr>
    </w:tbl>
    <w:p w:rsidR="00FF384B" w:rsidRDefault="003E3BA9">
      <w:pPr>
        <w:spacing w:after="0"/>
        <w:ind w:left="1845"/>
        <w:jc w:val="center"/>
      </w:pPr>
      <w:r>
        <w:rPr>
          <w:rFonts w:ascii="Arial" w:eastAsia="Arial" w:hAnsi="Arial" w:cs="Arial"/>
        </w:rPr>
        <w:t xml:space="preserve"> </w:t>
      </w:r>
    </w:p>
    <w:p w:rsidR="00FF384B" w:rsidRDefault="003E3BA9">
      <w:pPr>
        <w:spacing w:after="0"/>
        <w:ind w:left="1845"/>
        <w:jc w:val="center"/>
      </w:pPr>
      <w:r>
        <w:rPr>
          <w:rFonts w:ascii="Arial" w:eastAsia="Arial" w:hAnsi="Arial" w:cs="Arial"/>
        </w:rPr>
        <w:t xml:space="preserve"> </w:t>
      </w:r>
    </w:p>
    <w:p w:rsidR="00FF384B" w:rsidRDefault="003E3BA9">
      <w:pPr>
        <w:spacing w:after="0"/>
        <w:ind w:left="1845"/>
        <w:jc w:val="center"/>
      </w:pPr>
      <w:r>
        <w:rPr>
          <w:rFonts w:ascii="Arial" w:eastAsia="Arial" w:hAnsi="Arial" w:cs="Arial"/>
        </w:rPr>
        <w:t xml:space="preserve"> </w:t>
      </w:r>
    </w:p>
    <w:p w:rsidR="00FF384B" w:rsidRDefault="003E3BA9">
      <w:pPr>
        <w:spacing w:after="0"/>
        <w:ind w:left="1706"/>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F384B" w:rsidRDefault="003E3BA9">
      <w:pPr>
        <w:tabs>
          <w:tab w:val="center" w:pos="422"/>
          <w:tab w:val="center" w:pos="1848"/>
          <w:tab w:val="center" w:pos="5414"/>
          <w:tab w:val="center" w:pos="8697"/>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9057" w:type="dxa"/>
        <w:tblInd w:w="354" w:type="dxa"/>
        <w:tblCellMar>
          <w:top w:w="5" w:type="dxa"/>
          <w:left w:w="68" w:type="dxa"/>
          <w:bottom w:w="0" w:type="dxa"/>
          <w:right w:w="9" w:type="dxa"/>
        </w:tblCellMar>
        <w:tblLook w:val="04A0" w:firstRow="1" w:lastRow="0" w:firstColumn="1" w:lastColumn="0" w:noHBand="0" w:noVBand="1"/>
      </w:tblPr>
      <w:tblGrid>
        <w:gridCol w:w="1423"/>
        <w:gridCol w:w="1064"/>
        <w:gridCol w:w="5144"/>
        <w:gridCol w:w="1426"/>
      </w:tblGrid>
      <w:tr w:rsidR="00FF384B">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84"/>
            </w:pPr>
            <w:r>
              <w:rPr>
                <w:rFonts w:ascii="Arial" w:eastAsia="Arial" w:hAnsi="Arial" w:cs="Arial"/>
                <w:b/>
              </w:rPr>
              <w:t xml:space="preserve">Aplicación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7"/>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9"/>
              <w:jc w:val="center"/>
            </w:pPr>
            <w:r>
              <w:rPr>
                <w:rFonts w:ascii="Arial" w:eastAsia="Arial" w:hAnsi="Arial" w:cs="Arial"/>
                <w:b/>
              </w:rPr>
              <w:t xml:space="preserve">Importe </w:t>
            </w:r>
          </w:p>
        </w:tc>
      </w:tr>
      <w:tr w:rsidR="00FF384B">
        <w:trPr>
          <w:trHeight w:val="266"/>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870.00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center"/>
            </w:pPr>
            <w:r>
              <w:rPr>
                <w:rFonts w:ascii="Arial" w:eastAsia="Arial" w:hAnsi="Arial" w:cs="Arial"/>
              </w:rPr>
              <w:t xml:space="preserve">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Remanente de Tesorería para Gastos Generales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4.034.835,71 </w:t>
            </w:r>
          </w:p>
        </w:tc>
      </w:tr>
      <w:tr w:rsidR="00FF384B">
        <w:trPr>
          <w:trHeight w:val="261"/>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0"/>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both"/>
            </w:pPr>
            <w:r>
              <w:rPr>
                <w:rFonts w:ascii="Arial" w:eastAsia="Arial" w:hAnsi="Arial" w:cs="Arial"/>
                <w:b/>
              </w:rPr>
              <w:t xml:space="preserve">4.034.835,71 </w:t>
            </w:r>
          </w:p>
        </w:tc>
      </w:tr>
    </w:tbl>
    <w:p w:rsidR="00FF384B" w:rsidRDefault="003E3BA9">
      <w:pPr>
        <w:spacing w:after="130" w:line="247" w:lineRule="auto"/>
        <w:ind w:left="278" w:right="244" w:hanging="10"/>
        <w:jc w:val="both"/>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7032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6232" name="Group 52623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3119" name="Picture 13119"/>
                          <pic:cNvPicPr/>
                        </pic:nvPicPr>
                        <pic:blipFill>
                          <a:blip r:embed="rId62"/>
                          <a:stretch>
                            <a:fillRect/>
                          </a:stretch>
                        </pic:blipFill>
                        <pic:spPr>
                          <a:xfrm rot="-5399999">
                            <a:off x="-1720849" y="1720849"/>
                            <a:ext cx="3797300" cy="355601"/>
                          </a:xfrm>
                          <a:prstGeom prst="rect">
                            <a:avLst/>
                          </a:prstGeom>
                        </pic:spPr>
                      </pic:pic>
                      <wps:wsp>
                        <wps:cNvPr id="13120" name="Rectangle 1312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3121" name="Rectangle 1312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6232" style="width:41.2715pt;height:299pt;position:absolute;mso-position-horizontal-relative:page;mso-position-horizontal:absolute;margin-left:653.71pt;mso-position-vertical-relative:page;margin-top:512.92pt;" coordsize="5241,37973">
                <v:shape id="Picture 13119" style="position:absolute;width:37973;height:3556;left:-17208;top:17208;rotation:-89;" filled="f">
                  <v:imagedata r:id="rId63"/>
                </v:shape>
                <v:rect id="Rectangle 1312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312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353 </w:t>
                        </w:r>
                      </w:p>
                    </w:txbxContent>
                  </v:textbox>
                </v:rect>
                <w10:wrap type="square"/>
              </v:group>
            </w:pict>
          </mc:Fallback>
        </mc:AlternateContent>
      </w: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Este Concejal Delegado de Hacienda, PROPONE al Pleno la adop</w:t>
      </w:r>
      <w:r>
        <w:rPr>
          <w:rFonts w:ascii="Arial" w:eastAsia="Arial" w:hAnsi="Arial" w:cs="Arial"/>
          <w:b/>
        </w:rPr>
        <w:t xml:space="preserve">ción del siguiente ACUERDO: </w:t>
      </w:r>
    </w:p>
    <w:p w:rsidR="00FF384B" w:rsidRDefault="003E3BA9">
      <w:pPr>
        <w:spacing w:after="0"/>
        <w:ind w:left="283"/>
      </w:pPr>
      <w:r>
        <w:rPr>
          <w:rFonts w:ascii="Arial" w:eastAsia="Arial" w:hAnsi="Arial" w:cs="Arial"/>
          <w:b/>
        </w:rPr>
        <w:t xml:space="preserve"> </w:t>
      </w:r>
    </w:p>
    <w:p w:rsidR="00FF384B" w:rsidRDefault="003E3BA9">
      <w:pPr>
        <w:spacing w:after="38"/>
        <w:ind w:left="283"/>
      </w:pPr>
      <w:r>
        <w:rPr>
          <w:rFonts w:ascii="Arial" w:eastAsia="Arial" w:hAnsi="Arial" w:cs="Arial"/>
          <w:b/>
        </w:rPr>
        <w:t xml:space="preserve"> </w:t>
      </w:r>
    </w:p>
    <w:p w:rsidR="00FF384B" w:rsidRDefault="003E3BA9">
      <w:pPr>
        <w:spacing w:after="36" w:line="247" w:lineRule="auto"/>
        <w:ind w:left="278" w:right="244" w:hanging="10"/>
        <w:jc w:val="both"/>
      </w:pPr>
      <w:r>
        <w:rPr>
          <w:rFonts w:ascii="Arial" w:eastAsia="Arial" w:hAnsi="Arial" w:cs="Arial"/>
          <w:b/>
        </w:rPr>
        <w:t xml:space="preserve">PRIMERO. - </w:t>
      </w:r>
      <w:r>
        <w:rPr>
          <w:rFonts w:ascii="Arial" w:eastAsia="Arial" w:hAnsi="Arial" w:cs="Arial"/>
        </w:rPr>
        <w:t xml:space="preserve">Aprobar expediente de modificación presupuestaria nº 2688/2021, por Créditos Extraordinarios financiado con remanente de tesorería para gastos generales, se realizará por la cantidad de </w:t>
      </w:r>
      <w:r>
        <w:rPr>
          <w:rFonts w:ascii="Arial" w:eastAsia="Arial" w:hAnsi="Arial" w:cs="Arial"/>
          <w:b/>
        </w:rPr>
        <w:t>4.034.835,71 Euros</w:t>
      </w:r>
      <w:r>
        <w:rPr>
          <w:rFonts w:ascii="Arial" w:eastAsia="Arial" w:hAnsi="Arial" w:cs="Arial"/>
        </w:rPr>
        <w:t>, según el siguiente detalle:</w:t>
      </w:r>
      <w:r>
        <w:rPr>
          <w:rFonts w:ascii="Times New Roman" w:eastAsia="Times New Roman" w:hAnsi="Times New Roman" w:cs="Times New Roman"/>
          <w:sz w:val="24"/>
        </w:rPr>
        <w:t xml:space="preserve"> </w:t>
      </w:r>
    </w:p>
    <w:p w:rsidR="00FF384B" w:rsidRDefault="003E3BA9">
      <w:pPr>
        <w:spacing w:after="40"/>
        <w:ind w:left="283"/>
      </w:pPr>
      <w:r>
        <w:rPr>
          <w:rFonts w:ascii="Arial" w:eastAsia="Arial" w:hAnsi="Arial" w:cs="Arial"/>
        </w:rPr>
        <w:t xml:space="preserve"> </w:t>
      </w:r>
    </w:p>
    <w:p w:rsidR="00FF384B" w:rsidRDefault="003E3BA9">
      <w:pPr>
        <w:tabs>
          <w:tab w:val="center" w:pos="422"/>
          <w:tab w:val="center" w:pos="1848"/>
          <w:tab w:val="center" w:pos="5414"/>
          <w:tab w:val="center" w:pos="8697"/>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9057" w:type="dxa"/>
        <w:tblInd w:w="354" w:type="dxa"/>
        <w:tblCellMar>
          <w:top w:w="5" w:type="dxa"/>
          <w:left w:w="68" w:type="dxa"/>
          <w:bottom w:w="6" w:type="dxa"/>
          <w:right w:w="9" w:type="dxa"/>
        </w:tblCellMar>
        <w:tblLook w:val="04A0" w:firstRow="1" w:lastRow="0" w:firstColumn="1" w:lastColumn="0" w:noHBand="0" w:noVBand="1"/>
      </w:tblPr>
      <w:tblGrid>
        <w:gridCol w:w="1423"/>
        <w:gridCol w:w="1064"/>
        <w:gridCol w:w="5144"/>
        <w:gridCol w:w="1426"/>
      </w:tblGrid>
      <w:tr w:rsidR="00FF384B">
        <w:trPr>
          <w:trHeight w:val="768"/>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left="84"/>
            </w:pPr>
            <w:r>
              <w:rPr>
                <w:rFonts w:ascii="Arial" w:eastAsia="Arial" w:hAnsi="Arial" w:cs="Arial"/>
                <w:b/>
              </w:rPr>
              <w:t xml:space="preserve">Aplicación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13" w:firstLine="6"/>
              <w:jc w:val="center"/>
            </w:pPr>
            <w:r>
              <w:rPr>
                <w:rFonts w:ascii="Arial" w:eastAsia="Arial" w:hAnsi="Arial" w:cs="Arial"/>
                <w:b/>
              </w:rPr>
              <w:t xml:space="preserve">Proyecto gasto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7"/>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59"/>
              <w:jc w:val="center"/>
            </w:pPr>
            <w:r>
              <w:rPr>
                <w:rFonts w:ascii="Arial" w:eastAsia="Arial" w:hAnsi="Arial" w:cs="Arial"/>
                <w:b/>
              </w:rPr>
              <w:t xml:space="preserve">Importe </w:t>
            </w:r>
          </w:p>
        </w:tc>
      </w:tr>
      <w:tr w:rsidR="00FF384B">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P.21.2.35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6.448,69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P.21.2.34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10.815,78 </w:t>
            </w:r>
          </w:p>
        </w:tc>
      </w:tr>
      <w:tr w:rsidR="00FF384B">
        <w:trPr>
          <w:trHeight w:val="514"/>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17000.62300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P.21.2.33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17.232,38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13200.62300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MAQUINARIA, INSTALACIONES Y UTILLAJE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35.802,14 </w:t>
            </w:r>
          </w:p>
        </w:tc>
      </w:tr>
      <w:tr w:rsidR="00FF384B">
        <w:trPr>
          <w:trHeight w:val="264"/>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13200.62400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117.470,62 </w:t>
            </w:r>
          </w:p>
        </w:tc>
      </w:tr>
      <w:tr w:rsidR="00FF384B">
        <w:trPr>
          <w:trHeight w:val="262"/>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13500.62200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CASETA PUESTO SOCORRISMO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18.641,95 </w:t>
            </w:r>
          </w:p>
        </w:tc>
      </w:tr>
      <w:tr w:rsidR="00FF384B">
        <w:trPr>
          <w:trHeight w:val="516"/>
        </w:trPr>
        <w:tc>
          <w:tcPr>
            <w:tcW w:w="1423"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7"/>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REDACCIÓN Y DIRECCIÓN PROYECTO ADUDITORIO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370.450,50 </w:t>
            </w:r>
          </w:p>
        </w:tc>
      </w:tr>
    </w:tbl>
    <w:tbl>
      <w:tblPr>
        <w:tblStyle w:val="TableGrid"/>
        <w:tblpPr w:vertAnchor="text" w:tblpX="353"/>
        <w:tblOverlap w:val="never"/>
        <w:tblW w:w="9059" w:type="dxa"/>
        <w:tblInd w:w="0" w:type="dxa"/>
        <w:tblCellMar>
          <w:top w:w="4" w:type="dxa"/>
          <w:left w:w="70" w:type="dxa"/>
          <w:bottom w:w="6" w:type="dxa"/>
          <w:right w:w="11" w:type="dxa"/>
        </w:tblCellMar>
        <w:tblLook w:val="04A0" w:firstRow="1" w:lastRow="0" w:firstColumn="1" w:lastColumn="0" w:noHBand="0" w:noVBand="1"/>
      </w:tblPr>
      <w:tblGrid>
        <w:gridCol w:w="1426"/>
        <w:gridCol w:w="1064"/>
        <w:gridCol w:w="5144"/>
        <w:gridCol w:w="1426"/>
      </w:tblGrid>
      <w:tr w:rsidR="00FF384B">
        <w:trPr>
          <w:trHeight w:val="511"/>
        </w:trPr>
        <w:tc>
          <w:tcPr>
            <w:tcW w:w="1426" w:type="dxa"/>
            <w:tcBorders>
              <w:top w:val="nil"/>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15100.22714 </w:t>
            </w:r>
          </w:p>
        </w:tc>
        <w:tc>
          <w:tcPr>
            <w:tcW w:w="1064" w:type="dxa"/>
            <w:tcBorders>
              <w:top w:val="nil"/>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REDACCIÓN Y DIRECCIÓN PROYECTO PISCINA MUNICIPAL CUBIERTA </w:t>
            </w:r>
          </w:p>
        </w:tc>
        <w:tc>
          <w:tcPr>
            <w:tcW w:w="1426" w:type="dxa"/>
            <w:tcBorders>
              <w:top w:val="nil"/>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187.250,00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PARA AMPLICACIÓN CENTRO ALFARERO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LA BASÍLICA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80.000,00 </w:t>
            </w:r>
          </w:p>
        </w:tc>
      </w:tr>
      <w:tr w:rsidR="00FF384B">
        <w:trPr>
          <w:trHeight w:val="517"/>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15100.60002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VIVIENDAS DE PROMOCIÓN PÚBLICA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300.000,00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EJECUCIÓN PROYECTO ESTACIÓN BOMBEO SAN BLAS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60.000,00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15100.60004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PEATONAL CON DESTINO PÚBLICO IGUESTE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25.000,00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15100.60005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PARCELA EBAR LA VIUDA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16.502,85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15100.60910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OBRA PLAZA DE LA VIUDA: EQUIPAMIENTO DEPORTIVO Y ASISTENCIAL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584.831,47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15100.61911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OBRA REMODELACIÓN PLAZA DE SANTA ANA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955.741,74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15100.61912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OBRA ADECUACIÓN ESPACIO LIBRE Y ESCULTURA DE ARAYA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146.676,02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17100.62500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DOTACIÓN MOBILIARIO Y REHABILITACIÓN PARQUES INFANTILES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80.611,82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23100.61901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CENTRO DE ALZHEIMER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27.590,55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32300.21300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INSTALACION BAJA TENSIÓN CEIP IGUESTEPUNTA LARGA Y PRINCIPE FELIPE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156.178,83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33400.62301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AIRE ACONDICIONADO CINE VIEJO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31.182,80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33400.62400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20.665,48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34100.61904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REHABILITACIÓN ÁREA DEPORTIVA: MÓDULO DE ATLETISMO Y CAMPO DE FUTBOL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17.008,72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34100.61905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PABELLÓN PUNTA LARGA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42.798,79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34100.61906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REHABILITACIÓN COMPLEJO DEPORTIVO ÁLVARO DE ARMAS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24.455,30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34100.61907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REHABILITACIÓN, ACONDICIONAMIENTO Y ADECUACIÓN DE BAR/CAFETERIA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146.774,87 </w:t>
            </w:r>
          </w:p>
        </w:tc>
      </w:tr>
      <w:tr w:rsidR="00FF384B">
        <w:trPr>
          <w:trHeight w:val="265"/>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34100.62500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MOBILIARIO INSTALACIONES DEPORTIVAS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8.533,55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SABINITA IGUESTE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33.922,92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45900.61902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MALPAIS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39.839,44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45900.61903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REFORMA PLAZA LA LIBERTAD IGUESTE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39.899,65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45900.61904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DEMOLICIÓN ESCUELITA CALLE LOS SABINAS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23.366,61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49200.45300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CONVENIO ULL: CATEDRA DE ORGANIZACIONES SALUDABLES, BIENESTAR….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15.000,00 </w:t>
            </w:r>
          </w:p>
        </w:tc>
      </w:tr>
      <w:tr w:rsidR="00FF384B">
        <w:trPr>
          <w:trHeight w:val="264"/>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49200.62500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MOBILIARIO CTCAN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20.372,80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49200.62601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SISTEMA DE GRABACIÓN, ESTRAMING Y VIDEOCONFERENCIA DEPENDENCIAS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8"/>
              <w:jc w:val="right"/>
            </w:pPr>
            <w:r>
              <w:rPr>
                <w:rFonts w:ascii="Arial" w:eastAsia="Arial" w:hAnsi="Arial" w:cs="Arial"/>
              </w:rPr>
              <w:t xml:space="preserve">30.118,61 </w:t>
            </w:r>
          </w:p>
        </w:tc>
      </w:tr>
      <w:tr w:rsidR="00FF384B">
        <w:trPr>
          <w:trHeight w:val="262"/>
        </w:trPr>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49200.62602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EQUIPOS DE FIRMA PARA EL SAC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5.314,00 </w:t>
            </w:r>
          </w:p>
        </w:tc>
      </w:tr>
      <w:tr w:rsidR="00FF384B">
        <w:trPr>
          <w:trHeight w:val="516"/>
        </w:trPr>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rPr>
              <w:t xml:space="preserve">49200.62603 </w:t>
            </w:r>
          </w:p>
        </w:tc>
        <w:tc>
          <w:tcPr>
            <w:tcW w:w="1064"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5"/>
              <w:jc w:val="both"/>
            </w:pPr>
            <w:r>
              <w:rPr>
                <w:rFonts w:ascii="Arial" w:eastAsia="Arial" w:hAnsi="Arial" w:cs="Arial"/>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PROYECTO DE RENOVACION INFRAESRUCTURA DE VIRTUALIZACIÓN Y….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rPr>
              <w:t xml:space="preserve">68.336,83 </w:t>
            </w:r>
          </w:p>
        </w:tc>
      </w:tr>
    </w:tbl>
    <w:p w:rsidR="00FF384B" w:rsidRDefault="003E3BA9">
      <w:pPr>
        <w:spacing w:after="0"/>
        <w:ind w:left="-2553" w:right="11595"/>
      </w:pPr>
      <w:r>
        <w:rPr>
          <w:noProof/>
        </w:rPr>
        <mc:AlternateContent>
          <mc:Choice Requires="wpg">
            <w:drawing>
              <wp:anchor distT="0" distB="0" distL="114300" distR="114300" simplePos="0" relativeHeight="251704320"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46971" name="Group 54697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3812" name="Picture 13812"/>
                          <pic:cNvPicPr/>
                        </pic:nvPicPr>
                        <pic:blipFill>
                          <a:blip r:embed="rId62"/>
                          <a:stretch>
                            <a:fillRect/>
                          </a:stretch>
                        </pic:blipFill>
                        <pic:spPr>
                          <a:xfrm rot="-5399999">
                            <a:off x="-1720849" y="1720849"/>
                            <a:ext cx="3797300" cy="355601"/>
                          </a:xfrm>
                          <a:prstGeom prst="rect">
                            <a:avLst/>
                          </a:prstGeom>
                        </pic:spPr>
                      </pic:pic>
                      <wps:wsp>
                        <wps:cNvPr id="13813" name="Rectangle 1381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3814" name="Rectangle 1381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6971" style="width:41.2715pt;height:299pt;position:absolute;mso-position-horizontal-relative:page;mso-position-horizontal:absolute;margin-left:653.71pt;mso-position-vertical-relative:page;margin-top:512.92pt;" coordsize="5241,37973">
                <v:shape id="Picture 13812" style="position:absolute;width:37973;height:3556;left:-17208;top:17208;rotation:-89;" filled="f">
                  <v:imagedata r:id="rId63"/>
                </v:shape>
                <v:rect id="Rectangle 138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381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353 </w:t>
                        </w:r>
                      </w:p>
                    </w:txbxContent>
                  </v:textbox>
                </v:rect>
                <w10:wrap type="topAndBottom"/>
              </v:group>
            </w:pict>
          </mc:Fallback>
        </mc:AlternateContent>
      </w:r>
      <w:r>
        <w:br w:type="page"/>
      </w:r>
    </w:p>
    <w:tbl>
      <w:tblPr>
        <w:tblStyle w:val="TableGrid"/>
        <w:tblW w:w="9057" w:type="dxa"/>
        <w:tblInd w:w="354" w:type="dxa"/>
        <w:tblCellMar>
          <w:top w:w="5" w:type="dxa"/>
          <w:left w:w="68" w:type="dxa"/>
          <w:bottom w:w="0" w:type="dxa"/>
          <w:right w:w="9" w:type="dxa"/>
        </w:tblCellMar>
        <w:tblLook w:val="04A0" w:firstRow="1" w:lastRow="0" w:firstColumn="1" w:lastColumn="0" w:noHBand="0" w:noVBand="1"/>
      </w:tblPr>
      <w:tblGrid>
        <w:gridCol w:w="1423"/>
        <w:gridCol w:w="1064"/>
        <w:gridCol w:w="5144"/>
        <w:gridCol w:w="1426"/>
      </w:tblGrid>
      <w:tr w:rsidR="00FF384B">
        <w:trPr>
          <w:trHeight w:val="337"/>
        </w:trPr>
        <w:tc>
          <w:tcPr>
            <w:tcW w:w="1423"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rPr>
              <w:t xml:space="preserve">92000.86030 </w:t>
            </w:r>
          </w:p>
        </w:tc>
        <w:tc>
          <w:tcPr>
            <w:tcW w:w="1064" w:type="dxa"/>
            <w:tcBorders>
              <w:top w:val="nil"/>
              <w:left w:val="single" w:sz="4" w:space="0" w:color="000000"/>
              <w:bottom w:val="single" w:sz="4" w:space="0" w:color="000000"/>
              <w:right w:val="single" w:sz="4" w:space="0" w:color="000000"/>
            </w:tcBorders>
          </w:tcPr>
          <w:p w:rsidR="00FF384B" w:rsidRDefault="003E3BA9">
            <w:pPr>
              <w:spacing w:after="0"/>
              <w:ind w:left="5"/>
              <w:jc w:val="both"/>
            </w:pPr>
            <w:r>
              <w:rPr>
                <w:rFonts w:ascii="Arial" w:eastAsia="Arial" w:hAnsi="Arial" w:cs="Arial"/>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COMPRA DE ACCIONES DE AGUA </w:t>
            </w:r>
          </w:p>
        </w:tc>
        <w:tc>
          <w:tcPr>
            <w:tcW w:w="1426" w:type="dxa"/>
            <w:tcBorders>
              <w:top w:val="nil"/>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rPr>
              <w:t xml:space="preserve">120.000,00 </w:t>
            </w:r>
          </w:p>
        </w:tc>
      </w:tr>
      <w:tr w:rsidR="00FF384B">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9"/>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both"/>
            </w:pPr>
            <w:r>
              <w:rPr>
                <w:rFonts w:ascii="Arial" w:eastAsia="Arial" w:hAnsi="Arial" w:cs="Arial"/>
                <w:b/>
              </w:rPr>
              <w:t xml:space="preserve">4.034.835,71 </w:t>
            </w:r>
          </w:p>
        </w:tc>
      </w:tr>
    </w:tbl>
    <w:p w:rsidR="00FF384B" w:rsidRDefault="003E3BA9">
      <w:pPr>
        <w:spacing w:after="0"/>
        <w:ind w:left="1706"/>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F384B" w:rsidRDefault="003E3BA9">
      <w:pPr>
        <w:tabs>
          <w:tab w:val="center" w:pos="422"/>
          <w:tab w:val="center" w:pos="1848"/>
          <w:tab w:val="center" w:pos="5414"/>
          <w:tab w:val="center" w:pos="8697"/>
        </w:tabs>
        <w:spacing w:after="15" w:line="247"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9057" w:type="dxa"/>
        <w:tblInd w:w="354" w:type="dxa"/>
        <w:tblCellMar>
          <w:top w:w="5" w:type="dxa"/>
          <w:left w:w="68" w:type="dxa"/>
          <w:bottom w:w="0" w:type="dxa"/>
          <w:right w:w="9" w:type="dxa"/>
        </w:tblCellMar>
        <w:tblLook w:val="04A0" w:firstRow="1" w:lastRow="0" w:firstColumn="1" w:lastColumn="0" w:noHBand="0" w:noVBand="1"/>
      </w:tblPr>
      <w:tblGrid>
        <w:gridCol w:w="1423"/>
        <w:gridCol w:w="1064"/>
        <w:gridCol w:w="5144"/>
        <w:gridCol w:w="1426"/>
      </w:tblGrid>
      <w:tr w:rsidR="00FF384B">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84"/>
            </w:pPr>
            <w:r>
              <w:rPr>
                <w:rFonts w:ascii="Arial" w:eastAsia="Arial" w:hAnsi="Arial" w:cs="Arial"/>
                <w:b/>
              </w:rPr>
              <w:t xml:space="preserve">Aplicación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7"/>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9"/>
              <w:jc w:val="center"/>
            </w:pPr>
            <w:r>
              <w:rPr>
                <w:rFonts w:ascii="Arial" w:eastAsia="Arial" w:hAnsi="Arial" w:cs="Arial"/>
                <w:b/>
              </w:rPr>
              <w:t xml:space="preserve">Importe </w:t>
            </w:r>
          </w:p>
        </w:tc>
      </w:tr>
      <w:tr w:rsidR="00FF384B">
        <w:trPr>
          <w:trHeight w:val="265"/>
        </w:trPr>
        <w:tc>
          <w:tcPr>
            <w:tcW w:w="142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center"/>
            </w:pPr>
            <w:r>
              <w:rPr>
                <w:rFonts w:ascii="Arial" w:eastAsia="Arial" w:hAnsi="Arial" w:cs="Arial"/>
              </w:rPr>
              <w:t xml:space="preserve">870.00 </w:t>
            </w:r>
          </w:p>
        </w:tc>
        <w:tc>
          <w:tcPr>
            <w:tcW w:w="106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
              <w:jc w:val="center"/>
            </w:pPr>
            <w:r>
              <w:rPr>
                <w:rFonts w:ascii="Arial" w:eastAsia="Arial" w:hAnsi="Arial" w:cs="Arial"/>
              </w:rPr>
              <w:t xml:space="preserve">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rPr>
              <w:t xml:space="preserve">Remanente de Tesorería para Gastos Generales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rPr>
              <w:t xml:space="preserve">4.034.835,71 </w:t>
            </w:r>
          </w:p>
        </w:tc>
      </w:tr>
      <w:tr w:rsidR="00FF384B">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4"/>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60"/>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both"/>
            </w:pPr>
            <w:r>
              <w:rPr>
                <w:rFonts w:ascii="Arial" w:eastAsia="Arial" w:hAnsi="Arial" w:cs="Arial"/>
                <w:b/>
              </w:rPr>
              <w:t xml:space="preserve">4.034.835,71 </w:t>
            </w:r>
          </w:p>
        </w:tc>
      </w:tr>
    </w:tbl>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1" w:line="239" w:lineRule="auto"/>
        <w:ind w:left="278" w:right="162" w:hanging="10"/>
      </w:pPr>
      <w:r>
        <w:rPr>
          <w:rFonts w:ascii="Arial" w:eastAsia="Arial" w:hAnsi="Arial" w:cs="Arial"/>
          <w:b/>
        </w:rPr>
        <w:t>SEGUNDO. -</w:t>
      </w:r>
      <w:r>
        <w:rPr>
          <w:rFonts w:ascii="Arial" w:eastAsia="Arial" w:hAnsi="Arial" w:cs="Arial"/>
        </w:rPr>
        <w:t xml:space="preserve"> </w:t>
      </w:r>
      <w:r>
        <w:rPr>
          <w:rFonts w:ascii="Arial" w:eastAsia="Arial" w:hAnsi="Arial" w:cs="Arial"/>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r>
        <w:rPr>
          <w:rFonts w:ascii="Arial" w:eastAsia="Arial" w:hAnsi="Arial" w:cs="Arial"/>
        </w:rPr>
        <w:tab/>
        <w:t xml:space="preserve"> </w:t>
      </w:r>
    </w:p>
    <w:p w:rsidR="00FF384B" w:rsidRDefault="003E3BA9">
      <w:pPr>
        <w:spacing w:after="5" w:line="247" w:lineRule="auto"/>
        <w:ind w:left="278" w:right="244" w:hanging="10"/>
        <w:jc w:val="both"/>
      </w:pPr>
      <w:r>
        <w:rPr>
          <w:rFonts w:ascii="Arial" w:eastAsia="Arial" w:hAnsi="Arial" w:cs="Arial"/>
          <w:b/>
        </w:rPr>
        <w:t xml:space="preserve">TERCERO. - </w:t>
      </w:r>
      <w:r>
        <w:rPr>
          <w:rFonts w:ascii="Arial" w:eastAsia="Arial" w:hAnsi="Arial" w:cs="Arial"/>
        </w:rPr>
        <w:t>El expediente se considerará def</w:t>
      </w:r>
      <w:r>
        <w:rPr>
          <w:rFonts w:ascii="Arial" w:eastAsia="Arial" w:hAnsi="Arial" w:cs="Arial"/>
        </w:rPr>
        <w:t>initivamente aprobado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DIC</w:t>
      </w:r>
      <w:r>
        <w:rPr>
          <w:rFonts w:ascii="Arial" w:eastAsia="Arial" w:hAnsi="Arial" w:cs="Arial"/>
          <w:b/>
        </w:rPr>
        <w:t xml:space="preserve">TAMEN FAVORABLE DE LA COMISIÓN INFORMATIVA DE HACIENDA, RECURSOS HUMANOS Y SERVICIOS GENERALES DE 26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Votos a favor: 4. </w:t>
      </w:r>
    </w:p>
    <w:p w:rsidR="00FF384B" w:rsidRDefault="003E3BA9">
      <w:pPr>
        <w:spacing w:after="5" w:line="247" w:lineRule="auto"/>
        <w:ind w:left="278" w:right="244" w:hanging="10"/>
        <w:jc w:val="both"/>
      </w:pPr>
      <w:r>
        <w:rPr>
          <w:rFonts w:ascii="Arial" w:eastAsia="Arial" w:hAnsi="Arial" w:cs="Arial"/>
        </w:rPr>
        <w:t xml:space="preserve">4 concejales del Grupo Socialista: Don Airam Pérez Chinea, Don José Francisco Pinto Ramos, Don Olegario Francisco Alonso Bello y Don Jorge Baute Delgado. </w:t>
      </w:r>
    </w:p>
    <w:p w:rsidR="00FF384B" w:rsidRDefault="003E3BA9">
      <w:pPr>
        <w:spacing w:after="0"/>
        <w:ind w:left="283"/>
      </w:pPr>
      <w:r>
        <w:rPr>
          <w:noProof/>
        </w:rPr>
        <mc:AlternateContent>
          <mc:Choice Requires="wpg">
            <w:drawing>
              <wp:anchor distT="0" distB="0" distL="114300" distR="114300" simplePos="0" relativeHeight="2517053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5612" name="Group 46561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4079" name="Picture 14079"/>
                          <pic:cNvPicPr/>
                        </pic:nvPicPr>
                        <pic:blipFill>
                          <a:blip r:embed="rId62"/>
                          <a:stretch>
                            <a:fillRect/>
                          </a:stretch>
                        </pic:blipFill>
                        <pic:spPr>
                          <a:xfrm rot="-5399999">
                            <a:off x="-1720849" y="1720849"/>
                            <a:ext cx="3797300" cy="355601"/>
                          </a:xfrm>
                          <a:prstGeom prst="rect">
                            <a:avLst/>
                          </a:prstGeom>
                        </pic:spPr>
                      </pic:pic>
                      <wps:wsp>
                        <wps:cNvPr id="14080" name="Rectangle 1408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4081" name="Rectangle 1408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5612" style="width:41.2715pt;height:299pt;position:absolute;mso-position-horizontal-relative:page;mso-position-horizontal:absolute;margin-left:653.71pt;mso-position-vertical-relative:page;margin-top:512.92pt;" coordsize="5241,37973">
                <v:shape id="Picture 14079" style="position:absolute;width:37973;height:3556;left:-17208;top:17208;rotation:-89;" filled="f">
                  <v:imagedata r:id="rId63"/>
                </v:shape>
                <v:rect id="Rectangle 1408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408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353 </w:t>
                        </w:r>
                      </w:p>
                    </w:txbxContent>
                  </v:textbox>
                </v:rect>
                <w10:wrap type="square"/>
              </v:group>
            </w:pict>
          </mc:Fallback>
        </mc:AlternateContent>
      </w: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Votos en contra: 0.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Abstenciones: 3. </w:t>
      </w:r>
    </w:p>
    <w:p w:rsidR="00FF384B" w:rsidRDefault="003E3BA9">
      <w:pPr>
        <w:numPr>
          <w:ilvl w:val="0"/>
          <w:numId w:val="19"/>
        </w:numPr>
        <w:spacing w:after="5" w:line="247" w:lineRule="auto"/>
        <w:ind w:right="244" w:hanging="184"/>
        <w:jc w:val="both"/>
      </w:pPr>
      <w:r>
        <w:rPr>
          <w:rFonts w:ascii="Arial" w:eastAsia="Arial" w:hAnsi="Arial" w:cs="Arial"/>
        </w:rPr>
        <w:t xml:space="preserve">de la concejal del Grupo Popular, Doña Raquel Martín Castro. </w:t>
      </w:r>
    </w:p>
    <w:p w:rsidR="00FF384B" w:rsidRDefault="003E3BA9">
      <w:pPr>
        <w:numPr>
          <w:ilvl w:val="0"/>
          <w:numId w:val="19"/>
        </w:numPr>
        <w:spacing w:after="5" w:line="247" w:lineRule="auto"/>
        <w:ind w:right="244" w:hanging="184"/>
        <w:jc w:val="both"/>
      </w:pPr>
      <w:r>
        <w:rPr>
          <w:rFonts w:ascii="Arial" w:eastAsia="Arial" w:hAnsi="Arial" w:cs="Arial"/>
        </w:rPr>
        <w:t>de las concejales del Grupo Mixto: Lourdes del Carmen M</w:t>
      </w:r>
      <w:r>
        <w:rPr>
          <w:rFonts w:ascii="Arial" w:eastAsia="Arial" w:hAnsi="Arial" w:cs="Arial"/>
        </w:rPr>
        <w:t xml:space="preserve">ondéjar Rondón y Doña Ángela Cruz Perera.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JUNTA DE PORTAVOCES DE 26 DE ABRIL DE 2021.  </w:t>
      </w:r>
    </w:p>
    <w:p w:rsidR="00FF384B" w:rsidRDefault="003E3BA9">
      <w:pPr>
        <w:spacing w:after="5" w:line="247" w:lineRule="auto"/>
        <w:ind w:left="278" w:right="244" w:hanging="10"/>
        <w:jc w:val="both"/>
      </w:pPr>
      <w:r>
        <w:rPr>
          <w:rFonts w:ascii="Arial" w:eastAsia="Arial" w:hAnsi="Arial" w:cs="Arial"/>
        </w:rPr>
        <w:t xml:space="preserve">Quedó oída.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VOTACIÓN EN EL PLENO DE 29 DE ABRIL DE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1001" w:right="244" w:hanging="10"/>
        <w:jc w:val="both"/>
      </w:pPr>
      <w:r>
        <w:rPr>
          <w:rFonts w:ascii="Arial" w:eastAsia="Arial" w:hAnsi="Arial" w:cs="Arial"/>
        </w:rPr>
        <w:t xml:space="preserve">Votos a favor: 11. </w:t>
      </w:r>
    </w:p>
    <w:p w:rsidR="00FF384B" w:rsidRDefault="003E3BA9">
      <w:pPr>
        <w:spacing w:after="114" w:line="247" w:lineRule="auto"/>
        <w:ind w:left="268" w:right="24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FF384B" w:rsidRDefault="003E3BA9">
      <w:pPr>
        <w:spacing w:after="109" w:line="247" w:lineRule="auto"/>
        <w:ind w:left="1001" w:right="244" w:hanging="10"/>
        <w:jc w:val="both"/>
      </w:pPr>
      <w:r>
        <w:rPr>
          <w:rFonts w:ascii="Arial" w:eastAsia="Arial" w:hAnsi="Arial" w:cs="Arial"/>
        </w:rPr>
        <w:t xml:space="preserve">Votos en contra: 2. </w:t>
      </w:r>
    </w:p>
    <w:p w:rsidR="00FF384B" w:rsidRDefault="003E3BA9">
      <w:pPr>
        <w:spacing w:after="110" w:line="249" w:lineRule="auto"/>
        <w:ind w:left="10" w:right="245" w:hanging="10"/>
        <w:jc w:val="right"/>
      </w:pPr>
      <w:r>
        <w:rPr>
          <w:rFonts w:ascii="Arial" w:eastAsia="Arial" w:hAnsi="Arial" w:cs="Arial"/>
        </w:rPr>
        <w:t xml:space="preserve">2 concejales del Grupo Mixto (SSP), Don Antonio Delgado García y Lourdes del Carmen </w:t>
      </w:r>
      <w:r>
        <w:rPr>
          <w:rFonts w:ascii="Arial" w:eastAsia="Arial" w:hAnsi="Arial" w:cs="Arial"/>
        </w:rPr>
        <w:t xml:space="preserve">Mondéjar Rondón. </w:t>
      </w:r>
    </w:p>
    <w:p w:rsidR="00FF384B" w:rsidRDefault="003E3BA9">
      <w:pPr>
        <w:spacing w:after="109" w:line="247" w:lineRule="auto"/>
        <w:ind w:left="1001" w:right="244" w:hanging="10"/>
        <w:jc w:val="both"/>
      </w:pPr>
      <w:r>
        <w:rPr>
          <w:rFonts w:ascii="Arial" w:eastAsia="Arial" w:hAnsi="Arial" w:cs="Arial"/>
        </w:rPr>
        <w:t xml:space="preserve">Abstenciones: 4. </w:t>
      </w:r>
    </w:p>
    <w:p w:rsidR="00FF384B" w:rsidRDefault="003E3BA9">
      <w:pPr>
        <w:spacing w:after="114" w:line="247" w:lineRule="auto"/>
        <w:ind w:left="268" w:right="244" w:firstLine="708"/>
        <w:jc w:val="both"/>
      </w:pPr>
      <w:r>
        <w:rPr>
          <w:rFonts w:ascii="Arial" w:eastAsia="Arial" w:hAnsi="Arial" w:cs="Arial"/>
        </w:rPr>
        <w:t xml:space="preserve">2 concejales del Grupo Popular: Don Andrés Rodríguez Delgado y Don Jacobo López Fariña. </w:t>
      </w:r>
    </w:p>
    <w:p w:rsidR="00FF384B" w:rsidRDefault="003E3BA9">
      <w:pPr>
        <w:spacing w:after="102"/>
        <w:ind w:left="429" w:right="567" w:hanging="10"/>
        <w:jc w:val="center"/>
      </w:pPr>
      <w:r>
        <w:rPr>
          <w:rFonts w:ascii="Arial" w:eastAsia="Arial" w:hAnsi="Arial" w:cs="Arial"/>
        </w:rPr>
        <w:t xml:space="preserve">1 de la concejal del Grupo Mixto, Doña Ángela Cruz Perera (CC-PNC). </w:t>
      </w:r>
    </w:p>
    <w:p w:rsidR="00FF384B" w:rsidRDefault="003E3BA9">
      <w:pPr>
        <w:spacing w:after="102"/>
        <w:ind w:left="429" w:right="328" w:hanging="10"/>
        <w:jc w:val="center"/>
      </w:pPr>
      <w:r>
        <w:rPr>
          <w:rFonts w:ascii="Arial" w:eastAsia="Arial" w:hAnsi="Arial" w:cs="Arial"/>
        </w:rPr>
        <w:t xml:space="preserve">1 del concejal del Grupo Mixto (VxC), Don José Fernando Gómez </w:t>
      </w:r>
      <w:r>
        <w:rPr>
          <w:rFonts w:ascii="Arial" w:eastAsia="Arial" w:hAnsi="Arial" w:cs="Arial"/>
        </w:rPr>
        <w:t xml:space="preserve">Martín. </w:t>
      </w:r>
    </w:p>
    <w:p w:rsidR="00FF384B" w:rsidRDefault="003E3BA9">
      <w:pPr>
        <w:spacing w:after="98"/>
        <w:ind w:left="283"/>
      </w:pPr>
      <w:r>
        <w:rPr>
          <w:rFonts w:ascii="Arial" w:eastAsia="Arial" w:hAnsi="Arial" w:cs="Arial"/>
        </w:rPr>
        <w:t xml:space="preserve"> </w:t>
      </w:r>
    </w:p>
    <w:p w:rsidR="00FF384B" w:rsidRDefault="003E3BA9">
      <w:pPr>
        <w:spacing w:after="98"/>
        <w:ind w:left="283"/>
      </w:pPr>
      <w:r>
        <w:rPr>
          <w:noProof/>
        </w:rPr>
        <mc:AlternateContent>
          <mc:Choice Requires="wpg">
            <w:drawing>
              <wp:anchor distT="0" distB="0" distL="114300" distR="114300" simplePos="0" relativeHeight="251706368"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07449" name="Group 5074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4512" name="Picture 14512"/>
                          <pic:cNvPicPr/>
                        </pic:nvPicPr>
                        <pic:blipFill>
                          <a:blip r:embed="rId62"/>
                          <a:stretch>
                            <a:fillRect/>
                          </a:stretch>
                        </pic:blipFill>
                        <pic:spPr>
                          <a:xfrm rot="-5399999">
                            <a:off x="-1720849" y="1720849"/>
                            <a:ext cx="3797300" cy="355601"/>
                          </a:xfrm>
                          <a:prstGeom prst="rect">
                            <a:avLst/>
                          </a:prstGeom>
                        </pic:spPr>
                      </pic:pic>
                      <wps:wsp>
                        <wps:cNvPr id="14513" name="Rectangle 1451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4514" name="Rectangle 1451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7449" style="width:41.2715pt;height:299pt;position:absolute;mso-position-horizontal-relative:page;mso-position-horizontal:absolute;margin-left:653.71pt;mso-position-vertical-relative:page;margin-top:512.92pt;" coordsize="5241,37973">
                <v:shape id="Picture 14512" style="position:absolute;width:37973;height:3556;left:-17208;top:17208;rotation:-89;" filled="f">
                  <v:imagedata r:id="rId63"/>
                </v:shape>
                <v:rect id="Rectangle 145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451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353 </w:t>
                        </w:r>
                      </w:p>
                    </w:txbxContent>
                  </v:textbox>
                </v:rect>
                <w10:wrap type="topAndBottom"/>
              </v:group>
            </w:pict>
          </mc:Fallback>
        </mc:AlternateContent>
      </w:r>
      <w:r>
        <w:rPr>
          <w:rFonts w:ascii="Arial" w:eastAsia="Arial" w:hAnsi="Arial" w:cs="Arial"/>
        </w:rPr>
        <w:t xml:space="preserve"> </w:t>
      </w:r>
    </w:p>
    <w:p w:rsidR="00FF384B" w:rsidRDefault="003E3BA9">
      <w:pPr>
        <w:tabs>
          <w:tab w:val="center" w:pos="283"/>
          <w:tab w:val="center" w:pos="991"/>
          <w:tab w:val="center" w:pos="1699"/>
          <w:tab w:val="center" w:pos="2407"/>
          <w:tab w:val="center" w:pos="4509"/>
        </w:tabs>
        <w:spacing w:after="56" w:line="247"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ACUERDO DEL PLENO </w:t>
      </w:r>
    </w:p>
    <w:p w:rsidR="00FF384B" w:rsidRDefault="003E3BA9">
      <w:pPr>
        <w:spacing w:after="15" w:line="247" w:lineRule="auto"/>
        <w:ind w:left="286" w:right="253" w:hanging="3"/>
        <w:jc w:val="both"/>
      </w:pPr>
      <w:r>
        <w:rPr>
          <w:rFonts w:ascii="Arial" w:eastAsia="Arial" w:hAnsi="Arial" w:cs="Arial"/>
          <w:b/>
        </w:rPr>
        <w:t xml:space="preserve"> PRIMERO.- </w:t>
      </w:r>
      <w:r>
        <w:rPr>
          <w:rFonts w:ascii="Arial" w:eastAsia="Arial" w:hAnsi="Arial" w:cs="Arial"/>
          <w:b/>
        </w:rPr>
        <w:t>Aprobar expediente de modificación presupuestaria nº 2688/2021, por Créditos Extraordinarios financiado con remanente de tesorería para gastos generales, se realizará por la cantidad de 4.034.835,71 Euros, según el siguiente detalle:</w:t>
      </w:r>
      <w:r>
        <w:rPr>
          <w:rFonts w:ascii="Times New Roman" w:eastAsia="Times New Roman" w:hAnsi="Times New Roman" w:cs="Times New Roman"/>
          <w:sz w:val="24"/>
        </w:rPr>
        <w:t xml:space="preserve"> </w:t>
      </w:r>
    </w:p>
    <w:p w:rsidR="00FF384B" w:rsidRDefault="003E3BA9">
      <w:pPr>
        <w:spacing w:after="38"/>
        <w:ind w:left="283"/>
      </w:pPr>
      <w:r>
        <w:rPr>
          <w:rFonts w:ascii="Arial" w:eastAsia="Arial" w:hAnsi="Arial" w:cs="Arial"/>
          <w:b/>
        </w:rPr>
        <w:t xml:space="preserve"> </w:t>
      </w:r>
    </w:p>
    <w:p w:rsidR="00FF384B" w:rsidRDefault="003E3BA9">
      <w:pPr>
        <w:spacing w:after="38"/>
        <w:ind w:left="283"/>
      </w:pPr>
      <w:r>
        <w:rPr>
          <w:rFonts w:ascii="Arial" w:eastAsia="Arial" w:hAnsi="Arial" w:cs="Arial"/>
          <w:b/>
        </w:rPr>
        <w:t xml:space="preserve"> </w:t>
      </w:r>
    </w:p>
    <w:p w:rsidR="00FF384B" w:rsidRDefault="003E3BA9">
      <w:pPr>
        <w:spacing w:after="41"/>
        <w:ind w:left="283"/>
      </w:pPr>
      <w:r>
        <w:rPr>
          <w:rFonts w:ascii="Arial" w:eastAsia="Arial" w:hAnsi="Arial" w:cs="Arial"/>
          <w:b/>
        </w:rPr>
        <w:t xml:space="preserve"> </w:t>
      </w:r>
    </w:p>
    <w:p w:rsidR="00FF384B" w:rsidRDefault="003E3BA9">
      <w:pPr>
        <w:tabs>
          <w:tab w:val="center" w:pos="422"/>
          <w:tab w:val="center" w:pos="1920"/>
          <w:tab w:val="center" w:pos="5493"/>
          <w:tab w:val="center" w:pos="8776"/>
        </w:tabs>
        <w:spacing w:after="15" w:line="247"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 xml:space="preserve">     </w:t>
      </w:r>
      <w:r>
        <w:rPr>
          <w:rFonts w:ascii="Arial" w:eastAsia="Arial" w:hAnsi="Arial" w:cs="Arial"/>
          <w:b/>
        </w:rPr>
        <w:tab/>
        <w:t xml:space="preserve">Estado de Gastos </w:t>
      </w:r>
      <w:r>
        <w:rPr>
          <w:rFonts w:ascii="Arial" w:eastAsia="Arial" w:hAnsi="Arial" w:cs="Arial"/>
          <w:b/>
        </w:rPr>
        <w:tab/>
        <w:t xml:space="preserve"> </w:t>
      </w:r>
    </w:p>
    <w:tbl>
      <w:tblPr>
        <w:tblStyle w:val="TableGrid"/>
        <w:tblW w:w="9136" w:type="dxa"/>
        <w:tblInd w:w="354" w:type="dxa"/>
        <w:tblCellMar>
          <w:top w:w="2" w:type="dxa"/>
          <w:left w:w="68" w:type="dxa"/>
          <w:bottom w:w="8" w:type="dxa"/>
          <w:right w:w="7" w:type="dxa"/>
        </w:tblCellMar>
        <w:tblLook w:val="04A0" w:firstRow="1" w:lastRow="0" w:firstColumn="1" w:lastColumn="0" w:noHBand="0" w:noVBand="1"/>
      </w:tblPr>
      <w:tblGrid>
        <w:gridCol w:w="1495"/>
        <w:gridCol w:w="1071"/>
        <w:gridCol w:w="5144"/>
        <w:gridCol w:w="1426"/>
      </w:tblGrid>
      <w:tr w:rsidR="00FF384B">
        <w:trPr>
          <w:trHeight w:val="768"/>
        </w:trPr>
        <w:tc>
          <w:tcPr>
            <w:tcW w:w="1495"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left="122"/>
            </w:pPr>
            <w:r>
              <w:rPr>
                <w:rFonts w:ascii="Arial" w:eastAsia="Arial" w:hAnsi="Arial" w:cs="Arial"/>
                <w:b/>
              </w:rPr>
              <w:t xml:space="preserve">Aplicación </w:t>
            </w:r>
          </w:p>
        </w:tc>
        <w:tc>
          <w:tcPr>
            <w:tcW w:w="1071"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21" w:firstLine="6"/>
              <w:jc w:val="center"/>
            </w:pPr>
            <w:r>
              <w:rPr>
                <w:rFonts w:ascii="Arial" w:eastAsia="Arial" w:hAnsi="Arial" w:cs="Arial"/>
                <w:b/>
              </w:rPr>
              <w:t xml:space="preserve">Proyecto gasto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60"/>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F384B" w:rsidRDefault="003E3BA9">
            <w:pPr>
              <w:spacing w:after="0"/>
              <w:ind w:right="61"/>
              <w:jc w:val="center"/>
            </w:pPr>
            <w:r>
              <w:rPr>
                <w:rFonts w:ascii="Arial" w:eastAsia="Arial" w:hAnsi="Arial" w:cs="Arial"/>
                <w:b/>
              </w:rPr>
              <w:t xml:space="preserve">Importe </w:t>
            </w:r>
          </w:p>
        </w:tc>
      </w:tr>
      <w:tr w:rsidR="00FF384B">
        <w:trPr>
          <w:trHeight w:val="517"/>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17000.62300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P.21.2.35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6.448,69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17000.62300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P.21.2.34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10.815,78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17000.62300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P.21.2.33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PANELES FOTOVOLTAICO DEPENDENCIAS MUNICIPALES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17.232,38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13200.62300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MAQUINARIA, INSTALACIONES Y UTILLAJE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right"/>
            </w:pPr>
            <w:r>
              <w:rPr>
                <w:rFonts w:ascii="Arial" w:eastAsia="Arial" w:hAnsi="Arial" w:cs="Arial"/>
                <w:b/>
              </w:rPr>
              <w:t xml:space="preserve">35.802,14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13200.62400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right"/>
            </w:pPr>
            <w:r>
              <w:rPr>
                <w:rFonts w:ascii="Arial" w:eastAsia="Arial" w:hAnsi="Arial" w:cs="Arial"/>
                <w:b/>
              </w:rPr>
              <w:t xml:space="preserve">117.470,62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13500.62200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CASETA PUESTO SOCORRISMO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1"/>
              <w:jc w:val="right"/>
            </w:pPr>
            <w:r>
              <w:rPr>
                <w:rFonts w:ascii="Arial" w:eastAsia="Arial" w:hAnsi="Arial" w:cs="Arial"/>
                <w:b/>
              </w:rPr>
              <w:t xml:space="preserve">18.641,95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15100.22713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REDACCIÓN Y DIRECCIÓN PROYECTO ADUDITORIO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370.450,50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15100.22714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REDACCIÓN Y DIRECCIÓN PROYECTO PISCINA MUNICIPAL CUBIERTA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187.250,00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15100.60000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ADQUISICIÓN PARCELA PARA AMPLICACIÓN CENTRO ALFARERO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150.000,00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15100.60001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PARCELA EJECUCIÓN PROYECTO LA BASÍLICA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80.000,00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 </w:t>
            </w:r>
          </w:p>
          <w:p w:rsidR="00FF384B" w:rsidRDefault="003E3BA9">
            <w:pPr>
              <w:spacing w:after="0"/>
              <w:jc w:val="both"/>
            </w:pPr>
            <w:r>
              <w:rPr>
                <w:rFonts w:ascii="Arial" w:eastAsia="Arial" w:hAnsi="Arial" w:cs="Arial"/>
                <w:b/>
              </w:rPr>
              <w:t xml:space="preserve">f15100.60002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PARCELA EJECUCIÓN VIVIENDAS DE PROMOCIÓN PÚBLICA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300.000,00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15100.60003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PARCELA EJECUCIÓN PROYECTO ESTACIÓN BOMBEO SAN BLAS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60.000,00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15100.60004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PARCELA PEATONAL CON DESTINO PÚBLICO IGUESTE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61"/>
              <w:jc w:val="right"/>
            </w:pPr>
            <w:r>
              <w:rPr>
                <w:rFonts w:ascii="Arial" w:eastAsia="Arial" w:hAnsi="Arial" w:cs="Arial"/>
                <w:b/>
              </w:rPr>
              <w:t xml:space="preserve">25.000,00 </w:t>
            </w:r>
          </w:p>
        </w:tc>
      </w:tr>
      <w:tr w:rsidR="00FF384B">
        <w:trPr>
          <w:trHeight w:val="259"/>
        </w:trPr>
        <w:tc>
          <w:tcPr>
            <w:tcW w:w="1495" w:type="dxa"/>
            <w:tcBorders>
              <w:top w:val="nil"/>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15100.60005 </w:t>
            </w:r>
          </w:p>
        </w:tc>
        <w:tc>
          <w:tcPr>
            <w:tcW w:w="1071" w:type="dxa"/>
            <w:tcBorders>
              <w:top w:val="nil"/>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nil"/>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PARCELA EBAR LA VIUDA </w:t>
            </w:r>
          </w:p>
        </w:tc>
        <w:tc>
          <w:tcPr>
            <w:tcW w:w="1426" w:type="dxa"/>
            <w:tcBorders>
              <w:top w:val="nil"/>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16.502,85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15100.60910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OBRA PLAZA DE LA VIUDA: EQUIPAMIENTO DEPORTIVO Y ASISTENCIAL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584.831,47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15100.61911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OBRA REMODELACIÓN PLAZA DE SANTA ANA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955.741,74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15100.61912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OBRA ADECUACIÓN ESPACIO LIBRE Y ESCULTURA DE ARAYA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146.676,02 </w:t>
            </w:r>
          </w:p>
        </w:tc>
      </w:tr>
      <w:tr w:rsidR="00FF384B">
        <w:trPr>
          <w:trHeight w:val="517"/>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17100.62500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DOTACIÓN MOBILIARIO Y REHABILITACIÓN PARQUES INFANTILES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80.611,82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23100.61901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REFORMA CENTRO DE ALZHEIMER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27.590,55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32300.21300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INSTALACION BAJA TENSIÓN CEIP IGUESTEPUNTA LARGA Y PRINCIPE FELIPE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156.178,83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33400.62301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AIRE ACONDICIONADO CINE VIEJO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31.182,80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33400.62400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ADQUISICIÓN DE VEHÍCULOS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20.665,48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34100.61904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REHABILITACIÓN ÁREA DEPORTIVA: MÓDULO DE ATLETISMO Y CAMPO DE FUTBOL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17.008,72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34100.61905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REHABILITACIÓN PABELLÓN PUNTA LARGA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42.798,79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34100.61906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REHABILITACIÓN COMPLEJO DEPORTIVO ÁLVARO DE ARMAS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24.455,30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34100.61907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REHABILITACIÓN, ACONDICIONAMIENTO Y ADECUACIÓN DE BAR/CAFETERIA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146.774,87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34100.62500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MOBILIARIO INSTALACIONES DEPORTIVAS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8.533,55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45900.61901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REFORMA PLAZA LA SABINITA IGUESTE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33.922,92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45900.61902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REFORMA PLAZA MALPAIS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39.839,44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45900.61903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REFORMA PLAZA LA LIBERTAD IGUESTE DE CANDELARIA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39.899,65 </w:t>
            </w:r>
          </w:p>
        </w:tc>
      </w:tr>
      <w:tr w:rsidR="00FF384B">
        <w:trPr>
          <w:trHeight w:val="514"/>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45900.61904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DEMOLICIÓN ESCUELITA CALLE LOS SABINAS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23.366,61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49200.45300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CONVENIO ULL: CATEDRA DE ORGANIZACIONES SALUDABLES, BIENESTAR….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15.000,00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49200.62500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MOBILIARIO CTCAN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20.372,80 </w:t>
            </w:r>
          </w:p>
        </w:tc>
      </w:tr>
      <w:tr w:rsidR="00FF384B">
        <w:trPr>
          <w:trHeight w:val="517"/>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49200.62601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SISTEMA DE GRABACIÓN, ESTRAMING Y VIDEOCONFERENCIA DEPENDENCIAS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8"/>
              <w:jc w:val="right"/>
            </w:pPr>
            <w:r>
              <w:rPr>
                <w:rFonts w:ascii="Arial" w:eastAsia="Arial" w:hAnsi="Arial" w:cs="Arial"/>
                <w:b/>
              </w:rPr>
              <w:t xml:space="preserve">30.118,61 </w:t>
            </w:r>
          </w:p>
        </w:tc>
      </w:tr>
      <w:tr w:rsidR="00FF384B">
        <w:trPr>
          <w:trHeight w:val="264"/>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49200.62602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EQUIPOS DE FIRMA PARA EL SAC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5.314,00 </w:t>
            </w:r>
          </w:p>
        </w:tc>
      </w:tr>
      <w:tr w:rsidR="00FF384B">
        <w:trPr>
          <w:trHeight w:val="516"/>
        </w:trPr>
        <w:tc>
          <w:tcPr>
            <w:tcW w:w="1495"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jc w:val="both"/>
            </w:pPr>
            <w:r>
              <w:rPr>
                <w:rFonts w:ascii="Arial" w:eastAsia="Arial" w:hAnsi="Arial" w:cs="Arial"/>
                <w:b/>
              </w:rPr>
              <w:t xml:space="preserve">49200.62603 </w:t>
            </w:r>
          </w:p>
        </w:tc>
        <w:tc>
          <w:tcPr>
            <w:tcW w:w="1071"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left="10"/>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PROYECTO DE RENOVACION INFRAESRUCTURA DE VIRTUALIZACIÓN Y…. </w:t>
            </w:r>
          </w:p>
        </w:tc>
        <w:tc>
          <w:tcPr>
            <w:tcW w:w="1426" w:type="dxa"/>
            <w:tcBorders>
              <w:top w:val="single" w:sz="4" w:space="0" w:color="000000"/>
              <w:left w:val="single" w:sz="4" w:space="0" w:color="000000"/>
              <w:bottom w:val="single" w:sz="4" w:space="0" w:color="000000"/>
              <w:right w:val="single" w:sz="4" w:space="0" w:color="000000"/>
            </w:tcBorders>
            <w:vAlign w:val="bottom"/>
          </w:tcPr>
          <w:p w:rsidR="00FF384B" w:rsidRDefault="003E3BA9">
            <w:pPr>
              <w:spacing w:after="0"/>
              <w:ind w:right="59"/>
              <w:jc w:val="right"/>
            </w:pPr>
            <w:r>
              <w:rPr>
                <w:rFonts w:ascii="Arial" w:eastAsia="Arial" w:hAnsi="Arial" w:cs="Arial"/>
                <w:b/>
              </w:rPr>
              <w:t xml:space="preserve">68.336,83 </w:t>
            </w:r>
          </w:p>
        </w:tc>
      </w:tr>
      <w:tr w:rsidR="00FF384B">
        <w:trPr>
          <w:trHeight w:val="340"/>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both"/>
            </w:pPr>
            <w:r>
              <w:rPr>
                <w:rFonts w:ascii="Arial" w:eastAsia="Arial" w:hAnsi="Arial" w:cs="Arial"/>
                <w:b/>
              </w:rPr>
              <w:t xml:space="preserve">92000.86030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both"/>
            </w:pPr>
            <w:r>
              <w:rPr>
                <w:rFonts w:ascii="Arial" w:eastAsia="Arial" w:hAnsi="Arial" w:cs="Arial"/>
                <w:b/>
              </w:rPr>
              <w:t xml:space="preserve">p.21.2.31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rPr>
              <w:t xml:space="preserve">COMPRA DE ACCIONES DE AGUA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9"/>
              <w:jc w:val="right"/>
            </w:pPr>
            <w:r>
              <w:rPr>
                <w:rFonts w:ascii="Arial" w:eastAsia="Arial" w:hAnsi="Arial" w:cs="Arial"/>
                <w:b/>
              </w:rPr>
              <w:t xml:space="preserve">120.000,00 </w:t>
            </w:r>
          </w:p>
        </w:tc>
      </w:tr>
      <w:tr w:rsidR="00FF384B">
        <w:trPr>
          <w:trHeight w:val="262"/>
        </w:trPr>
        <w:tc>
          <w:tcPr>
            <w:tcW w:w="1495"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pPr>
            <w:r>
              <w:rPr>
                <w:rFonts w:ascii="Arial" w:eastAsia="Arial" w:hAnsi="Arial" w:cs="Arial"/>
                <w:b/>
              </w:rPr>
              <w:t xml:space="preserve">  </w:t>
            </w:r>
          </w:p>
        </w:tc>
        <w:tc>
          <w:tcPr>
            <w:tcW w:w="1071"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right="59"/>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2"/>
              <w:jc w:val="both"/>
            </w:pPr>
            <w:r>
              <w:rPr>
                <w:rFonts w:ascii="Arial" w:eastAsia="Arial" w:hAnsi="Arial" w:cs="Arial"/>
                <w:b/>
              </w:rPr>
              <w:t xml:space="preserve">4.034.835,71 </w:t>
            </w:r>
          </w:p>
        </w:tc>
      </w:tr>
    </w:tbl>
    <w:p w:rsidR="00FF384B" w:rsidRDefault="003E3BA9">
      <w:pPr>
        <w:spacing w:after="0"/>
        <w:ind w:left="2003"/>
        <w:jc w:val="center"/>
      </w:pPr>
      <w:r>
        <w:rPr>
          <w:rFonts w:ascii="Arial" w:eastAsia="Arial" w:hAnsi="Arial" w:cs="Arial"/>
          <w:b/>
        </w:rPr>
        <w:t xml:space="preserve"> </w:t>
      </w:r>
    </w:p>
    <w:p w:rsidR="00FF384B" w:rsidRDefault="003E3BA9">
      <w:pPr>
        <w:spacing w:after="0"/>
        <w:ind w:left="2003"/>
        <w:jc w:val="center"/>
      </w:pPr>
      <w:r>
        <w:rPr>
          <w:rFonts w:ascii="Arial" w:eastAsia="Arial" w:hAnsi="Arial" w:cs="Arial"/>
          <w:b/>
        </w:rPr>
        <w:t xml:space="preserve"> </w:t>
      </w:r>
    </w:p>
    <w:p w:rsidR="00FF384B" w:rsidRDefault="003E3BA9">
      <w:pPr>
        <w:spacing w:after="0"/>
        <w:ind w:left="1781"/>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p>
    <w:p w:rsidR="00FF384B" w:rsidRDefault="003E3BA9">
      <w:pPr>
        <w:tabs>
          <w:tab w:val="center" w:pos="422"/>
          <w:tab w:val="center" w:pos="1920"/>
          <w:tab w:val="center" w:pos="5493"/>
          <w:tab w:val="center" w:pos="8776"/>
        </w:tabs>
        <w:spacing w:after="15" w:line="247" w:lineRule="auto"/>
      </w:pPr>
      <w:r>
        <w:rPr>
          <w:noProof/>
        </w:rPr>
        <mc:AlternateContent>
          <mc:Choice Requires="wpg">
            <w:drawing>
              <wp:anchor distT="0" distB="0" distL="114300" distR="114300" simplePos="0" relativeHeight="2517073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42478" name="Group 54247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241" name="Picture 15241"/>
                          <pic:cNvPicPr/>
                        </pic:nvPicPr>
                        <pic:blipFill>
                          <a:blip r:embed="rId62"/>
                          <a:stretch>
                            <a:fillRect/>
                          </a:stretch>
                        </pic:blipFill>
                        <pic:spPr>
                          <a:xfrm rot="-5399999">
                            <a:off x="-1720849" y="1720849"/>
                            <a:ext cx="3797300" cy="355601"/>
                          </a:xfrm>
                          <a:prstGeom prst="rect">
                            <a:avLst/>
                          </a:prstGeom>
                        </pic:spPr>
                      </pic:pic>
                      <wps:wsp>
                        <wps:cNvPr id="15242" name="Rectangle 1524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5243" name="Rectangle 1524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2478" style="width:41.2715pt;height:299pt;position:absolute;mso-position-horizontal-relative:page;mso-position-horizontal:absolute;margin-left:653.71pt;mso-position-vertical-relative:page;margin-top:512.92pt;" coordsize="5241,37973">
                <v:shape id="Picture 15241" style="position:absolute;width:37973;height:3556;left:-17208;top:17208;rotation:-89;" filled="f">
                  <v:imagedata r:id="rId63"/>
                </v:shape>
                <v:rect id="Rectangle 1524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24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353 </w:t>
                        </w:r>
                      </w:p>
                    </w:txbxContent>
                  </v:textbox>
                </v:rect>
                <w10:wrap type="square"/>
              </v:group>
            </w:pict>
          </mc:Fallback>
        </mc:AlternateContent>
      </w: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Estado de Ingresos </w:t>
      </w:r>
      <w:r>
        <w:rPr>
          <w:rFonts w:ascii="Arial" w:eastAsia="Arial" w:hAnsi="Arial" w:cs="Arial"/>
          <w:b/>
        </w:rPr>
        <w:tab/>
        <w:t xml:space="preserve"> </w:t>
      </w:r>
    </w:p>
    <w:tbl>
      <w:tblPr>
        <w:tblStyle w:val="TableGrid"/>
        <w:tblW w:w="9136" w:type="dxa"/>
        <w:tblInd w:w="354" w:type="dxa"/>
        <w:tblCellMar>
          <w:top w:w="5" w:type="dxa"/>
          <w:left w:w="0" w:type="dxa"/>
          <w:bottom w:w="0" w:type="dxa"/>
          <w:right w:w="9" w:type="dxa"/>
        </w:tblCellMar>
        <w:tblLook w:val="04A0" w:firstRow="1" w:lastRow="0" w:firstColumn="1" w:lastColumn="0" w:noHBand="0" w:noVBand="1"/>
      </w:tblPr>
      <w:tblGrid>
        <w:gridCol w:w="1495"/>
        <w:gridCol w:w="1071"/>
        <w:gridCol w:w="5144"/>
        <w:gridCol w:w="1426"/>
      </w:tblGrid>
      <w:tr w:rsidR="00FF384B">
        <w:trPr>
          <w:trHeight w:val="259"/>
        </w:trPr>
        <w:tc>
          <w:tcPr>
            <w:tcW w:w="1495"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191"/>
            </w:pPr>
            <w:r>
              <w:rPr>
                <w:rFonts w:ascii="Arial" w:eastAsia="Arial" w:hAnsi="Arial" w:cs="Arial"/>
                <w:b/>
              </w:rPr>
              <w:t xml:space="preserve">Aplicación </w:t>
            </w:r>
          </w:p>
        </w:tc>
        <w:tc>
          <w:tcPr>
            <w:tcW w:w="1071"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70"/>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11"/>
              <w:jc w:val="center"/>
            </w:pPr>
            <w:r>
              <w:rPr>
                <w:rFonts w:ascii="Arial" w:eastAsia="Arial" w:hAnsi="Arial" w:cs="Arial"/>
                <w:b/>
              </w:rPr>
              <w:t xml:space="preserve">Denominación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9"/>
              <w:jc w:val="center"/>
            </w:pPr>
            <w:r>
              <w:rPr>
                <w:rFonts w:ascii="Arial" w:eastAsia="Arial" w:hAnsi="Arial" w:cs="Arial"/>
                <w:b/>
              </w:rPr>
              <w:t xml:space="preserve">Importe </w:t>
            </w:r>
          </w:p>
        </w:tc>
      </w:tr>
      <w:tr w:rsidR="00FF384B">
        <w:trPr>
          <w:trHeight w:val="266"/>
        </w:trPr>
        <w:tc>
          <w:tcPr>
            <w:tcW w:w="149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2"/>
              <w:jc w:val="center"/>
            </w:pPr>
            <w:r>
              <w:rPr>
                <w:rFonts w:ascii="Arial" w:eastAsia="Arial" w:hAnsi="Arial" w:cs="Arial"/>
                <w:b/>
              </w:rPr>
              <w:t xml:space="preserve">870.00 </w:t>
            </w:r>
          </w:p>
        </w:tc>
        <w:tc>
          <w:tcPr>
            <w:tcW w:w="10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0"/>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1"/>
              <w:jc w:val="both"/>
            </w:pPr>
            <w:r>
              <w:rPr>
                <w:rFonts w:ascii="Arial" w:eastAsia="Arial" w:hAnsi="Arial" w:cs="Arial"/>
                <w:b/>
              </w:rPr>
              <w:t xml:space="preserve">Remanente de Tesorería para Gastos Generales </w:t>
            </w:r>
          </w:p>
        </w:tc>
        <w:tc>
          <w:tcPr>
            <w:tcW w:w="14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jc w:val="both"/>
            </w:pPr>
            <w:r>
              <w:rPr>
                <w:rFonts w:ascii="Arial" w:eastAsia="Arial" w:hAnsi="Arial" w:cs="Arial"/>
                <w:b/>
              </w:rPr>
              <w:t xml:space="preserve"> 4.034.835,71 </w:t>
            </w:r>
          </w:p>
        </w:tc>
      </w:tr>
      <w:tr w:rsidR="00FF384B">
        <w:trPr>
          <w:trHeight w:val="261"/>
        </w:trPr>
        <w:tc>
          <w:tcPr>
            <w:tcW w:w="1495"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68"/>
            </w:pPr>
            <w:r>
              <w:rPr>
                <w:rFonts w:ascii="Arial" w:eastAsia="Arial" w:hAnsi="Arial" w:cs="Arial"/>
                <w:b/>
              </w:rPr>
              <w:t xml:space="preserve">  </w:t>
            </w:r>
          </w:p>
        </w:tc>
        <w:tc>
          <w:tcPr>
            <w:tcW w:w="1071"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70"/>
              <w:jc w:val="center"/>
            </w:pPr>
            <w:r>
              <w:rPr>
                <w:rFonts w:ascii="Arial" w:eastAsia="Arial" w:hAnsi="Arial" w:cs="Arial"/>
                <w:b/>
              </w:rPr>
              <w:t xml:space="preserve">  </w:t>
            </w:r>
          </w:p>
        </w:tc>
        <w:tc>
          <w:tcPr>
            <w:tcW w:w="5144"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9"/>
              <w:jc w:val="center"/>
            </w:pPr>
            <w:r>
              <w:rPr>
                <w:rFonts w:ascii="Arial" w:eastAsia="Arial" w:hAnsi="Arial" w:cs="Arial"/>
                <w:b/>
              </w:rPr>
              <w:t xml:space="preserve">TOTAL </w:t>
            </w:r>
          </w:p>
        </w:tc>
        <w:tc>
          <w:tcPr>
            <w:tcW w:w="1426" w:type="dxa"/>
            <w:tcBorders>
              <w:top w:val="single" w:sz="4" w:space="0" w:color="000000"/>
              <w:left w:val="single" w:sz="4" w:space="0" w:color="000000"/>
              <w:bottom w:val="single" w:sz="4" w:space="0" w:color="000000"/>
              <w:right w:val="single" w:sz="4" w:space="0" w:color="000000"/>
            </w:tcBorders>
            <w:shd w:val="clear" w:color="auto" w:fill="BFBFBF"/>
          </w:tcPr>
          <w:p w:rsidR="00FF384B" w:rsidRDefault="003E3BA9">
            <w:pPr>
              <w:spacing w:after="0"/>
              <w:ind w:left="71"/>
              <w:jc w:val="both"/>
            </w:pPr>
            <w:r>
              <w:rPr>
                <w:rFonts w:ascii="Arial" w:eastAsia="Arial" w:hAnsi="Arial" w:cs="Arial"/>
                <w:b/>
              </w:rPr>
              <w:t xml:space="preserve">4.034.835,71 </w:t>
            </w:r>
          </w:p>
        </w:tc>
      </w:tr>
    </w:tbl>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7" w:hanging="3"/>
        <w:jc w:val="both"/>
      </w:pPr>
      <w:r>
        <w:rPr>
          <w:rFonts w:ascii="Arial" w:eastAsia="Arial" w:hAnsi="Arial" w:cs="Arial"/>
          <w:b/>
        </w:rPr>
        <w:t xml:space="preserve"> SEGUNDO. - </w:t>
      </w:r>
      <w:r>
        <w:rPr>
          <w:rFonts w:ascii="Arial" w:eastAsia="Arial" w:hAnsi="Arial" w:cs="Arial"/>
          <w:b/>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r>
        <w:rPr>
          <w:rFonts w:ascii="Arial" w:eastAsia="Arial" w:hAnsi="Arial" w:cs="Arial"/>
          <w:b/>
        </w:rPr>
        <w:tab/>
        <w:t xml:space="preserve"> </w:t>
      </w:r>
    </w:p>
    <w:p w:rsidR="00FF384B" w:rsidRDefault="003E3BA9">
      <w:pPr>
        <w:spacing w:after="15" w:line="247" w:lineRule="auto"/>
        <w:ind w:left="286" w:right="254" w:hanging="3"/>
        <w:jc w:val="both"/>
      </w:pPr>
      <w:r>
        <w:rPr>
          <w:rFonts w:ascii="Arial" w:eastAsia="Arial" w:hAnsi="Arial" w:cs="Arial"/>
          <w:b/>
        </w:rPr>
        <w:t xml:space="preserve"> TERCERO. - El expediente se considerará de</w:t>
      </w:r>
      <w:r>
        <w:rPr>
          <w:rFonts w:ascii="Arial" w:eastAsia="Arial" w:hAnsi="Arial" w:cs="Arial"/>
          <w:b/>
        </w:rPr>
        <w:t xml:space="preserve">finitivamente aprobado si durante el citado plazo no se hubiesen presentado reclamaciones, en caso contrario el Pleno dispondrá de un mes para resolverlas. El expediente definitivamente aprobado, será insertado en el boletín oficial de la provincia.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1" w:line="247" w:lineRule="auto"/>
        <w:ind w:left="286" w:right="249" w:hanging="3"/>
        <w:jc w:val="both"/>
      </w:pPr>
      <w:r>
        <w:rPr>
          <w:rFonts w:ascii="Arial" w:eastAsia="Arial" w:hAnsi="Arial" w:cs="Arial"/>
          <w:b/>
        </w:rPr>
        <w:t>5.-</w:t>
      </w:r>
      <w:r>
        <w:rPr>
          <w:rFonts w:ascii="Arial" w:eastAsia="Arial" w:hAnsi="Arial" w:cs="Arial"/>
        </w:rPr>
        <w:t xml:space="preserve"> </w:t>
      </w:r>
      <w:r>
        <w:rPr>
          <w:rFonts w:ascii="Arial" w:eastAsia="Arial" w:hAnsi="Arial" w:cs="Arial"/>
          <w:b/>
        </w:rPr>
        <w:t>Expediente 4148/2020. Propuesta del Concejal delegado de Hacienda de 21 de abril de 2021 al Pleno de desestimación de las alegaciones y de aprobación definitiva de la Ordenanza General de Subvenciones del Ayuntamiento de Candelaria.</w:t>
      </w:r>
      <w:r>
        <w:rPr>
          <w:rFonts w:ascii="Arial" w:eastAsia="Arial" w:hAnsi="Arial" w:cs="Arial"/>
        </w:rPr>
        <w:t xml:space="preserve"> </w:t>
      </w:r>
    </w:p>
    <w:p w:rsidR="00FF384B" w:rsidRDefault="003E3BA9">
      <w:pPr>
        <w:spacing w:after="10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56" w:hanging="3"/>
        <w:jc w:val="both"/>
      </w:pPr>
      <w:r>
        <w:rPr>
          <w:rFonts w:ascii="Arial" w:eastAsia="Arial" w:hAnsi="Arial" w:cs="Arial"/>
          <w:b/>
        </w:rPr>
        <w:t xml:space="preserve">   </w:t>
      </w:r>
      <w:r>
        <w:rPr>
          <w:rFonts w:ascii="Arial" w:eastAsia="Arial" w:hAnsi="Arial" w:cs="Arial"/>
          <w:b/>
        </w:rPr>
        <w:t xml:space="preserve">Consta en el expediente Informe Jurídico emitido por Don Octavio Manuel Fernández Hernández, que desempeña el puesto de trabajo de Secretario General, de 21 de abril de 2021, del siguiente tenor literal: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114" w:line="247" w:lineRule="auto"/>
        <w:ind w:left="283" w:firstLine="708"/>
        <w:jc w:val="both"/>
      </w:pPr>
      <w:r>
        <w:rPr>
          <w:noProof/>
        </w:rPr>
        <mc:AlternateContent>
          <mc:Choice Requires="wpg">
            <w:drawing>
              <wp:anchor distT="0" distB="0" distL="114300" distR="114300" simplePos="0" relativeHeight="2517084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3747" name="Group 4437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368" name="Picture 15368"/>
                          <pic:cNvPicPr/>
                        </pic:nvPicPr>
                        <pic:blipFill>
                          <a:blip r:embed="rId62"/>
                          <a:stretch>
                            <a:fillRect/>
                          </a:stretch>
                        </pic:blipFill>
                        <pic:spPr>
                          <a:xfrm rot="-5399999">
                            <a:off x="-1720849" y="1720849"/>
                            <a:ext cx="3797300" cy="355601"/>
                          </a:xfrm>
                          <a:prstGeom prst="rect">
                            <a:avLst/>
                          </a:prstGeom>
                        </pic:spPr>
                      </pic:pic>
                      <wps:wsp>
                        <wps:cNvPr id="15369" name="Rectangle 1536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w:t>
                              </w:r>
                              <w:r>
                                <w:rPr>
                                  <w:rFonts w:ascii="Arial" w:eastAsia="Arial" w:hAnsi="Arial" w:cs="Arial"/>
                                  <w:sz w:val="12"/>
                                </w:rPr>
                                <w:t xml:space="preserve"> | Verificación: https://candelaria.sedelectronica.es/ </w:t>
                              </w:r>
                            </w:p>
                          </w:txbxContent>
                        </wps:txbx>
                        <wps:bodyPr horzOverflow="overflow" vert="horz" lIns="0" tIns="0" rIns="0" bIns="0" rtlCol="0">
                          <a:noAutofit/>
                        </wps:bodyPr>
                      </wps:wsp>
                      <wps:wsp>
                        <wps:cNvPr id="15370" name="Rectangle 1537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48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3747" style="width:41.2715pt;height:299pt;position:absolute;mso-position-horizontal-relative:page;mso-position-horizontal:absolute;margin-left:653.71pt;mso-position-vertical-relative:page;margin-top:512.92pt;" coordsize="5241,37973">
                <v:shape id="Picture 15368" style="position:absolute;width:37973;height:3556;left:-17208;top:17208;rotation:-89;" filled="f">
                  <v:imagedata r:id="rId63"/>
                </v:shape>
                <v:rect id="Rectangle 1536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37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353 </w:t>
                        </w:r>
                      </w:p>
                    </w:txbxContent>
                  </v:textbox>
                </v:rect>
                <w10:wrap type="square"/>
              </v:group>
            </w:pict>
          </mc:Fallback>
        </mc:AlternateContent>
      </w:r>
      <w:r>
        <w:rPr>
          <w:rFonts w:ascii="Arial" w:eastAsia="Arial" w:hAnsi="Arial" w:cs="Arial"/>
          <w:b/>
        </w:rPr>
        <w:t xml:space="preserve">“INFORME JCO RELATIVO A LA APROBACIÓN DEFINITVA DE LA ORDENANZA GENERAL MUNICIPAL DE SUBVENCIONES. </w:t>
      </w:r>
    </w:p>
    <w:p w:rsidR="00FF384B" w:rsidRDefault="003E3BA9">
      <w:pPr>
        <w:spacing w:after="98"/>
        <w:ind w:left="991"/>
      </w:pPr>
      <w:r>
        <w:rPr>
          <w:rFonts w:ascii="Arial" w:eastAsia="Arial" w:hAnsi="Arial" w:cs="Arial"/>
        </w:rPr>
        <w:t xml:space="preserve"> </w:t>
      </w:r>
    </w:p>
    <w:p w:rsidR="00FF384B" w:rsidRDefault="003E3BA9">
      <w:pPr>
        <w:spacing w:after="109" w:line="247" w:lineRule="auto"/>
        <w:ind w:left="994" w:hanging="3"/>
        <w:jc w:val="both"/>
      </w:pPr>
      <w:r>
        <w:rPr>
          <w:rFonts w:ascii="Arial" w:eastAsia="Arial" w:hAnsi="Arial" w:cs="Arial"/>
          <w:b/>
        </w:rPr>
        <w:t>Vi</w:t>
      </w:r>
      <w:r>
        <w:rPr>
          <w:rFonts w:ascii="Arial" w:eastAsia="Arial" w:hAnsi="Arial" w:cs="Arial"/>
          <w:b/>
        </w:rPr>
        <w:t xml:space="preserve">sto el expediente referenciado se emite el siguiente informe jurídico: </w:t>
      </w:r>
    </w:p>
    <w:p w:rsidR="00FF384B" w:rsidRDefault="003E3BA9">
      <w:pPr>
        <w:spacing w:after="100"/>
        <w:ind w:left="991"/>
      </w:pPr>
      <w:r>
        <w:rPr>
          <w:rFonts w:ascii="Arial" w:eastAsia="Arial" w:hAnsi="Arial" w:cs="Arial"/>
          <w:b/>
        </w:rPr>
        <w:t xml:space="preserve">   </w:t>
      </w:r>
    </w:p>
    <w:p w:rsidR="00FF384B" w:rsidRDefault="003E3BA9">
      <w:pPr>
        <w:spacing w:after="15" w:line="247" w:lineRule="auto"/>
        <w:ind w:left="2413" w:hanging="3"/>
        <w:jc w:val="both"/>
      </w:pPr>
      <w:r>
        <w:rPr>
          <w:rFonts w:ascii="Arial" w:eastAsia="Arial" w:hAnsi="Arial" w:cs="Arial"/>
          <w:b/>
        </w:rPr>
        <w:t xml:space="preserve">           ANTECEDENTES DE HECHO </w:t>
      </w:r>
    </w:p>
    <w:p w:rsidR="00FF384B" w:rsidRDefault="003E3BA9">
      <w:pPr>
        <w:spacing w:after="0"/>
        <w:ind w:left="2410"/>
      </w:pPr>
      <w:r>
        <w:rPr>
          <w:rFonts w:ascii="Arial" w:eastAsia="Arial" w:hAnsi="Arial" w:cs="Arial"/>
        </w:rPr>
        <w:t xml:space="preserve"> </w:t>
      </w:r>
    </w:p>
    <w:p w:rsidR="00FF384B" w:rsidRDefault="003E3BA9">
      <w:pPr>
        <w:spacing w:after="15" w:line="247" w:lineRule="auto"/>
        <w:ind w:left="994" w:hanging="3"/>
        <w:jc w:val="both"/>
      </w:pPr>
      <w:r>
        <w:rPr>
          <w:rFonts w:ascii="Arial" w:eastAsia="Arial" w:hAnsi="Arial" w:cs="Arial"/>
          <w:b/>
        </w:rPr>
        <w:t xml:space="preserve">Único.- Consta en el expediente los siguientes trámites: </w:t>
      </w:r>
    </w:p>
    <w:p w:rsidR="00FF384B" w:rsidRDefault="003E3BA9">
      <w:pPr>
        <w:spacing w:after="0"/>
        <w:ind w:left="991"/>
      </w:pPr>
      <w:r>
        <w:rPr>
          <w:rFonts w:ascii="Arial" w:eastAsia="Arial" w:hAnsi="Arial" w:cs="Arial"/>
          <w:b/>
        </w:rPr>
        <w:t xml:space="preserve"> </w:t>
      </w:r>
    </w:p>
    <w:p w:rsidR="00FF384B" w:rsidRDefault="003E3BA9">
      <w:pPr>
        <w:spacing w:after="112" w:line="247" w:lineRule="auto"/>
        <w:ind w:left="268" w:right="244" w:firstLine="708"/>
        <w:jc w:val="both"/>
      </w:pPr>
      <w:r>
        <w:rPr>
          <w:rFonts w:ascii="Arial" w:eastAsia="Arial" w:hAnsi="Arial" w:cs="Arial"/>
        </w:rPr>
        <w:t xml:space="preserve">1.- </w:t>
      </w:r>
      <w:r>
        <w:rPr>
          <w:rFonts w:ascii="Arial" w:eastAsia="Arial" w:hAnsi="Arial" w:cs="Arial"/>
        </w:rPr>
        <w:t>Providencia de la Alcaldía, de fecha 3 de junio de 2020, en la que se dispone que se publique en el portal Web del Ayuntamiento Consulta Pública para recabar la opinión de los sujetos y de las organizaciones más representativas, así como la redacción por l</w:t>
      </w:r>
      <w:r>
        <w:rPr>
          <w:rFonts w:ascii="Arial" w:eastAsia="Arial" w:hAnsi="Arial" w:cs="Arial"/>
        </w:rPr>
        <w:t xml:space="preserve">os servicios técnicos municipales del proyecto de ordenanza.   </w:t>
      </w:r>
    </w:p>
    <w:p w:rsidR="00FF384B" w:rsidRDefault="003E3BA9">
      <w:pPr>
        <w:spacing w:after="114" w:line="247" w:lineRule="auto"/>
        <w:ind w:left="268" w:right="244" w:firstLine="708"/>
        <w:jc w:val="both"/>
      </w:pPr>
      <w:r>
        <w:rPr>
          <w:rFonts w:ascii="Arial" w:eastAsia="Arial" w:hAnsi="Arial" w:cs="Arial"/>
        </w:rPr>
        <w:t xml:space="preserve">2.- El expediente fue sometido al Trámite de consulta pública previa en la sede electrónica del Ayuntamiento de Candelaria y no constan aportaciones. </w:t>
      </w:r>
    </w:p>
    <w:p w:rsidR="00FF384B" w:rsidRDefault="003E3BA9">
      <w:pPr>
        <w:spacing w:after="112" w:line="247" w:lineRule="auto"/>
        <w:ind w:left="268" w:right="244" w:firstLine="708"/>
        <w:jc w:val="both"/>
      </w:pPr>
      <w:r>
        <w:rPr>
          <w:rFonts w:ascii="Arial" w:eastAsia="Arial" w:hAnsi="Arial" w:cs="Arial"/>
        </w:rPr>
        <w:t>3.- Consta en el expediente informe del I</w:t>
      </w:r>
      <w:r>
        <w:rPr>
          <w:rFonts w:ascii="Arial" w:eastAsia="Arial" w:hAnsi="Arial" w:cs="Arial"/>
        </w:rPr>
        <w:t xml:space="preserve">nterventor D. Nicolás Rojo Garnica de 14 de julio de 2020 sobre la consulta previa pública en el que se acredita que no ha habido aportaciones. </w:t>
      </w:r>
    </w:p>
    <w:p w:rsidR="00FF384B" w:rsidRDefault="003E3BA9">
      <w:pPr>
        <w:spacing w:after="114" w:line="247" w:lineRule="auto"/>
        <w:ind w:left="268" w:right="244" w:firstLine="708"/>
        <w:jc w:val="both"/>
      </w:pPr>
      <w:r>
        <w:rPr>
          <w:rFonts w:ascii="Arial" w:eastAsia="Arial" w:hAnsi="Arial" w:cs="Arial"/>
        </w:rPr>
        <w:t xml:space="preserve">4.- Consta en el expediente texto de la Ordenanza, elaborada por el Interventor Municipal. </w:t>
      </w:r>
    </w:p>
    <w:p w:rsidR="00FF384B" w:rsidRDefault="003E3BA9">
      <w:pPr>
        <w:spacing w:after="5" w:line="247" w:lineRule="auto"/>
        <w:ind w:left="1001" w:right="244" w:hanging="10"/>
        <w:jc w:val="both"/>
      </w:pPr>
      <w:r>
        <w:rPr>
          <w:rFonts w:ascii="Arial" w:eastAsia="Arial" w:hAnsi="Arial" w:cs="Arial"/>
        </w:rPr>
        <w:t>5.- Propuesta del C</w:t>
      </w:r>
      <w:r>
        <w:rPr>
          <w:rFonts w:ascii="Arial" w:eastAsia="Arial" w:hAnsi="Arial" w:cs="Arial"/>
        </w:rPr>
        <w:t xml:space="preserve">oncejal Delegado de Hacienda de fecha 15 de julio de 2020, </w:t>
      </w:r>
    </w:p>
    <w:p w:rsidR="00FF384B" w:rsidRDefault="003E3BA9">
      <w:pPr>
        <w:spacing w:after="111" w:line="247" w:lineRule="auto"/>
        <w:ind w:left="278" w:right="244" w:hanging="10"/>
        <w:jc w:val="both"/>
      </w:pPr>
      <w:r>
        <w:rPr>
          <w:rFonts w:ascii="Arial" w:eastAsia="Arial" w:hAnsi="Arial" w:cs="Arial"/>
        </w:rPr>
        <w:t xml:space="preserve">por la que propone aprobar la Ordenanza General Municipal y Bases Reguladoras de subvenciones. </w:t>
      </w:r>
    </w:p>
    <w:p w:rsidR="00FF384B" w:rsidRDefault="003E3BA9">
      <w:pPr>
        <w:spacing w:after="114" w:line="247" w:lineRule="auto"/>
        <w:ind w:left="268" w:right="244" w:firstLine="708"/>
        <w:jc w:val="both"/>
      </w:pPr>
      <w:r>
        <w:rPr>
          <w:rFonts w:ascii="Arial" w:eastAsia="Arial" w:hAnsi="Arial" w:cs="Arial"/>
        </w:rPr>
        <w:t>6.- Informe jurídico de fecha 11 de noviembre de 2021 relativo a la aprobación inicial de la Ordenan</w:t>
      </w:r>
      <w:r>
        <w:rPr>
          <w:rFonts w:ascii="Arial" w:eastAsia="Arial" w:hAnsi="Arial" w:cs="Arial"/>
        </w:rPr>
        <w:t xml:space="preserve">za General de subvenciones. </w:t>
      </w:r>
    </w:p>
    <w:p w:rsidR="00FF384B" w:rsidRDefault="003E3BA9">
      <w:pPr>
        <w:spacing w:after="115" w:line="247" w:lineRule="auto"/>
        <w:ind w:left="268" w:right="244" w:firstLine="708"/>
        <w:jc w:val="both"/>
      </w:pPr>
      <w:r>
        <w:rPr>
          <w:rFonts w:ascii="Arial" w:eastAsia="Arial" w:hAnsi="Arial" w:cs="Arial"/>
        </w:rPr>
        <w:t xml:space="preserve">7.- Acuerdo del Pleno de 26 de noviembre de 2021 sobre la aprobación inicial de la Ordenanza General de subvenciones del Ayuntamiento de Candelaria. </w:t>
      </w:r>
    </w:p>
    <w:p w:rsidR="00FF384B" w:rsidRDefault="003E3BA9">
      <w:pPr>
        <w:spacing w:after="114" w:line="247" w:lineRule="auto"/>
        <w:ind w:left="268" w:right="244" w:firstLine="708"/>
        <w:jc w:val="both"/>
      </w:pPr>
      <w:r>
        <w:rPr>
          <w:rFonts w:ascii="Arial" w:eastAsia="Arial" w:hAnsi="Arial" w:cs="Arial"/>
        </w:rPr>
        <w:t xml:space="preserve">8.- </w:t>
      </w:r>
      <w:r>
        <w:rPr>
          <w:rFonts w:ascii="Arial" w:eastAsia="Arial" w:hAnsi="Arial" w:cs="Arial"/>
        </w:rPr>
        <w:t xml:space="preserve">Anuncio en el BOP de Santa Cruz de Tenerife de fecha 7 de diciembre de 2020 sobre información pública por 30 días hábiles. </w:t>
      </w:r>
    </w:p>
    <w:p w:rsidR="00FF384B" w:rsidRDefault="003E3BA9">
      <w:pPr>
        <w:spacing w:after="105" w:line="249" w:lineRule="auto"/>
        <w:ind w:left="10" w:right="348" w:hanging="10"/>
        <w:jc w:val="right"/>
      </w:pPr>
      <w:r>
        <w:rPr>
          <w:rFonts w:ascii="Arial" w:eastAsia="Arial" w:hAnsi="Arial" w:cs="Arial"/>
        </w:rPr>
        <w:t xml:space="preserve">9.- Alegaciones presentadas por el Grupo Mixto de fecha 26 de enero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1001" w:right="244" w:hanging="10"/>
        <w:jc w:val="both"/>
      </w:pPr>
      <w:r>
        <w:rPr>
          <w:rFonts w:ascii="Arial" w:eastAsia="Arial" w:hAnsi="Arial" w:cs="Arial"/>
        </w:rPr>
        <w:t>10.-Informe de Intervención de fecha 17 de febrero d</w:t>
      </w:r>
      <w:r>
        <w:rPr>
          <w:rFonts w:ascii="Arial" w:eastAsia="Arial" w:hAnsi="Arial" w:cs="Arial"/>
        </w:rPr>
        <w:t xml:space="preserve">e 2021.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11.- Propuesta del Concejal delegado de Hacienda de fecha 17 de febrero de 2021. </w:t>
      </w:r>
    </w:p>
    <w:p w:rsidR="00FF384B" w:rsidRDefault="003E3BA9">
      <w:pPr>
        <w:spacing w:after="0"/>
        <w:ind w:left="87"/>
        <w:jc w:val="center"/>
      </w:pPr>
      <w:r>
        <w:rPr>
          <w:rFonts w:ascii="Arial" w:eastAsia="Arial" w:hAnsi="Arial" w:cs="Arial"/>
          <w:b/>
        </w:rPr>
        <w:t xml:space="preserve"> </w:t>
      </w:r>
    </w:p>
    <w:p w:rsidR="00FF384B" w:rsidRDefault="003E3BA9">
      <w:pPr>
        <w:spacing w:after="0"/>
        <w:ind w:left="87"/>
        <w:jc w:val="center"/>
      </w:pPr>
      <w:r>
        <w:rPr>
          <w:rFonts w:ascii="Arial" w:eastAsia="Arial" w:hAnsi="Arial" w:cs="Arial"/>
          <w:b/>
        </w:rPr>
        <w:t xml:space="preserve"> </w:t>
      </w:r>
    </w:p>
    <w:p w:rsidR="00FF384B" w:rsidRDefault="003E3BA9">
      <w:pPr>
        <w:spacing w:after="0"/>
        <w:ind w:left="87"/>
        <w:jc w:val="center"/>
      </w:pPr>
      <w:r>
        <w:rPr>
          <w:rFonts w:ascii="Arial" w:eastAsia="Arial" w:hAnsi="Arial" w:cs="Arial"/>
          <w:b/>
        </w:rPr>
        <w:t xml:space="preserve"> </w:t>
      </w:r>
    </w:p>
    <w:p w:rsidR="00FF384B" w:rsidRDefault="003E3BA9">
      <w:pPr>
        <w:pStyle w:val="Ttulo1"/>
        <w:ind w:left="767" w:right="1013"/>
      </w:pPr>
      <w:r>
        <w:t xml:space="preserve">            FUNDAMENTOS DE DERECHO  </w:t>
      </w:r>
    </w:p>
    <w:p w:rsidR="00FF384B" w:rsidRDefault="003E3BA9">
      <w:pPr>
        <w:spacing w:after="0"/>
        <w:ind w:left="87"/>
        <w:jc w:val="center"/>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b/>
        </w:rPr>
        <w:t xml:space="preserve"> Primero. - </w:t>
      </w:r>
      <w:r>
        <w:rPr>
          <w:rFonts w:ascii="Arial" w:eastAsia="Arial" w:hAnsi="Arial" w:cs="Arial"/>
        </w:rPr>
        <w:t xml:space="preserve">Es de aplicación el régimen jurídico de los procedimientos de aprobación de los reglamentos y ordenanzas que es el siguiente: </w:t>
      </w:r>
    </w:p>
    <w:p w:rsidR="00FF384B" w:rsidRDefault="003E3BA9">
      <w:pPr>
        <w:spacing w:after="0"/>
        <w:ind w:left="283"/>
      </w:pPr>
      <w:r>
        <w:rPr>
          <w:noProof/>
        </w:rPr>
        <mc:AlternateContent>
          <mc:Choice Requires="wpg">
            <w:drawing>
              <wp:anchor distT="0" distB="0" distL="114300" distR="114300" simplePos="0" relativeHeight="2517094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2356" name="Group 44235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496" name="Picture 15496"/>
                          <pic:cNvPicPr/>
                        </pic:nvPicPr>
                        <pic:blipFill>
                          <a:blip r:embed="rId62"/>
                          <a:stretch>
                            <a:fillRect/>
                          </a:stretch>
                        </pic:blipFill>
                        <pic:spPr>
                          <a:xfrm rot="-5399999">
                            <a:off x="-1720849" y="1720849"/>
                            <a:ext cx="3797300" cy="355601"/>
                          </a:xfrm>
                          <a:prstGeom prst="rect">
                            <a:avLst/>
                          </a:prstGeom>
                        </pic:spPr>
                      </pic:pic>
                      <wps:wsp>
                        <wps:cNvPr id="15497" name="Rectangle 1549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5498" name="Rectangle 1549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w:t>
                              </w:r>
                              <w:r>
                                <w:rPr>
                                  <w:rFonts w:ascii="Arial" w:eastAsia="Arial" w:hAnsi="Arial" w:cs="Arial"/>
                                  <w:sz w:val="12"/>
                                </w:rPr>
                                <w:t xml:space="preserve">icamente desde la plataforma esPublico Gestiona | Página 49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2356" style="width:41.2715pt;height:299pt;position:absolute;mso-position-horizontal-relative:page;mso-position-horizontal:absolute;margin-left:653.71pt;mso-position-vertical-relative:page;margin-top:512.92pt;" coordsize="5241,37973">
                <v:shape id="Picture 15496" style="position:absolute;width:37973;height:3556;left:-17208;top:17208;rotation:-89;" filled="f">
                  <v:imagedata r:id="rId63"/>
                </v:shape>
                <v:rect id="Rectangle 154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49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353 </w:t>
                        </w:r>
                      </w:p>
                    </w:txbxContent>
                  </v:textbox>
                </v:rect>
                <w10:wrap type="square"/>
              </v:group>
            </w:pict>
          </mc:Fallback>
        </mc:AlternateContent>
      </w:r>
      <w:r>
        <w:rPr>
          <w:rFonts w:ascii="Arial" w:eastAsia="Arial" w:hAnsi="Arial" w:cs="Arial"/>
        </w:rPr>
        <w:t xml:space="preserve"> </w:t>
      </w:r>
    </w:p>
    <w:p w:rsidR="00FF384B" w:rsidRDefault="003E3BA9">
      <w:pPr>
        <w:spacing w:after="111" w:line="247" w:lineRule="auto"/>
        <w:ind w:left="268" w:right="244" w:firstLine="360"/>
        <w:jc w:val="both"/>
      </w:pPr>
      <w:r>
        <w:rPr>
          <w:rFonts w:ascii="Arial" w:eastAsia="Arial" w:hAnsi="Arial" w:cs="Arial"/>
        </w:rPr>
        <w:t xml:space="preserve">- Artículo 133 de la ley 39/2015, de 1 de octubre: Participación de los ciudadanos en el procedimiento de elaboración de normas con rango de Ley y reglamentos. </w:t>
      </w:r>
    </w:p>
    <w:p w:rsidR="00FF384B" w:rsidRDefault="003E3BA9">
      <w:pPr>
        <w:spacing w:after="4" w:line="247" w:lineRule="auto"/>
        <w:ind w:left="268" w:right="244" w:firstLine="358"/>
        <w:jc w:val="both"/>
      </w:pPr>
      <w:r>
        <w:rPr>
          <w:rFonts w:ascii="Arial" w:eastAsia="Arial" w:hAnsi="Arial" w:cs="Arial"/>
          <w:i/>
        </w:rPr>
        <w:t xml:space="preserve">1. Con carácter previo a </w:t>
      </w:r>
      <w:r>
        <w:rPr>
          <w:rFonts w:ascii="Arial" w:eastAsia="Arial" w:hAnsi="Arial" w:cs="Arial"/>
          <w:i/>
        </w:rPr>
        <w:t>la elaboración del proyecto o anteproyecto de ley o de reglamento, se sustanciará una consulta pública, a través del portal web de la Administración competente en la que se recabará la opinión de los sujetos y de las organizaciones más representativas pote</w:t>
      </w:r>
      <w:r>
        <w:rPr>
          <w:rFonts w:ascii="Arial" w:eastAsia="Arial" w:hAnsi="Arial" w:cs="Arial"/>
          <w:i/>
        </w:rPr>
        <w:t xml:space="preserve">ncialmente afectados por la futura norma acerca de: </w:t>
      </w:r>
    </w:p>
    <w:p w:rsidR="00FF384B" w:rsidRDefault="003E3BA9">
      <w:pPr>
        <w:numPr>
          <w:ilvl w:val="0"/>
          <w:numId w:val="20"/>
        </w:numPr>
        <w:spacing w:after="4" w:line="247" w:lineRule="auto"/>
        <w:ind w:right="244" w:hanging="259"/>
        <w:jc w:val="both"/>
      </w:pPr>
      <w:r>
        <w:rPr>
          <w:rFonts w:ascii="Arial" w:eastAsia="Arial" w:hAnsi="Arial" w:cs="Arial"/>
          <w:i/>
        </w:rPr>
        <w:t xml:space="preserve">Los problemas que se pretenden solucionar con la iniciativa. </w:t>
      </w:r>
    </w:p>
    <w:p w:rsidR="00FF384B" w:rsidRDefault="003E3BA9">
      <w:pPr>
        <w:numPr>
          <w:ilvl w:val="0"/>
          <w:numId w:val="20"/>
        </w:numPr>
        <w:spacing w:after="4" w:line="247" w:lineRule="auto"/>
        <w:ind w:right="244" w:hanging="259"/>
        <w:jc w:val="both"/>
      </w:pPr>
      <w:r>
        <w:rPr>
          <w:rFonts w:ascii="Arial" w:eastAsia="Arial" w:hAnsi="Arial" w:cs="Arial"/>
          <w:i/>
        </w:rPr>
        <w:t xml:space="preserve">La necesidad y oportunidad de su aprobación. </w:t>
      </w:r>
    </w:p>
    <w:p w:rsidR="00FF384B" w:rsidRDefault="003E3BA9">
      <w:pPr>
        <w:numPr>
          <w:ilvl w:val="0"/>
          <w:numId w:val="20"/>
        </w:numPr>
        <w:spacing w:after="4" w:line="247" w:lineRule="auto"/>
        <w:ind w:right="244" w:hanging="259"/>
        <w:jc w:val="both"/>
      </w:pPr>
      <w:r>
        <w:rPr>
          <w:rFonts w:ascii="Arial" w:eastAsia="Arial" w:hAnsi="Arial" w:cs="Arial"/>
          <w:i/>
        </w:rPr>
        <w:t xml:space="preserve">Los objetivos de la norma. </w:t>
      </w:r>
    </w:p>
    <w:p w:rsidR="00FF384B" w:rsidRDefault="003E3BA9">
      <w:pPr>
        <w:numPr>
          <w:ilvl w:val="0"/>
          <w:numId w:val="20"/>
        </w:numPr>
        <w:spacing w:after="4" w:line="247" w:lineRule="auto"/>
        <w:ind w:right="244" w:hanging="259"/>
        <w:jc w:val="both"/>
      </w:pPr>
      <w:r>
        <w:rPr>
          <w:rFonts w:ascii="Arial" w:eastAsia="Arial" w:hAnsi="Arial" w:cs="Arial"/>
          <w:i/>
        </w:rPr>
        <w:t>Las posibles soluciones alternativas regulatorias y no regulatorias</w:t>
      </w:r>
      <w:r>
        <w:rPr>
          <w:rFonts w:ascii="Arial" w:eastAsia="Arial" w:hAnsi="Arial" w:cs="Arial"/>
          <w:i/>
        </w:rPr>
        <w:t xml:space="preserve">”. </w:t>
      </w:r>
    </w:p>
    <w:p w:rsidR="00FF384B" w:rsidRDefault="003E3BA9">
      <w:pPr>
        <w:ind w:left="641"/>
      </w:pPr>
      <w:r>
        <w:rPr>
          <w:rFonts w:ascii="Arial" w:eastAsia="Arial" w:hAnsi="Arial" w:cs="Arial"/>
          <w:i/>
        </w:rPr>
        <w:t xml:space="preserve"> </w:t>
      </w:r>
    </w:p>
    <w:p w:rsidR="00FF384B" w:rsidRDefault="003E3BA9">
      <w:pPr>
        <w:spacing w:after="157" w:line="247" w:lineRule="auto"/>
        <w:ind w:left="268" w:right="244" w:firstLine="360"/>
        <w:jc w:val="both"/>
      </w:pPr>
      <w:r>
        <w:rPr>
          <w:rFonts w:ascii="Arial" w:eastAsia="Arial" w:hAnsi="Arial" w:cs="Arial"/>
        </w:rPr>
        <w:t>- Artículo 49 de la Ley 7/1985, de 2 de abril, reguladora de las Bases del Régimen Local:</w:t>
      </w:r>
      <w:r>
        <w:rPr>
          <w:rFonts w:ascii="Times New Roman" w:eastAsia="Times New Roman" w:hAnsi="Times New Roman" w:cs="Times New Roman"/>
          <w:sz w:val="24"/>
        </w:rPr>
        <w:t xml:space="preserve"> </w:t>
      </w:r>
    </w:p>
    <w:p w:rsidR="00FF384B" w:rsidRDefault="003E3BA9">
      <w:pPr>
        <w:spacing w:after="4" w:line="247" w:lineRule="auto"/>
        <w:ind w:left="651" w:right="244" w:hanging="10"/>
        <w:jc w:val="both"/>
      </w:pPr>
      <w:r>
        <w:rPr>
          <w:rFonts w:ascii="Arial" w:eastAsia="Arial" w:hAnsi="Arial" w:cs="Arial"/>
          <w:i/>
        </w:rPr>
        <w:t xml:space="preserve">La aprobación de las Ordenanzas locales se ajustará al siguiente procedimiento: a) Aprobación inicial por el Pleno. </w:t>
      </w:r>
    </w:p>
    <w:p w:rsidR="00FF384B" w:rsidRDefault="003E3BA9">
      <w:pPr>
        <w:numPr>
          <w:ilvl w:val="0"/>
          <w:numId w:val="21"/>
        </w:numPr>
        <w:spacing w:after="4" w:line="247" w:lineRule="auto"/>
        <w:ind w:left="924" w:right="244" w:hanging="283"/>
        <w:jc w:val="both"/>
      </w:pPr>
      <w:r>
        <w:rPr>
          <w:rFonts w:ascii="Arial" w:eastAsia="Arial" w:hAnsi="Arial" w:cs="Arial"/>
          <w:i/>
        </w:rPr>
        <w:t xml:space="preserve">Información pública y audiencia a los interesados por el plazo mínimo de treinta </w:t>
      </w:r>
    </w:p>
    <w:p w:rsidR="00FF384B" w:rsidRDefault="003E3BA9">
      <w:pPr>
        <w:spacing w:after="4" w:line="247" w:lineRule="auto"/>
        <w:ind w:left="278" w:right="244" w:hanging="10"/>
        <w:jc w:val="both"/>
      </w:pPr>
      <w:r>
        <w:rPr>
          <w:rFonts w:ascii="Arial" w:eastAsia="Arial" w:hAnsi="Arial" w:cs="Arial"/>
          <w:i/>
        </w:rPr>
        <w:t xml:space="preserve">días para la presentación de reclamaciones y sugerencias. </w:t>
      </w:r>
    </w:p>
    <w:p w:rsidR="00FF384B" w:rsidRDefault="003E3BA9">
      <w:pPr>
        <w:numPr>
          <w:ilvl w:val="0"/>
          <w:numId w:val="21"/>
        </w:numPr>
        <w:spacing w:after="4" w:line="247" w:lineRule="auto"/>
        <w:ind w:left="924" w:right="244" w:hanging="283"/>
        <w:jc w:val="both"/>
      </w:pPr>
      <w:r>
        <w:rPr>
          <w:rFonts w:ascii="Arial" w:eastAsia="Arial" w:hAnsi="Arial" w:cs="Arial"/>
          <w:i/>
        </w:rPr>
        <w:t xml:space="preserve">Resolución de todas las reclamaciones y sugerencias presentadas dentro del </w:t>
      </w:r>
    </w:p>
    <w:p w:rsidR="00FF384B" w:rsidRDefault="003E3BA9">
      <w:pPr>
        <w:spacing w:after="4" w:line="247" w:lineRule="auto"/>
        <w:ind w:left="278" w:right="244" w:hanging="10"/>
        <w:jc w:val="both"/>
      </w:pPr>
      <w:r>
        <w:rPr>
          <w:rFonts w:ascii="Arial" w:eastAsia="Arial" w:hAnsi="Arial" w:cs="Arial"/>
          <w:i/>
        </w:rPr>
        <w:t>plazo y aprobación definitiva por el Pl</w:t>
      </w:r>
      <w:r>
        <w:rPr>
          <w:rFonts w:ascii="Arial" w:eastAsia="Arial" w:hAnsi="Arial" w:cs="Arial"/>
          <w:i/>
        </w:rPr>
        <w:t xml:space="preserve">eno. </w:t>
      </w:r>
    </w:p>
    <w:p w:rsidR="00FF384B" w:rsidRDefault="003E3BA9">
      <w:pPr>
        <w:spacing w:after="25" w:line="247" w:lineRule="auto"/>
        <w:ind w:left="268" w:right="244" w:firstLine="358"/>
        <w:jc w:val="both"/>
      </w:pPr>
      <w:r>
        <w:rPr>
          <w:rFonts w:ascii="Arial" w:eastAsia="Arial" w:hAnsi="Arial" w:cs="Arial"/>
          <w:i/>
        </w:rPr>
        <w:t xml:space="preserve">En el caso de que no se hubiera presentado ninguna reclamación o sugerencia, se entenderá definitivamente adoptado el acuerdo hasta entonces provisional”. </w:t>
      </w:r>
    </w:p>
    <w:p w:rsidR="00FF384B" w:rsidRDefault="003E3BA9">
      <w:pPr>
        <w:spacing w:after="0"/>
        <w:ind w:left="643"/>
      </w:pPr>
      <w:r>
        <w:rPr>
          <w:rFonts w:ascii="Arial" w:eastAsia="Arial" w:hAnsi="Arial" w:cs="Arial"/>
          <w:b/>
          <w:i/>
        </w:rPr>
        <w:t xml:space="preserve"> </w:t>
      </w:r>
    </w:p>
    <w:p w:rsidR="00FF384B" w:rsidRDefault="003E3BA9">
      <w:pPr>
        <w:spacing w:after="113" w:line="247" w:lineRule="auto"/>
        <w:ind w:left="646" w:hanging="3"/>
        <w:jc w:val="both"/>
      </w:pPr>
      <w:r>
        <w:rPr>
          <w:rFonts w:ascii="Arial" w:eastAsia="Arial" w:hAnsi="Arial" w:cs="Arial"/>
          <w:b/>
        </w:rPr>
        <w:t xml:space="preserve">Segundo. - Es de aplicación la siguiente normativa: </w:t>
      </w:r>
    </w:p>
    <w:p w:rsidR="00FF384B" w:rsidRDefault="003E3BA9">
      <w:pPr>
        <w:spacing w:after="112" w:line="247" w:lineRule="auto"/>
        <w:ind w:left="268" w:right="244" w:firstLine="360"/>
        <w:jc w:val="both"/>
      </w:pPr>
      <w:r>
        <w:rPr>
          <w:rFonts w:ascii="Arial" w:eastAsia="Arial" w:hAnsi="Arial" w:cs="Arial"/>
        </w:rPr>
        <w:t>-Ley 38/2003, de 17 de noviembre, Gener</w:t>
      </w:r>
      <w:r>
        <w:rPr>
          <w:rFonts w:ascii="Arial" w:eastAsia="Arial" w:hAnsi="Arial" w:cs="Arial"/>
        </w:rPr>
        <w:t xml:space="preserve">al de Subvenciones, como normativa básica estatal. </w:t>
      </w:r>
    </w:p>
    <w:p w:rsidR="00FF384B" w:rsidRDefault="003E3BA9">
      <w:pPr>
        <w:spacing w:after="111" w:line="247" w:lineRule="auto"/>
        <w:ind w:left="268" w:right="244" w:firstLine="360"/>
        <w:jc w:val="both"/>
      </w:pPr>
      <w:r>
        <w:rPr>
          <w:rFonts w:ascii="Arial" w:eastAsia="Arial" w:hAnsi="Arial" w:cs="Arial"/>
        </w:rPr>
        <w:t xml:space="preserve">-Decreto 36/2009, de 31 de marzo, por el que se establece el régimen general de subvenciones de la Comunidad Autónoma de Canarias. </w:t>
      </w:r>
    </w:p>
    <w:p w:rsidR="00FF384B" w:rsidRDefault="003E3BA9">
      <w:pPr>
        <w:spacing w:after="109" w:line="247" w:lineRule="auto"/>
        <w:ind w:left="268" w:right="244" w:firstLine="360"/>
        <w:jc w:val="both"/>
      </w:pPr>
      <w:r>
        <w:rPr>
          <w:rFonts w:ascii="Arial" w:eastAsia="Arial" w:hAnsi="Arial" w:cs="Arial"/>
        </w:rPr>
        <w:t>-</w:t>
      </w:r>
      <w:r>
        <w:rPr>
          <w:rFonts w:ascii="Arial" w:eastAsia="Arial" w:hAnsi="Arial" w:cs="Arial"/>
        </w:rPr>
        <w:t xml:space="preserve">Real Decreto 887/2006 de 21 de julio, por el que se aprueba el Reglamento de la Ley 38/2003, de 17 de noviembre, General de Subvenciones. </w:t>
      </w:r>
    </w:p>
    <w:p w:rsidR="00FF384B" w:rsidRDefault="003E3BA9">
      <w:pPr>
        <w:spacing w:after="0"/>
        <w:ind w:left="643"/>
      </w:pPr>
      <w:r>
        <w:rPr>
          <w:rFonts w:ascii="Arial" w:eastAsia="Arial" w:hAnsi="Arial" w:cs="Arial"/>
          <w:b/>
        </w:rPr>
        <w:t xml:space="preserve"> </w:t>
      </w:r>
    </w:p>
    <w:p w:rsidR="00FF384B" w:rsidRDefault="003E3BA9">
      <w:pPr>
        <w:spacing w:after="0"/>
        <w:ind w:left="643"/>
      </w:pPr>
      <w:r>
        <w:rPr>
          <w:rFonts w:ascii="Arial" w:eastAsia="Arial" w:hAnsi="Arial" w:cs="Arial"/>
          <w:b/>
        </w:rPr>
        <w:t xml:space="preserve"> </w:t>
      </w:r>
    </w:p>
    <w:p w:rsidR="00FF384B" w:rsidRDefault="003E3BA9">
      <w:pPr>
        <w:spacing w:after="15" w:line="247" w:lineRule="auto"/>
        <w:ind w:left="283" w:firstLine="360"/>
        <w:jc w:val="both"/>
      </w:pPr>
      <w:r>
        <w:rPr>
          <w:rFonts w:ascii="Arial" w:eastAsia="Arial" w:hAnsi="Arial" w:cs="Arial"/>
          <w:b/>
        </w:rPr>
        <w:t xml:space="preserve">Tercero. - Contestación a las alegaciones presentadas por el Grupo Mixto de fecha 26 de enero de 2021: </w:t>
      </w:r>
    </w:p>
    <w:p w:rsidR="00FF384B" w:rsidRDefault="003E3BA9">
      <w:pPr>
        <w:spacing w:after="0"/>
        <w:ind w:left="643"/>
      </w:pPr>
      <w:r>
        <w:rPr>
          <w:rFonts w:ascii="Arial" w:eastAsia="Arial" w:hAnsi="Arial" w:cs="Arial"/>
          <w:b/>
        </w:rPr>
        <w:t xml:space="preserve"> </w:t>
      </w:r>
      <w:r>
        <w:rPr>
          <w:rFonts w:ascii="Arial" w:eastAsia="Arial" w:hAnsi="Arial" w:cs="Arial"/>
          <w:b/>
        </w:rPr>
        <w:tab/>
        <w:t xml:space="preserve"> </w:t>
      </w:r>
    </w:p>
    <w:p w:rsidR="00FF384B" w:rsidRDefault="003E3BA9">
      <w:pPr>
        <w:spacing w:after="4" w:line="247" w:lineRule="auto"/>
        <w:ind w:left="268" w:right="244" w:firstLine="360"/>
        <w:jc w:val="both"/>
      </w:pPr>
      <w:r>
        <w:rPr>
          <w:rFonts w:ascii="Arial" w:eastAsia="Arial" w:hAnsi="Arial" w:cs="Arial"/>
          <w:i/>
        </w:rPr>
        <w:t>Alega</w:t>
      </w:r>
      <w:r>
        <w:rPr>
          <w:rFonts w:ascii="Arial" w:eastAsia="Arial" w:hAnsi="Arial" w:cs="Arial"/>
          <w:i/>
        </w:rPr>
        <w:t>ción 1.- La utilidad de una ordenanza de subvenciones es adaptar la exhaustiva normativa general a las características organizativas específicas del Ayuntamiento, y esa traducción suele hacerse mediante las Bases de Ejecución del Presupuesto Municipal. Est</w:t>
      </w:r>
      <w:r>
        <w:rPr>
          <w:rFonts w:ascii="Arial" w:eastAsia="Arial" w:hAnsi="Arial" w:cs="Arial"/>
          <w:i/>
        </w:rPr>
        <w:t xml:space="preserve">a ordenanza es muy compleja y, desde nuestro punto de vista, no responde a esta utilidad y no traduce qué objetivos y finalidad persigue. </w:t>
      </w:r>
    </w:p>
    <w:p w:rsidR="00FF384B" w:rsidRDefault="003E3BA9">
      <w:pPr>
        <w:spacing w:after="0"/>
        <w:ind w:left="643"/>
      </w:pPr>
      <w:r>
        <w:rPr>
          <w:rFonts w:ascii="Arial" w:eastAsia="Arial" w:hAnsi="Arial" w:cs="Arial"/>
        </w:rPr>
        <w:t xml:space="preserve">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La Ordenanza General de Subvenciones reproduce la normativa tanto legal como reglamentaria en mater</w:t>
      </w:r>
      <w:r>
        <w:rPr>
          <w:rFonts w:ascii="Arial" w:eastAsia="Arial" w:hAnsi="Arial" w:cs="Arial"/>
        </w:rPr>
        <w:t xml:space="preserve">ia de subvenciones que como ya hemos expuesto en los fundamentos jurídicos que son: </w:t>
      </w:r>
    </w:p>
    <w:p w:rsidR="00FF384B" w:rsidRDefault="003E3BA9">
      <w:pPr>
        <w:spacing w:after="111" w:line="247" w:lineRule="auto"/>
        <w:ind w:left="268" w:right="244" w:firstLine="360"/>
        <w:jc w:val="both"/>
      </w:pPr>
      <w:r>
        <w:rPr>
          <w:noProof/>
        </w:rPr>
        <mc:AlternateContent>
          <mc:Choice Requires="wpg">
            <w:drawing>
              <wp:anchor distT="0" distB="0" distL="114300" distR="114300" simplePos="0" relativeHeight="2517104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2745" name="Group 44274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615" name="Picture 15615"/>
                          <pic:cNvPicPr/>
                        </pic:nvPicPr>
                        <pic:blipFill>
                          <a:blip r:embed="rId62"/>
                          <a:stretch>
                            <a:fillRect/>
                          </a:stretch>
                        </pic:blipFill>
                        <pic:spPr>
                          <a:xfrm rot="-5399999">
                            <a:off x="-1720849" y="1720849"/>
                            <a:ext cx="3797300" cy="355601"/>
                          </a:xfrm>
                          <a:prstGeom prst="rect">
                            <a:avLst/>
                          </a:prstGeom>
                        </pic:spPr>
                      </pic:pic>
                      <wps:wsp>
                        <wps:cNvPr id="15616" name="Rectangle 1561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5617" name="Rectangle 1561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2745" style="width:41.2715pt;height:299pt;position:absolute;mso-position-horizontal-relative:page;mso-position-horizontal:absolute;margin-left:653.71pt;mso-position-vertical-relative:page;margin-top:512.92pt;" coordsize="5241,37973">
                <v:shape id="Picture 15615" style="position:absolute;width:37973;height:3556;left:-17208;top:17208;rotation:-89;" filled="f">
                  <v:imagedata r:id="rId63"/>
                </v:shape>
                <v:rect id="Rectangle 1561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61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353 </w:t>
                        </w:r>
                      </w:p>
                    </w:txbxContent>
                  </v:textbox>
                </v:rect>
                <w10:wrap type="square"/>
              </v:group>
            </w:pict>
          </mc:Fallback>
        </mc:AlternateContent>
      </w:r>
      <w:r>
        <w:rPr>
          <w:rFonts w:ascii="Arial" w:eastAsia="Arial" w:hAnsi="Arial" w:cs="Arial"/>
        </w:rPr>
        <w:t xml:space="preserve">-Ley 38/2003, de 17 de noviembre, General de Subvenciones, como normativa básica estatal. </w:t>
      </w:r>
    </w:p>
    <w:p w:rsidR="00FF384B" w:rsidRDefault="003E3BA9">
      <w:pPr>
        <w:spacing w:after="114" w:line="247" w:lineRule="auto"/>
        <w:ind w:left="268" w:right="244" w:firstLine="360"/>
        <w:jc w:val="both"/>
      </w:pPr>
      <w:r>
        <w:rPr>
          <w:rFonts w:ascii="Arial" w:eastAsia="Arial" w:hAnsi="Arial" w:cs="Arial"/>
        </w:rPr>
        <w:t>-Real Decreto 887/2006 de 21 de julio, por el que se aprueba el Reglame</w:t>
      </w:r>
      <w:r>
        <w:rPr>
          <w:rFonts w:ascii="Arial" w:eastAsia="Arial" w:hAnsi="Arial" w:cs="Arial"/>
        </w:rPr>
        <w:t xml:space="preserve">nto de la Ley 38/2003, de 17 de noviembre, General de Subvenciones. </w:t>
      </w:r>
    </w:p>
    <w:p w:rsidR="00FF384B" w:rsidRDefault="003E3BA9">
      <w:pPr>
        <w:spacing w:after="5" w:line="247" w:lineRule="auto"/>
        <w:ind w:left="268" w:right="244" w:firstLine="360"/>
        <w:jc w:val="both"/>
      </w:pPr>
      <w:r>
        <w:rPr>
          <w:rFonts w:ascii="Arial" w:eastAsia="Arial" w:hAnsi="Arial" w:cs="Arial"/>
        </w:rPr>
        <w:t>Es verdad que puede parecer superflua la aprobación de esta Ordenanza ya que el Ayuntamiento de Candelaria ha venido tramitando y concediendo subvenciones sin ordenanza porque es de aplic</w:t>
      </w:r>
      <w:r>
        <w:rPr>
          <w:rFonts w:ascii="Arial" w:eastAsia="Arial" w:hAnsi="Arial" w:cs="Arial"/>
        </w:rPr>
        <w:t>ación directamente la ley y el reglamento de subvenciones sin necesidad de que exista Ordenanza pero no es menos cierto que entre las potestades administrativas de una entidad local está la potestad reglamentaria y de autoorganización del artículo 4.1 a) d</w:t>
      </w:r>
      <w:r>
        <w:rPr>
          <w:rFonts w:ascii="Arial" w:eastAsia="Arial" w:hAnsi="Arial" w:cs="Arial"/>
        </w:rPr>
        <w:t xml:space="preserve">e la LBRL por tanto ningún obstáculo legal existe a que el Ayuntamiento se dote de una ordenanza para una mayor concreción en la regulación de los procedimientos de concesión de subvenciones públicas. </w:t>
      </w:r>
    </w:p>
    <w:p w:rsidR="00FF384B" w:rsidRDefault="003E3BA9">
      <w:pPr>
        <w:spacing w:after="5" w:line="247" w:lineRule="auto"/>
        <w:ind w:left="268" w:right="244" w:firstLine="360"/>
        <w:jc w:val="both"/>
      </w:pPr>
      <w:r>
        <w:rPr>
          <w:rFonts w:ascii="Arial" w:eastAsia="Arial" w:hAnsi="Arial" w:cs="Arial"/>
        </w:rPr>
        <w:t>Por tanto, las valoraciones realizadas en las alegacio</w:t>
      </w:r>
      <w:r>
        <w:rPr>
          <w:rFonts w:ascii="Arial" w:eastAsia="Arial" w:hAnsi="Arial" w:cs="Arial"/>
        </w:rPr>
        <w:t xml:space="preserve">nes son de oportunidad y no de legalidad por lo que se desestima. </w:t>
      </w:r>
    </w:p>
    <w:p w:rsidR="00FF384B" w:rsidRDefault="003E3BA9">
      <w:pPr>
        <w:spacing w:after="0"/>
        <w:ind w:left="643"/>
      </w:pPr>
      <w:r>
        <w:rPr>
          <w:rFonts w:ascii="Arial" w:eastAsia="Arial" w:hAnsi="Arial" w:cs="Arial"/>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360"/>
        <w:jc w:val="both"/>
      </w:pPr>
      <w:r>
        <w:rPr>
          <w:rFonts w:ascii="Arial" w:eastAsia="Arial" w:hAnsi="Arial" w:cs="Arial"/>
          <w:i/>
        </w:rPr>
        <w:t>Alegación 2.- Que la misma, al igual que asumimos la transparencia como un requisito indispensable del buen hacer municipal, empecemos por ofrecer a la ciudadanía una ordenanza meridian</w:t>
      </w:r>
      <w:r>
        <w:rPr>
          <w:rFonts w:ascii="Arial" w:eastAsia="Arial" w:hAnsi="Arial" w:cs="Arial"/>
          <w:i/>
        </w:rPr>
        <w:t xml:space="preserve">amente clara. Meridianamente clara, para que las y los solicitantes no tengan que recurrir a una asesoría para entenderla. Esta ordenanza es muy poco clara.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 xml:space="preserve"> Al igual que la anterior es una alegación de oportunidad y no de legalidad ya que</w:t>
      </w:r>
      <w:r>
        <w:rPr>
          <w:rFonts w:ascii="Arial" w:eastAsia="Arial" w:hAnsi="Arial" w:cs="Arial"/>
        </w:rPr>
        <w:t xml:space="preserve"> la Ordenanza reproduce el lenguaje jurídico de la ley y el reglamento de subvenciones, como no podía ser de otra manera, la tratarse de una norma y no de otro tipo de documento. Se desestima.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 xml:space="preserve">Alegación 3.- Una vez más, como hemos advertido en normas </w:t>
      </w:r>
      <w:r>
        <w:rPr>
          <w:rFonts w:ascii="Arial" w:eastAsia="Arial" w:hAnsi="Arial" w:cs="Arial"/>
          <w:i/>
        </w:rPr>
        <w:t>anteriores, a efectos formales, con carácter general en cumplimiento del Artículo 14.11 de la Ley Orgánica 3/2007, de 22 de marzo, para la igualdad efectiva de mujeres y hombres, y en coherencia también con la Guía para un Uso no Sexista del lenguaje admin</w:t>
      </w:r>
      <w:r>
        <w:rPr>
          <w:rFonts w:ascii="Arial" w:eastAsia="Arial" w:hAnsi="Arial" w:cs="Arial"/>
          <w:i/>
        </w:rPr>
        <w:t xml:space="preserve">istrativo aprobada y publicada por este Ayuntamiento en el año 2005, debe revisarse íntegramente el texto de la ordenanza para evitar el uso discriminatorio y no inclusivo del lenguaje empleado.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Al igual que la anterior es una alegación de</w:t>
      </w:r>
      <w:r>
        <w:rPr>
          <w:rFonts w:ascii="Arial" w:eastAsia="Arial" w:hAnsi="Arial" w:cs="Arial"/>
        </w:rPr>
        <w:t xml:space="preserve"> oportunidad y no de legalidad ya que la Ordenanza reproduce el lenguaje jurídico de la ley y el reglamento de subvenciones que está en términos genéricos y no hay ninguna norma jurídica que obligue a utilizar ese tipo de lenguaje en el Ayuntamiento que ad</w:t>
      </w:r>
      <w:r>
        <w:rPr>
          <w:rFonts w:ascii="Arial" w:eastAsia="Arial" w:hAnsi="Arial" w:cs="Arial"/>
        </w:rPr>
        <w:t>emás también ha sido rechazado por la Real Academia Española de la Lengua en sucesivos informes de académicos de la lengua castellana. Es cierto que en otros reglamentos y ordenanzas municipales se ha cumplido con ese tipo de lenguaje donde se usa al mismo</w:t>
      </w:r>
      <w:r>
        <w:rPr>
          <w:rFonts w:ascii="Arial" w:eastAsia="Arial" w:hAnsi="Arial" w:cs="Arial"/>
        </w:rPr>
        <w:t xml:space="preserve"> tiempo el género femenino y el masculino como fue en el Reglamento Orgánico pero porque así se decidió de forma potestativa por los concejales pero sin que fuera preceptivo hacerlo. Por tanto, se desestima por su falta de preceptividad. </w:t>
      </w:r>
    </w:p>
    <w:p w:rsidR="00FF384B" w:rsidRDefault="003E3BA9">
      <w:pPr>
        <w:spacing w:after="4" w:line="247" w:lineRule="auto"/>
        <w:ind w:left="278" w:right="244" w:hanging="10"/>
        <w:jc w:val="both"/>
      </w:pPr>
      <w:r>
        <w:rPr>
          <w:noProof/>
        </w:rPr>
        <mc:AlternateContent>
          <mc:Choice Requires="wpg">
            <w:drawing>
              <wp:anchor distT="0" distB="0" distL="114300" distR="114300" simplePos="0" relativeHeight="2517114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2493" name="Group 44249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718" name="Picture 15718"/>
                          <pic:cNvPicPr/>
                        </pic:nvPicPr>
                        <pic:blipFill>
                          <a:blip r:embed="rId62"/>
                          <a:stretch>
                            <a:fillRect/>
                          </a:stretch>
                        </pic:blipFill>
                        <pic:spPr>
                          <a:xfrm rot="-5399999">
                            <a:off x="-1720849" y="1720849"/>
                            <a:ext cx="3797300" cy="355601"/>
                          </a:xfrm>
                          <a:prstGeom prst="rect">
                            <a:avLst/>
                          </a:prstGeom>
                        </pic:spPr>
                      </pic:pic>
                      <wps:wsp>
                        <wps:cNvPr id="15719" name="Rectangle 1571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5720" name="Rectangle 1572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2493" style="width:41.2715pt;height:299pt;position:absolute;mso-position-horizontal-relative:page;mso-position-horizontal:absolute;margin-left:653.71pt;mso-position-vertical-relative:page;margin-top:512.92pt;" coordsize="5241,37973">
                <v:shape id="Picture 15718" style="position:absolute;width:37973;height:3556;left:-17208;top:17208;rotation:-89;" filled="f">
                  <v:imagedata r:id="rId63"/>
                </v:shape>
                <v:rect id="Rectangle 1571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72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353 </w:t>
                        </w:r>
                      </w:p>
                    </w:txbxContent>
                  </v:textbox>
                </v:rect>
                <w10:wrap type="square"/>
              </v:group>
            </w:pict>
          </mc:Fallback>
        </mc:AlternateContent>
      </w:r>
      <w:r>
        <w:rPr>
          <w:rFonts w:ascii="Arial" w:eastAsia="Arial" w:hAnsi="Arial" w:cs="Arial"/>
          <w:i/>
        </w:rPr>
        <w:t>Alegación 4.- En lo referente a la terminología deberían unifi</w:t>
      </w:r>
      <w:r>
        <w:rPr>
          <w:rFonts w:ascii="Arial" w:eastAsia="Arial" w:hAnsi="Arial" w:cs="Arial"/>
          <w:i/>
        </w:rPr>
        <w:t xml:space="preserve">carse determinados términos utilizados a lo largo del texto, y si se mantuvieran los actuales por considerarlos referidos a significados diferenciados, explicarlo en un Glosario más claramente. Se genera confusión a partir de términos como los siguientes: </w:t>
      </w:r>
      <w:r>
        <w:rPr>
          <w:rFonts w:ascii="Arial" w:eastAsia="Arial" w:hAnsi="Arial" w:cs="Arial"/>
          <w:i/>
        </w:rPr>
        <w:t xml:space="preserve">* En unas ocasiones se mencionan áreas y en otras concejalías delegadas. * Figura repetidamente, el órgano competente, y sustituirse por cada Concejalía, como establece el Artículo 6. Régimen jurídico y convocatorias de 2/4 las subvenciones. Punto 2: Cada </w:t>
      </w:r>
      <w:r>
        <w:rPr>
          <w:rFonts w:ascii="Arial" w:eastAsia="Arial" w:hAnsi="Arial" w:cs="Arial"/>
          <w:i/>
        </w:rPr>
        <w:t>Concejalía delegada es el órgano competente para la aprobación de las convocatorias de las subvenciones. * Otros términos recurrentes y en ocasiones asimilables: órgano concedente, órgano municipal responsable, órgano gestor, órgano instructor, servicio ge</w:t>
      </w:r>
      <w:r>
        <w:rPr>
          <w:rFonts w:ascii="Arial" w:eastAsia="Arial" w:hAnsi="Arial" w:cs="Arial"/>
          <w:i/>
        </w:rPr>
        <w:t xml:space="preserve">stor. </w:t>
      </w:r>
    </w:p>
    <w:p w:rsidR="00FF384B" w:rsidRDefault="003E3BA9">
      <w:pPr>
        <w:spacing w:after="0"/>
        <w:ind w:left="643"/>
      </w:pPr>
      <w:r>
        <w:rPr>
          <w:rFonts w:ascii="Arial" w:eastAsia="Arial" w:hAnsi="Arial" w:cs="Arial"/>
          <w:b/>
          <w:i/>
        </w:rPr>
        <w:t xml:space="preserve"> </w:t>
      </w:r>
    </w:p>
    <w:p w:rsidR="00FF384B" w:rsidRDefault="003E3BA9">
      <w:pPr>
        <w:spacing w:after="0"/>
        <w:ind w:left="643"/>
      </w:pPr>
      <w:r>
        <w:rPr>
          <w:rFonts w:ascii="Arial" w:eastAsia="Arial" w:hAnsi="Arial" w:cs="Arial"/>
          <w:b/>
        </w:rPr>
        <w:t xml:space="preserve">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Efectivamente se usan diferentes términos para referirse a los órganos gestores de las subvenciones pero es la organización del Ayuntamiento en cada mandato de la Corporación la que decide por los diferentes decretos de la Alcald</w:t>
      </w:r>
      <w:r>
        <w:rPr>
          <w:rFonts w:ascii="Arial" w:eastAsia="Arial" w:hAnsi="Arial" w:cs="Arial"/>
        </w:rPr>
        <w:t xml:space="preserve">ía de delegaciones en los concejales y en la Junta de Gobierno la que decide los órganos con competencias en materia de concesión de subvenciones y ayudas y no la Ordenanza la que debe concretar dichos órganos y por tanto se desestima al ser atribución de </w:t>
      </w:r>
      <w:r>
        <w:rPr>
          <w:rFonts w:ascii="Arial" w:eastAsia="Arial" w:hAnsi="Arial" w:cs="Arial"/>
        </w:rPr>
        <w:t xml:space="preserve">la Alcaldía y no del Pleno. </w:t>
      </w:r>
    </w:p>
    <w:p w:rsidR="00FF384B" w:rsidRDefault="003E3BA9">
      <w:pPr>
        <w:spacing w:after="0"/>
        <w:ind w:left="643"/>
      </w:pPr>
      <w:r>
        <w:rPr>
          <w:rFonts w:ascii="Arial" w:eastAsia="Arial" w:hAnsi="Arial" w:cs="Arial"/>
          <w:b/>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Alegación 5.- De los procedimientos de concesión, de las subvenciones nominativas (y de las entidades colaboradoras) En la aprobación inicial de esta Ordenanza de Subvenciones, donde nos abstuvimos, argumentamos que el porc</w:t>
      </w:r>
      <w:r>
        <w:rPr>
          <w:rFonts w:ascii="Arial" w:eastAsia="Arial" w:hAnsi="Arial" w:cs="Arial"/>
          <w:i/>
        </w:rPr>
        <w:t>entaje de subvenciones concedidas por el procedimiento de concurrencia competitiva en el</w:t>
      </w:r>
      <w:r>
        <w:rPr>
          <w:rFonts w:ascii="Arial" w:eastAsia="Arial" w:hAnsi="Arial" w:cs="Arial"/>
        </w:rPr>
        <w:t xml:space="preserve"> </w:t>
      </w:r>
      <w:r>
        <w:rPr>
          <w:rFonts w:ascii="Arial" w:eastAsia="Arial" w:hAnsi="Arial" w:cs="Arial"/>
          <w:i/>
        </w:rPr>
        <w:t xml:space="preserve">Ayuntamiento de Candelaria, el que la Ley General de Subvenciones establece como ordinario, es significativamente inferior (24%) al de las concedidas de forma directa </w:t>
      </w:r>
      <w:r>
        <w:rPr>
          <w:rFonts w:ascii="Arial" w:eastAsia="Arial" w:hAnsi="Arial" w:cs="Arial"/>
          <w:i/>
        </w:rPr>
        <w:t xml:space="preserve">(50%), a través de subvenciones nominativas mediante convenios de colaboración. El Tribunal de Cuentas censura que las excepciones previstas en la Ley se apliquen no para subvencionar actividades de interés, sino personas físicas o jurídicas concretas; es </w:t>
      </w:r>
      <w:r>
        <w:rPr>
          <w:rFonts w:ascii="Arial" w:eastAsia="Arial" w:hAnsi="Arial" w:cs="Arial"/>
          <w:i/>
        </w:rPr>
        <w:t>decir, no se subvenciona lo que hace alguien, sino a alguien. La concurrencia competitiva debe ser el procedimiento principal de otorgamiento de subvenciones en este Ayuntamiento y así debería quedar recogido expresamente en esta ordenanza, reduciendo al m</w:t>
      </w:r>
      <w:r>
        <w:rPr>
          <w:rFonts w:ascii="Arial" w:eastAsia="Arial" w:hAnsi="Arial" w:cs="Arial"/>
          <w:i/>
        </w:rPr>
        <w:t>ínimo las concedidas directa y nominativamente. Las subvenciones nominativas, son aquellas cuya concesión no requiere más justificación que la propia inclusión en el presupuesto, con indicación del nombre del beneficiario, la aplicación presupuestaria y el</w:t>
      </w:r>
      <w:r>
        <w:rPr>
          <w:rFonts w:ascii="Arial" w:eastAsia="Arial" w:hAnsi="Arial" w:cs="Arial"/>
          <w:i/>
        </w:rPr>
        <w:t xml:space="preserve"> importe. Precisamente por el carácter discrecional y subjetivo de su concesión y en aras de una mayor seguridad jurídica para el Ayuntamiento, así como de la transparencia y las garantías equitativas para la ciudadanía, consideramos que, como señala de Tr</w:t>
      </w:r>
      <w:r>
        <w:rPr>
          <w:rFonts w:ascii="Arial" w:eastAsia="Arial" w:hAnsi="Arial" w:cs="Arial"/>
          <w:i/>
        </w:rPr>
        <w:t>ibunal de Cuentas: Forma parte del ámbito competencial de cada Entidad Local establecer el manual de buenas prácticas en esta materia, además de las normas reguladoras para la concesión de subvenciones y definir las condiciones para ser beneficiario o bene</w:t>
      </w:r>
      <w:r>
        <w:rPr>
          <w:rFonts w:ascii="Arial" w:eastAsia="Arial" w:hAnsi="Arial" w:cs="Arial"/>
          <w:i/>
        </w:rPr>
        <w:t>ficiaria de las mismas, así como las actuaciones que se pretenden subvencionar. En línea con esto proponemos que se incluya un desarrollo de criterios de buenas prácticas, elaborado por el consenso de las formaciones presentes en este pleno, y que se recoj</w:t>
      </w:r>
      <w:r>
        <w:rPr>
          <w:rFonts w:ascii="Arial" w:eastAsia="Arial" w:hAnsi="Arial" w:cs="Arial"/>
          <w:i/>
        </w:rPr>
        <w:t>a en la Ordenanza que será de aplicación, formando parte del mismo.</w:t>
      </w:r>
      <w:r>
        <w:rPr>
          <w:rFonts w:ascii="Arial" w:eastAsia="Arial" w:hAnsi="Arial" w:cs="Arial"/>
        </w:rPr>
        <w:t xml:space="preserve"> </w:t>
      </w:r>
    </w:p>
    <w:p w:rsidR="00FF384B" w:rsidRDefault="003E3BA9">
      <w:pPr>
        <w:spacing w:after="0"/>
        <w:ind w:left="643"/>
      </w:pPr>
      <w:r>
        <w:rPr>
          <w:rFonts w:ascii="Arial" w:eastAsia="Arial" w:hAnsi="Arial" w:cs="Arial"/>
          <w:b/>
        </w:rPr>
        <w:t xml:space="preserve"> </w:t>
      </w:r>
    </w:p>
    <w:p w:rsidR="00FF384B" w:rsidRDefault="003E3BA9">
      <w:pPr>
        <w:spacing w:after="15" w:line="247" w:lineRule="auto"/>
        <w:ind w:left="646" w:hanging="3"/>
        <w:jc w:val="both"/>
      </w:pPr>
      <w:r>
        <w:rPr>
          <w:noProof/>
        </w:rPr>
        <mc:AlternateContent>
          <mc:Choice Requires="wpg">
            <w:drawing>
              <wp:anchor distT="0" distB="0" distL="114300" distR="114300" simplePos="0" relativeHeight="2517125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2680" name="Group 4426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832" name="Picture 15832"/>
                          <pic:cNvPicPr/>
                        </pic:nvPicPr>
                        <pic:blipFill>
                          <a:blip r:embed="rId62"/>
                          <a:stretch>
                            <a:fillRect/>
                          </a:stretch>
                        </pic:blipFill>
                        <pic:spPr>
                          <a:xfrm rot="-5399999">
                            <a:off x="-1720849" y="1720849"/>
                            <a:ext cx="3797300" cy="355601"/>
                          </a:xfrm>
                          <a:prstGeom prst="rect">
                            <a:avLst/>
                          </a:prstGeom>
                        </pic:spPr>
                      </pic:pic>
                      <wps:wsp>
                        <wps:cNvPr id="15833" name="Rectangle 1583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5834" name="Rectangle 1583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2680" style="width:41.2715pt;height:299pt;position:absolute;mso-position-horizontal-relative:page;mso-position-horizontal:absolute;margin-left:653.71pt;mso-position-vertical-relative:page;margin-top:512.92pt;" coordsize="5241,37973">
                <v:shape id="Picture 15832" style="position:absolute;width:37973;height:3556;left:-17208;top:17208;rotation:-89;" filled="f">
                  <v:imagedata r:id="rId63"/>
                </v:shape>
                <v:rect id="Rectangle 1583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83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353 </w:t>
                        </w:r>
                      </w:p>
                    </w:txbxContent>
                  </v:textbox>
                </v:rect>
                <w10:wrap type="square"/>
              </v:group>
            </w:pict>
          </mc:Fallback>
        </mc:AlternateContent>
      </w:r>
      <w:r>
        <w:rPr>
          <w:rFonts w:ascii="Arial" w:eastAsia="Arial" w:hAnsi="Arial" w:cs="Arial"/>
          <w:b/>
        </w:rPr>
        <w:t xml:space="preserve">Contestación: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rPr>
        <w:t xml:space="preserve">Es la ley de subvenciones y </w:t>
      </w:r>
      <w:r>
        <w:rPr>
          <w:rFonts w:ascii="Arial" w:eastAsia="Arial" w:hAnsi="Arial" w:cs="Arial"/>
        </w:rPr>
        <w:t xml:space="preserve">el reglamento los que regulan los diferentes procedimientos de concesión de subvenciones que esta Ordenanza se limitar a reproducir lo que establece el artículo 22 y siguientes de la Ley General de Subvenciones que regula los siguientes procedimientos: </w:t>
      </w:r>
    </w:p>
    <w:p w:rsidR="00FF384B" w:rsidRDefault="003E3BA9">
      <w:pPr>
        <w:spacing w:after="0"/>
        <w:ind w:left="643"/>
      </w:pPr>
      <w:r>
        <w:rPr>
          <w:rFonts w:ascii="Arial" w:eastAsia="Arial" w:hAnsi="Arial" w:cs="Arial"/>
        </w:rPr>
        <w:t xml:space="preserve"> </w:t>
      </w:r>
    </w:p>
    <w:p w:rsidR="00FF384B" w:rsidRDefault="003E3BA9">
      <w:pPr>
        <w:spacing w:after="5" w:line="247" w:lineRule="auto"/>
        <w:ind w:left="653" w:right="244" w:hanging="10"/>
        <w:jc w:val="both"/>
      </w:pPr>
      <w:r>
        <w:rPr>
          <w:rFonts w:ascii="Arial" w:eastAsia="Arial" w:hAnsi="Arial" w:cs="Arial"/>
        </w:rPr>
        <w:t xml:space="preserve">1.- Concurrencia competitiva. </w:t>
      </w:r>
    </w:p>
    <w:p w:rsidR="00FF384B" w:rsidRDefault="003E3BA9">
      <w:pPr>
        <w:spacing w:after="5" w:line="247" w:lineRule="auto"/>
        <w:ind w:left="653" w:right="244" w:hanging="10"/>
        <w:jc w:val="both"/>
      </w:pPr>
      <w:r>
        <w:rPr>
          <w:rFonts w:ascii="Arial" w:eastAsia="Arial" w:hAnsi="Arial" w:cs="Arial"/>
        </w:rPr>
        <w:t xml:space="preserve">2.- Concesión directa: que a su a vez son de 3 clases: </w:t>
      </w:r>
    </w:p>
    <w:p w:rsidR="00FF384B" w:rsidRDefault="003E3BA9">
      <w:pPr>
        <w:spacing w:after="5" w:line="247" w:lineRule="auto"/>
        <w:ind w:left="653" w:right="244" w:hanging="10"/>
        <w:jc w:val="both"/>
      </w:pPr>
      <w:r>
        <w:rPr>
          <w:rFonts w:ascii="Arial" w:eastAsia="Arial" w:hAnsi="Arial" w:cs="Arial"/>
        </w:rPr>
        <w:t xml:space="preserve">2.1.- Subvenciones nominativas previstas en los presupuestos.  </w:t>
      </w:r>
    </w:p>
    <w:p w:rsidR="00FF384B" w:rsidRDefault="003E3BA9">
      <w:pPr>
        <w:numPr>
          <w:ilvl w:val="0"/>
          <w:numId w:val="22"/>
        </w:numPr>
        <w:spacing w:after="5" w:line="247" w:lineRule="auto"/>
        <w:ind w:right="244" w:hanging="184"/>
        <w:jc w:val="both"/>
      </w:pPr>
      <w:r>
        <w:rPr>
          <w:rFonts w:ascii="Arial" w:eastAsia="Arial" w:hAnsi="Arial" w:cs="Arial"/>
        </w:rPr>
        <w:t xml:space="preserve">2.- Subvenciones impuestas por una ley. </w:t>
      </w:r>
    </w:p>
    <w:p w:rsidR="00FF384B" w:rsidRDefault="003E3BA9">
      <w:pPr>
        <w:spacing w:after="5" w:line="247" w:lineRule="auto"/>
        <w:ind w:left="653" w:right="244" w:hanging="10"/>
        <w:jc w:val="both"/>
      </w:pPr>
      <w:r>
        <w:rPr>
          <w:rFonts w:ascii="Arial" w:eastAsia="Arial" w:hAnsi="Arial" w:cs="Arial"/>
        </w:rPr>
        <w:t xml:space="preserve">2.3- Subvenciones por razones sociales o humanitarias.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360"/>
        <w:jc w:val="both"/>
      </w:pPr>
      <w:r>
        <w:rPr>
          <w:rFonts w:ascii="Arial" w:eastAsia="Arial" w:hAnsi="Arial" w:cs="Arial"/>
        </w:rPr>
        <w:t>La ale</w:t>
      </w:r>
      <w:r>
        <w:rPr>
          <w:rFonts w:ascii="Arial" w:eastAsia="Arial" w:hAnsi="Arial" w:cs="Arial"/>
        </w:rPr>
        <w:t>gación va más dirigida a la aplicación de la ley, el reglamento y la propia ordenanza que en cuanto a la regulación de las clases de subvenciones por tanto es más una alegación frente a cada una de las subvenciones que se otorgan que en cuanto a la regulac</w:t>
      </w:r>
      <w:r>
        <w:rPr>
          <w:rFonts w:ascii="Arial" w:eastAsia="Arial" w:hAnsi="Arial" w:cs="Arial"/>
        </w:rPr>
        <w:t xml:space="preserve">ión de la misma que reproduce el esquema legal de subvenciones de concurrencia competitiva y subvenciones directas por tanto se desestima ya que dichas alegaciones o reclamaciones contra concretas subvenciones se deberían presentar, en su caso, con motivo </w:t>
      </w:r>
      <w:r>
        <w:rPr>
          <w:rFonts w:ascii="Arial" w:eastAsia="Arial" w:hAnsi="Arial" w:cs="Arial"/>
        </w:rPr>
        <w:t xml:space="preserve">de las subvencionen que se concedan y no como motivo de la regulación de la normativa de subvenciones que es lo que se hace en esta Ordenanza. </w:t>
      </w:r>
    </w:p>
    <w:p w:rsidR="00FF384B" w:rsidRDefault="003E3BA9">
      <w:pPr>
        <w:spacing w:after="0"/>
        <w:ind w:left="283"/>
      </w:pPr>
      <w:r>
        <w:rPr>
          <w:rFonts w:ascii="Arial" w:eastAsia="Arial" w:hAnsi="Arial" w:cs="Arial"/>
          <w:b/>
        </w:rPr>
        <w:t xml:space="preserve"> </w:t>
      </w:r>
    </w:p>
    <w:p w:rsidR="00FF384B" w:rsidRDefault="003E3BA9">
      <w:pPr>
        <w:spacing w:after="4" w:line="247" w:lineRule="auto"/>
        <w:ind w:left="278" w:right="244" w:hanging="10"/>
        <w:jc w:val="both"/>
      </w:pPr>
      <w:r>
        <w:rPr>
          <w:rFonts w:ascii="Arial" w:eastAsia="Arial" w:hAnsi="Arial" w:cs="Arial"/>
          <w:i/>
        </w:rPr>
        <w:t>Alegación 6 .- El Artículo 26. Subvenciones previstas nominativamente en el presupuesto general municipal debe</w:t>
      </w:r>
      <w:r>
        <w:rPr>
          <w:rFonts w:ascii="Arial" w:eastAsia="Arial" w:hAnsi="Arial" w:cs="Arial"/>
          <w:i/>
        </w:rPr>
        <w:t>ría recoger idéntico contenido al que se recoge en el Art. 27.5.: En el expediente se incluirán los siguientes documentos elaborados por el órgano competente para la gestión de las subvenciones: a) Una memoria justificativa con el siguiente contenido mínim</w:t>
      </w:r>
      <w:r>
        <w:rPr>
          <w:rFonts w:ascii="Arial" w:eastAsia="Arial" w:hAnsi="Arial" w:cs="Arial"/>
          <w:i/>
        </w:rPr>
        <w:t>o: Antecedentes. Objetivos. Compromisos que se adquieren. Razones que motivan la concesión de la subvención. Justificación detallada de las razones que acreditan el interés público, social, económico o humanitario. b) Una memoria económica en la que se det</w:t>
      </w:r>
      <w:r>
        <w:rPr>
          <w:rFonts w:ascii="Arial" w:eastAsia="Arial" w:hAnsi="Arial" w:cs="Arial"/>
          <w:i/>
        </w:rPr>
        <w:t>allen los efectos económicos y su forma de financiación, indicando el coste total de la actividad a subvencionar, el importe de la subvención y aplicación presupuestaria a la que se imputa el gasto, así como, en su caso, el carácter plurianual y distribuci</w:t>
      </w:r>
      <w:r>
        <w:rPr>
          <w:rFonts w:ascii="Arial" w:eastAsia="Arial" w:hAnsi="Arial" w:cs="Arial"/>
          <w:i/>
        </w:rPr>
        <w:t xml:space="preserve">ón temporal del mismo. </w:t>
      </w:r>
    </w:p>
    <w:p w:rsidR="00FF384B" w:rsidRDefault="003E3BA9">
      <w:pPr>
        <w:spacing w:after="0"/>
        <w:ind w:left="643"/>
      </w:pPr>
      <w:r>
        <w:rPr>
          <w:rFonts w:ascii="Arial" w:eastAsia="Arial" w:hAnsi="Arial" w:cs="Arial"/>
          <w:b/>
        </w:rPr>
        <w:t xml:space="preserve"> </w:t>
      </w:r>
    </w:p>
    <w:p w:rsidR="00FF384B" w:rsidRDefault="003E3BA9">
      <w:pPr>
        <w:spacing w:after="15" w:line="247" w:lineRule="auto"/>
        <w:ind w:left="646" w:hanging="3"/>
        <w:jc w:val="both"/>
      </w:pPr>
      <w:r>
        <w:rPr>
          <w:rFonts w:ascii="Arial" w:eastAsia="Arial" w:hAnsi="Arial" w:cs="Arial"/>
          <w:b/>
        </w:rPr>
        <w:t xml:space="preserve">Contestación: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rPr>
        <w:t xml:space="preserve">Se desestima porque la ley y el reglamento de subvenciones ya regulan el procedimiento de concesión de las mismas que se ve complementado por lo que dispone el artículo 26 de la Ordenanza y en dicho procedimiento </w:t>
      </w:r>
      <w:r>
        <w:rPr>
          <w:rFonts w:ascii="Arial" w:eastAsia="Arial" w:hAnsi="Arial" w:cs="Arial"/>
        </w:rPr>
        <w:t xml:space="preserve">debe contar con los informes preceptivos de Intervención y el jurídico del Área que son los encargados de dar viabilidad económica y jurídica a la Ordenanza.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Alegación 7.- Artículo 28. Información de las subvenciones concedidas de forma directa. </w:t>
      </w:r>
    </w:p>
    <w:p w:rsidR="00FF384B" w:rsidRDefault="003E3BA9">
      <w:pPr>
        <w:spacing w:after="4" w:line="247" w:lineRule="auto"/>
        <w:ind w:left="278" w:right="244" w:hanging="10"/>
        <w:jc w:val="both"/>
      </w:pPr>
      <w:r>
        <w:rPr>
          <w:rFonts w:ascii="Arial" w:eastAsia="Arial" w:hAnsi="Arial" w:cs="Arial"/>
          <w:i/>
        </w:rPr>
        <w:t xml:space="preserve">1. Las Concejalías delegadas… podrán remitir información, en su caso, sobre las subvenciones concedidas de forma directa. Consideramos que debe sustituirse por remitirán. </w:t>
      </w:r>
    </w:p>
    <w:p w:rsidR="00FF384B" w:rsidRDefault="003E3BA9">
      <w:pPr>
        <w:spacing w:after="0"/>
        <w:ind w:left="643"/>
      </w:pPr>
      <w:r>
        <w:rPr>
          <w:rFonts w:ascii="Arial" w:eastAsia="Arial" w:hAnsi="Arial" w:cs="Arial"/>
          <w:b/>
        </w:rPr>
        <w:t xml:space="preserve"> </w:t>
      </w:r>
    </w:p>
    <w:p w:rsidR="00FF384B" w:rsidRDefault="003E3BA9">
      <w:pPr>
        <w:spacing w:after="0"/>
        <w:ind w:left="643"/>
      </w:pPr>
      <w:r>
        <w:rPr>
          <w:noProof/>
        </w:rPr>
        <mc:AlternateContent>
          <mc:Choice Requires="wpg">
            <w:drawing>
              <wp:anchor distT="0" distB="0" distL="114300" distR="114300" simplePos="0" relativeHeight="2517135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3112" name="Group 44311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5935" name="Picture 15935"/>
                          <pic:cNvPicPr/>
                        </pic:nvPicPr>
                        <pic:blipFill>
                          <a:blip r:embed="rId62"/>
                          <a:stretch>
                            <a:fillRect/>
                          </a:stretch>
                        </pic:blipFill>
                        <pic:spPr>
                          <a:xfrm rot="-5399999">
                            <a:off x="-1720849" y="1720849"/>
                            <a:ext cx="3797300" cy="355601"/>
                          </a:xfrm>
                          <a:prstGeom prst="rect">
                            <a:avLst/>
                          </a:prstGeom>
                        </pic:spPr>
                      </pic:pic>
                      <wps:wsp>
                        <wps:cNvPr id="15936" name="Rectangle 1593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15937" name="Rectangle 1593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3112" style="width:41.2715pt;height:299pt;position:absolute;mso-position-horizontal-relative:page;mso-position-horizontal:absolute;margin-left:653.71pt;mso-position-vertical-relative:page;margin-top:512.92pt;" coordsize="5241,37973">
                <v:shape id="Picture 15935" style="position:absolute;width:37973;height:3556;left:-17208;top:17208;rotation:-89;" filled="f">
                  <v:imagedata r:id="rId63"/>
                </v:shape>
                <v:rect id="Rectangle 1593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593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353 </w:t>
                        </w:r>
                      </w:p>
                    </w:txbxContent>
                  </v:textbox>
                </v:rect>
                <w10:wrap type="square"/>
              </v:group>
            </w:pict>
          </mc:Fallback>
        </mc:AlternateContent>
      </w: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Contestación: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68" w:right="244" w:firstLine="708"/>
        <w:jc w:val="both"/>
      </w:pPr>
      <w:r>
        <w:rPr>
          <w:rFonts w:ascii="Arial" w:eastAsia="Arial" w:hAnsi="Arial" w:cs="Arial"/>
        </w:rPr>
        <w:t>En todos los plenos ordinarios que en este Ayuntamiento al tratarse de un municipio de más de 20.000 habitantes son una ve</w:t>
      </w:r>
      <w:r>
        <w:rPr>
          <w:rFonts w:ascii="Arial" w:eastAsia="Arial" w:hAnsi="Arial" w:cs="Arial"/>
        </w:rPr>
        <w:t>z al mes, hay un punto en la parte de control y fiscalización de los órganos de gobierno, denominado “Dación de Decretos de Alcaldía y de los concejales delegados” donde el Secretario entrega a todos los portavoces de los grupos y en el caso del grupo Mixt</w:t>
      </w:r>
      <w:r>
        <w:rPr>
          <w:rFonts w:ascii="Arial" w:eastAsia="Arial" w:hAnsi="Arial" w:cs="Arial"/>
        </w:rPr>
        <w:t xml:space="preserve">o además a cada una de las formaciones políticas, un CD con el contenido íntegro en formato </w:t>
      </w:r>
      <w:r>
        <w:rPr>
          <w:rFonts w:ascii="Arial" w:eastAsia="Arial" w:hAnsi="Arial" w:cs="Arial"/>
          <w:i/>
        </w:rPr>
        <w:t>pdf Acrobe Reader</w:t>
      </w:r>
      <w:r>
        <w:rPr>
          <w:rFonts w:ascii="Arial" w:eastAsia="Arial" w:hAnsi="Arial" w:cs="Arial"/>
        </w:rPr>
        <w:t>, de</w:t>
      </w:r>
      <w:r>
        <w:rPr>
          <w:rFonts w:ascii="Arial" w:eastAsia="Arial" w:hAnsi="Arial" w:cs="Arial"/>
          <w:i/>
        </w:rPr>
        <w:t xml:space="preserve"> </w:t>
      </w:r>
      <w:r>
        <w:rPr>
          <w:rFonts w:ascii="Arial" w:eastAsia="Arial" w:hAnsi="Arial" w:cs="Arial"/>
        </w:rPr>
        <w:t>todos los decretos dictados desde la última sesión ordinaria y por tanto todos los grupos y formaciones políticas tienen acceso íntegro a todo</w:t>
      </w:r>
      <w:r>
        <w:rPr>
          <w:rFonts w:ascii="Arial" w:eastAsia="Arial" w:hAnsi="Arial" w:cs="Arial"/>
        </w:rPr>
        <w:t>s los decretos de concesión de subvenciones tanto de la Alcaldía como de los concejales delegados, por lo que está es la vía procedimental para el acceso a la información municipal contenidas los Decretos que es una exigencia preceptiva que el Ayuntamiento</w:t>
      </w:r>
      <w:r>
        <w:rPr>
          <w:rFonts w:ascii="Arial" w:eastAsia="Arial" w:hAnsi="Arial" w:cs="Arial"/>
        </w:rPr>
        <w:t xml:space="preserve"> de Candelaria cumple mensualmente.  </w:t>
      </w:r>
    </w:p>
    <w:p w:rsidR="00FF384B" w:rsidRDefault="003E3BA9">
      <w:pPr>
        <w:spacing w:after="5" w:line="247" w:lineRule="auto"/>
        <w:ind w:left="268" w:right="244" w:firstLine="708"/>
        <w:jc w:val="both"/>
      </w:pPr>
      <w:r>
        <w:rPr>
          <w:rFonts w:ascii="Arial" w:eastAsia="Arial" w:hAnsi="Arial" w:cs="Arial"/>
        </w:rPr>
        <w:t>Se desestima porque ya la información se da en todos los Plenos ordinarios con la entrega del CD con todos los decretos entre los que se encuentran los de todas las subvenciones que se otorgan tanto por la Alcaldesa co</w:t>
      </w:r>
      <w:r>
        <w:rPr>
          <w:rFonts w:ascii="Arial" w:eastAsia="Arial" w:hAnsi="Arial" w:cs="Arial"/>
        </w:rPr>
        <w:t xml:space="preserve">mo por los Concejales delegados.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Alegación 8.- El artículo 37 referido a Subcontrataciones solo establece requisitos cuando la actividad concertada con terceros sobrepase el 20% del importe de la subvención y dicho importe sea superior a 60000 €. Ente</w:t>
      </w:r>
      <w:r>
        <w:rPr>
          <w:rFonts w:ascii="Arial" w:eastAsia="Arial" w:hAnsi="Arial" w:cs="Arial"/>
          <w:i/>
        </w:rPr>
        <w:t>ndemos que subvenciones mayores de 60.000€ tienen un carácter más que excepcional. Por ello creemos que los requisitos para la subcontratación deberían fijarse para importes mucho menores, al que recoge la Ordenanza proponemos que sea por valor no superior</w:t>
      </w:r>
      <w:r>
        <w:rPr>
          <w:rFonts w:ascii="Arial" w:eastAsia="Arial" w:hAnsi="Arial" w:cs="Arial"/>
          <w:i/>
        </w:rPr>
        <w:t xml:space="preserve"> a los 14.999€, límite actual de un contrato menor. Por encima de ese límite las subcontrataciones deberán justificarse con los requisitos establecidos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 xml:space="preserve">Me remito a lo manifestado por el Interventor en su informe al tratarse de un asunto puramente económico. </w:t>
      </w:r>
    </w:p>
    <w:p w:rsidR="00FF384B" w:rsidRDefault="003E3BA9">
      <w:pPr>
        <w:spacing w:after="0"/>
        <w:ind w:left="643"/>
      </w:pP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Alegación 9.- El artículo 41 establece el plazo de pago de dos meses solo para las subvenciones directas por razones humanitarias. Debería establ</w:t>
      </w:r>
      <w:r>
        <w:rPr>
          <w:rFonts w:ascii="Arial" w:eastAsia="Arial" w:hAnsi="Arial" w:cs="Arial"/>
          <w:i/>
        </w:rPr>
        <w:t xml:space="preserve">ecerse un plazo de pago también para el resto de subvenciones </w:t>
      </w:r>
    </w:p>
    <w:p w:rsidR="00FF384B" w:rsidRDefault="003E3BA9">
      <w:pPr>
        <w:spacing w:after="0"/>
        <w:ind w:left="643"/>
      </w:pPr>
      <w:r>
        <w:rPr>
          <w:rFonts w:ascii="Arial" w:eastAsia="Arial" w:hAnsi="Arial" w:cs="Arial"/>
          <w:b/>
          <w:i/>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Efectivamente como dice el Interventor aquí se establece un plazo muy corto ya que este tipo de subvenciones requieren de urgencia en el pago precisamente por la naturaleza de l</w:t>
      </w:r>
      <w:r>
        <w:rPr>
          <w:rFonts w:ascii="Arial" w:eastAsia="Arial" w:hAnsi="Arial" w:cs="Arial"/>
        </w:rPr>
        <w:t xml:space="preserve">as mismas.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Alegación 10 .- El Artículo 53.1 tiene una redacción compleja pero, además, habla de la actividad lo que nos lleva a mayor confusión ¿y si es un proyecto que incluye varias actividades? ¿Y si es un estudio o una investigación?. Debería reda</w:t>
      </w:r>
      <w:r>
        <w:rPr>
          <w:rFonts w:ascii="Arial" w:eastAsia="Arial" w:hAnsi="Arial" w:cs="Arial"/>
          <w:i/>
        </w:rPr>
        <w:t xml:space="preserve">ctarse con más claridad este artículo. </w:t>
      </w:r>
    </w:p>
    <w:p w:rsidR="00FF384B" w:rsidRDefault="003E3BA9">
      <w:pPr>
        <w:spacing w:after="0"/>
        <w:ind w:left="643"/>
      </w:pPr>
      <w:r>
        <w:rPr>
          <w:rFonts w:ascii="Arial" w:eastAsia="Arial" w:hAnsi="Arial" w:cs="Arial"/>
          <w:b/>
          <w:i/>
        </w:rPr>
        <w:t xml:space="preserve"> </w:t>
      </w:r>
    </w:p>
    <w:p w:rsidR="00FF384B" w:rsidRDefault="003E3BA9">
      <w:pPr>
        <w:spacing w:after="5" w:line="247" w:lineRule="auto"/>
        <w:ind w:left="268" w:right="244" w:firstLine="360"/>
        <w:jc w:val="both"/>
      </w:pPr>
      <w:r>
        <w:rPr>
          <w:rFonts w:ascii="Arial" w:eastAsia="Arial" w:hAnsi="Arial" w:cs="Arial"/>
          <w:b/>
        </w:rPr>
        <w:t>Contestación:</w:t>
      </w:r>
      <w:r>
        <w:rPr>
          <w:rFonts w:ascii="Arial" w:eastAsia="Arial" w:hAnsi="Arial" w:cs="Arial"/>
        </w:rPr>
        <w:t xml:space="preserve"> Efectivamente como dice el Interventor, que usar el término de actividad, engloba los demás términos. </w:t>
      </w:r>
    </w:p>
    <w:p w:rsidR="00FF384B" w:rsidRDefault="003E3BA9">
      <w:pPr>
        <w:spacing w:after="0"/>
        <w:ind w:left="283"/>
      </w:pPr>
      <w:r>
        <w:rPr>
          <w:noProof/>
        </w:rPr>
        <mc:AlternateContent>
          <mc:Choice Requires="wpg">
            <w:drawing>
              <wp:anchor distT="0" distB="0" distL="114300" distR="114300" simplePos="0" relativeHeight="2517145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1781" name="Group 44178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043" name="Picture 16043"/>
                          <pic:cNvPicPr/>
                        </pic:nvPicPr>
                        <pic:blipFill>
                          <a:blip r:embed="rId62"/>
                          <a:stretch>
                            <a:fillRect/>
                          </a:stretch>
                        </pic:blipFill>
                        <pic:spPr>
                          <a:xfrm rot="-5399999">
                            <a:off x="-1720849" y="1720849"/>
                            <a:ext cx="3797300" cy="355601"/>
                          </a:xfrm>
                          <a:prstGeom prst="rect">
                            <a:avLst/>
                          </a:prstGeom>
                        </pic:spPr>
                      </pic:pic>
                      <wps:wsp>
                        <wps:cNvPr id="16044" name="Rectangle 1604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16045" name="Rectangle 1604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1781" style="width:41.2715pt;height:299pt;position:absolute;mso-position-horizontal-relative:page;mso-position-horizontal:absolute;margin-left:653.71pt;mso-position-vertical-relative:page;margin-top:512.92pt;" coordsize="5241,37973">
                <v:shape id="Picture 16043" style="position:absolute;width:37973;height:3556;left:-17208;top:17208;rotation:-89;" filled="f">
                  <v:imagedata r:id="rId63"/>
                </v:shape>
                <v:rect id="Rectangle 1604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04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353 </w:t>
                        </w:r>
                      </w:p>
                    </w:txbxContent>
                  </v:textbox>
                </v:rect>
                <w10:wrap type="square"/>
              </v:group>
            </w:pict>
          </mc:Fallback>
        </mc:AlternateContent>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tabs>
          <w:tab w:val="center" w:pos="766"/>
          <w:tab w:val="center" w:pos="1696"/>
          <w:tab w:val="center" w:pos="2278"/>
          <w:tab w:val="center" w:pos="3063"/>
          <w:tab w:val="center" w:pos="4306"/>
          <w:tab w:val="center" w:pos="6007"/>
          <w:tab w:val="center" w:pos="7196"/>
          <w:tab w:val="center" w:pos="8157"/>
        </w:tabs>
        <w:spacing w:after="4" w:line="247" w:lineRule="auto"/>
      </w:pPr>
      <w:r>
        <w:tab/>
      </w:r>
      <w:r>
        <w:rPr>
          <w:rFonts w:ascii="Arial" w:eastAsia="Arial" w:hAnsi="Arial" w:cs="Arial"/>
          <w:i/>
        </w:rPr>
        <w:t xml:space="preserve">Alegación </w:t>
      </w:r>
      <w:r>
        <w:rPr>
          <w:rFonts w:ascii="Arial" w:eastAsia="Arial" w:hAnsi="Arial" w:cs="Arial"/>
          <w:i/>
        </w:rPr>
        <w:tab/>
        <w:t xml:space="preserve">11.- </w:t>
      </w:r>
      <w:r>
        <w:rPr>
          <w:rFonts w:ascii="Arial" w:eastAsia="Arial" w:hAnsi="Arial" w:cs="Arial"/>
          <w:i/>
        </w:rPr>
        <w:tab/>
        <w:t xml:space="preserve">EL </w:t>
      </w:r>
      <w:r>
        <w:rPr>
          <w:rFonts w:ascii="Arial" w:eastAsia="Arial" w:hAnsi="Arial" w:cs="Arial"/>
          <w:i/>
        </w:rPr>
        <w:tab/>
        <w:t xml:space="preserve">TÍTULO </w:t>
      </w:r>
      <w:r>
        <w:rPr>
          <w:rFonts w:ascii="Arial" w:eastAsia="Arial" w:hAnsi="Arial" w:cs="Arial"/>
          <w:i/>
        </w:rPr>
        <w:tab/>
        <w:t xml:space="preserve">SEGUNDO. </w:t>
      </w:r>
      <w:r>
        <w:rPr>
          <w:rFonts w:ascii="Arial" w:eastAsia="Arial" w:hAnsi="Arial" w:cs="Arial"/>
          <w:i/>
        </w:rPr>
        <w:tab/>
        <w:t xml:space="preserve">BENEFICIARIOS </w:t>
      </w:r>
      <w:r>
        <w:rPr>
          <w:rFonts w:ascii="Arial" w:eastAsia="Arial" w:hAnsi="Arial" w:cs="Arial"/>
          <w:i/>
        </w:rPr>
        <w:tab/>
        <w:t xml:space="preserve">Y </w:t>
      </w:r>
      <w:r>
        <w:rPr>
          <w:rFonts w:ascii="Arial" w:eastAsia="Arial" w:hAnsi="Arial" w:cs="Arial"/>
          <w:i/>
        </w:rPr>
        <w:tab/>
        <w:t xml:space="preserve">ENTIDADES </w:t>
      </w:r>
    </w:p>
    <w:p w:rsidR="00FF384B" w:rsidRDefault="003E3BA9">
      <w:pPr>
        <w:spacing w:after="4" w:line="247" w:lineRule="auto"/>
        <w:ind w:left="278" w:right="244" w:hanging="10"/>
        <w:jc w:val="both"/>
      </w:pPr>
      <w:r>
        <w:rPr>
          <w:rFonts w:ascii="Arial" w:eastAsia="Arial" w:hAnsi="Arial" w:cs="Arial"/>
          <w:i/>
        </w:rPr>
        <w:t>COLABORADORAS. CAPÍTULO I. De los beneficiarios. Requisitos y obligaciones. Entidades colaboradoras. Artículo 8. Beneficiarios. Punto 3: Cuando se prevea expresamente en las convocatorias, podrán acceder a la condición de beneficiario las agrupaciones de p</w:t>
      </w:r>
      <w:r>
        <w:rPr>
          <w:rFonts w:ascii="Arial" w:eastAsia="Arial" w:hAnsi="Arial" w:cs="Arial"/>
          <w:i/>
        </w:rPr>
        <w:t>ersonas físicas o jurídicas, 4/4 públicas o privadas, las comunidades de bienes o cualquier otro tipo de unidad económica o patrimonio separado que, aún careciendo de personalidad jurídica … sustituir puedan llevar por que lleven a cabo los proyectos, acti</w:t>
      </w:r>
      <w:r>
        <w:rPr>
          <w:rFonts w:ascii="Arial" w:eastAsia="Arial" w:hAnsi="Arial" w:cs="Arial"/>
          <w:i/>
        </w:rPr>
        <w:t xml:space="preserve">vidades o comportamientos o se encuentren en la situación que motiva la concesión de la subvención.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0"/>
        <w:ind w:left="643"/>
      </w:pPr>
      <w:r>
        <w:rPr>
          <w:rFonts w:ascii="Arial" w:eastAsia="Arial" w:hAnsi="Arial" w:cs="Arial"/>
          <w:b/>
        </w:rPr>
        <w:t xml:space="preserve"> </w:t>
      </w:r>
    </w:p>
    <w:p w:rsidR="00FF384B" w:rsidRDefault="003E3BA9">
      <w:pPr>
        <w:spacing w:after="30" w:line="247" w:lineRule="auto"/>
        <w:ind w:left="653" w:right="244" w:hanging="10"/>
        <w:jc w:val="both"/>
      </w:pPr>
      <w:r>
        <w:rPr>
          <w:rFonts w:ascii="Arial" w:eastAsia="Arial" w:hAnsi="Arial" w:cs="Arial"/>
          <w:b/>
        </w:rPr>
        <w:t xml:space="preserve">Contestación: </w:t>
      </w:r>
      <w:r>
        <w:rPr>
          <w:rFonts w:ascii="Arial" w:eastAsia="Arial" w:hAnsi="Arial" w:cs="Arial"/>
        </w:rPr>
        <w:t xml:space="preserve">Efectivamente como dice el Interventor se recoge la expresión </w:t>
      </w:r>
    </w:p>
    <w:p w:rsidR="00FF384B" w:rsidRDefault="003E3BA9">
      <w:pPr>
        <w:spacing w:after="5" w:line="247" w:lineRule="auto"/>
        <w:ind w:left="278" w:right="244" w:hanging="10"/>
        <w:jc w:val="both"/>
      </w:pPr>
      <w:r>
        <w:rPr>
          <w:rFonts w:ascii="Arial" w:eastAsia="Arial" w:hAnsi="Arial" w:cs="Arial"/>
        </w:rPr>
        <w:t xml:space="preserve">“pueda llevar” en el artículo 11.3 de la Ley General de Subvenciones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Alegación 12.- En el Artículo 15.1 de Procedimientos de concesión describe: El procedimiento ordinario de concesión de subvenciones se tramitará en régimen de concurrencia competitiva. ……. La Valoración de los proyectos deberá ser realizada por cada Conc</w:t>
      </w:r>
      <w:r>
        <w:rPr>
          <w:rFonts w:ascii="Arial" w:eastAsia="Arial" w:hAnsi="Arial" w:cs="Arial"/>
          <w:i/>
        </w:rPr>
        <w:t xml:space="preserve">ejalía, que elevará su propuesta al órgano concedente a través del instructor. ¿Se refiere sólo a proyectos o también a actividades, investigaciones, etc, etc?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Efectivamente como dice el Interventor se usa de forma indistinta, en la Orden</w:t>
      </w:r>
      <w:r>
        <w:rPr>
          <w:rFonts w:ascii="Arial" w:eastAsia="Arial" w:hAnsi="Arial" w:cs="Arial"/>
        </w:rPr>
        <w:t xml:space="preserve">anza, los conceptos de actividad, acción, proyecto o actuación, tal como se establece en la Ley, por tanto, se desestima.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Alegación 13.- CAPÍTULO III. De régimen y procedimiento simplificado de concesión de subvenciones en concurrencia competitiva. Ar</w:t>
      </w:r>
      <w:r>
        <w:rPr>
          <w:rFonts w:ascii="Arial" w:eastAsia="Arial" w:hAnsi="Arial" w:cs="Arial"/>
          <w:i/>
        </w:rPr>
        <w:t xml:space="preserve">tículo 25. Aspectos específicos del procedimiento simplificado, F) La resolución provisional, que tendrá carácter definitivo, en el caso de no presentar reclamaciones en el plazo de 10 días. Se debería concretar que son los días hábiles. </w:t>
      </w:r>
    </w:p>
    <w:p w:rsidR="00FF384B" w:rsidRDefault="003E3BA9">
      <w:pPr>
        <w:spacing w:after="0"/>
        <w:ind w:left="643"/>
      </w:pPr>
      <w:r>
        <w:rPr>
          <w:rFonts w:ascii="Arial" w:eastAsia="Arial" w:hAnsi="Arial" w:cs="Arial"/>
          <w:b/>
        </w:rPr>
        <w:t xml:space="preserve"> </w:t>
      </w:r>
    </w:p>
    <w:p w:rsidR="00FF384B" w:rsidRDefault="003E3BA9">
      <w:pPr>
        <w:spacing w:after="5" w:line="247" w:lineRule="auto"/>
        <w:ind w:left="268" w:right="244" w:firstLine="360"/>
        <w:jc w:val="both"/>
      </w:pPr>
      <w:r>
        <w:rPr>
          <w:rFonts w:ascii="Arial" w:eastAsia="Arial" w:hAnsi="Arial" w:cs="Arial"/>
          <w:b/>
        </w:rPr>
        <w:t xml:space="preserve">Contestación: </w:t>
      </w:r>
      <w:r>
        <w:rPr>
          <w:rFonts w:ascii="Arial" w:eastAsia="Arial" w:hAnsi="Arial" w:cs="Arial"/>
        </w:rPr>
        <w:t>Efectivamente como dice el Interventor es regla general en el Derecho Administrativo Español que cuando los plazos se señalan por días y no se especifica si son hábiles o naturales, siempre se entiende que son hábiles por tanto no es necesario su concreció</w:t>
      </w:r>
      <w:r>
        <w:rPr>
          <w:rFonts w:ascii="Arial" w:eastAsia="Arial" w:hAnsi="Arial" w:cs="Arial"/>
        </w:rPr>
        <w:t xml:space="preserve">n por lo que desestima. </w:t>
      </w:r>
    </w:p>
    <w:p w:rsidR="00FF384B" w:rsidRDefault="003E3BA9">
      <w:pPr>
        <w:spacing w:after="5" w:line="247" w:lineRule="auto"/>
        <w:ind w:left="653" w:right="244" w:hanging="10"/>
        <w:jc w:val="both"/>
      </w:pPr>
      <w:r>
        <w:rPr>
          <w:rFonts w:ascii="Arial" w:eastAsia="Arial" w:hAnsi="Arial" w:cs="Arial"/>
        </w:rPr>
        <w:t xml:space="preserve">30.2 de la ley 39/2015, de 1 de octubre. </w:t>
      </w:r>
    </w:p>
    <w:p w:rsidR="00FF384B" w:rsidRDefault="003E3BA9">
      <w:pPr>
        <w:spacing w:after="4" w:line="247" w:lineRule="auto"/>
        <w:ind w:left="268" w:right="244" w:firstLine="360"/>
        <w:jc w:val="both"/>
      </w:pPr>
      <w:r>
        <w:rPr>
          <w:rFonts w:ascii="Arial" w:eastAsia="Arial" w:hAnsi="Arial" w:cs="Arial"/>
          <w:i/>
        </w:rPr>
        <w:t xml:space="preserve">Siempre que por Ley o en el Derecho de la Unión Europea no se exprese otro cómputo, cuando los plazos se señalen por días, se entiende que éstos son hábiles, excluyéndose del cómputo los sábados, los domingos y los declarados festivos </w:t>
      </w:r>
    </w:p>
    <w:p w:rsidR="00FF384B" w:rsidRDefault="003E3BA9">
      <w:pPr>
        <w:spacing w:after="0"/>
        <w:ind w:left="643"/>
      </w:pPr>
      <w:r>
        <w:rPr>
          <w:rFonts w:ascii="Arial" w:eastAsia="Arial" w:hAnsi="Arial" w:cs="Arial"/>
          <w:i/>
        </w:rPr>
        <w:t xml:space="preserve"> </w:t>
      </w:r>
    </w:p>
    <w:p w:rsidR="00FF384B" w:rsidRDefault="003E3BA9">
      <w:pPr>
        <w:spacing w:after="0"/>
        <w:ind w:left="87"/>
        <w:jc w:val="center"/>
      </w:pPr>
      <w:r>
        <w:rPr>
          <w:rFonts w:ascii="Arial" w:eastAsia="Arial" w:hAnsi="Arial" w:cs="Arial"/>
          <w:b/>
        </w:rPr>
        <w:t xml:space="preserve"> </w:t>
      </w:r>
    </w:p>
    <w:p w:rsidR="00FF384B" w:rsidRDefault="003E3BA9">
      <w:pPr>
        <w:spacing w:after="15" w:line="247" w:lineRule="auto"/>
        <w:ind w:left="2413" w:hanging="3"/>
        <w:jc w:val="both"/>
      </w:pPr>
      <w:r>
        <w:rPr>
          <w:rFonts w:ascii="Arial" w:eastAsia="Arial" w:hAnsi="Arial" w:cs="Arial"/>
          <w:b/>
        </w:rPr>
        <w:t xml:space="preserve">      PROPUESTA </w:t>
      </w:r>
      <w:r>
        <w:rPr>
          <w:rFonts w:ascii="Arial" w:eastAsia="Arial" w:hAnsi="Arial" w:cs="Arial"/>
          <w:b/>
        </w:rPr>
        <w:t>DE ACUERDO</w:t>
      </w:r>
      <w:r>
        <w:rPr>
          <w:rFonts w:ascii="Arial" w:eastAsia="Arial" w:hAnsi="Arial" w:cs="Arial"/>
        </w:rPr>
        <w:t xml:space="preserve"> </w:t>
      </w:r>
    </w:p>
    <w:p w:rsidR="00FF384B" w:rsidRDefault="003E3BA9">
      <w:pPr>
        <w:spacing w:after="0"/>
        <w:ind w:left="87"/>
        <w:jc w:val="center"/>
      </w:pPr>
      <w:r>
        <w:rPr>
          <w:rFonts w:ascii="Arial" w:eastAsia="Arial" w:hAnsi="Arial" w:cs="Arial"/>
        </w:rPr>
        <w:t xml:space="preserve"> </w:t>
      </w:r>
    </w:p>
    <w:p w:rsidR="00FF384B" w:rsidRDefault="003E3BA9">
      <w:pPr>
        <w:spacing w:after="15" w:line="247" w:lineRule="auto"/>
        <w:ind w:left="283" w:right="254" w:firstLine="708"/>
        <w:jc w:val="both"/>
      </w:pPr>
      <w:r>
        <w:rPr>
          <w:noProof/>
        </w:rPr>
        <mc:AlternateContent>
          <mc:Choice Requires="wpg">
            <w:drawing>
              <wp:anchor distT="0" distB="0" distL="114300" distR="114300" simplePos="0" relativeHeight="2517155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2016" name="Group 44201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165" name="Picture 16165"/>
                          <pic:cNvPicPr/>
                        </pic:nvPicPr>
                        <pic:blipFill>
                          <a:blip r:embed="rId62"/>
                          <a:stretch>
                            <a:fillRect/>
                          </a:stretch>
                        </pic:blipFill>
                        <pic:spPr>
                          <a:xfrm rot="-5399999">
                            <a:off x="-1720849" y="1720849"/>
                            <a:ext cx="3797300" cy="355601"/>
                          </a:xfrm>
                          <a:prstGeom prst="rect">
                            <a:avLst/>
                          </a:prstGeom>
                        </pic:spPr>
                      </pic:pic>
                      <wps:wsp>
                        <wps:cNvPr id="16166" name="Rectangle 1616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167" name="Rectangle 1616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2016" style="width:41.2715pt;height:299pt;position:absolute;mso-position-horizontal-relative:page;mso-position-horizontal:absolute;margin-left:653.71pt;mso-position-vertical-relative:page;margin-top:512.92pt;" coordsize="5241,37973">
                <v:shape id="Picture 16165" style="position:absolute;width:37973;height:3556;left:-17208;top:17208;rotation:-89;" filled="f">
                  <v:imagedata r:id="rId63"/>
                </v:shape>
                <v:rect id="Rectangle 1616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16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353 </w:t>
                        </w:r>
                      </w:p>
                    </w:txbxContent>
                  </v:textbox>
                </v:rect>
                <w10:wrap type="square"/>
              </v:group>
            </w:pict>
          </mc:Fallback>
        </mc:AlternateContent>
      </w:r>
      <w:r>
        <w:rPr>
          <w:rFonts w:ascii="Arial" w:eastAsia="Arial" w:hAnsi="Arial" w:cs="Arial"/>
          <w:b/>
        </w:rPr>
        <w:t>PRIMERO. - Desestimar las alegaciones present</w:t>
      </w:r>
      <w:r>
        <w:rPr>
          <w:rFonts w:ascii="Arial" w:eastAsia="Arial" w:hAnsi="Arial" w:cs="Arial"/>
          <w:b/>
        </w:rPr>
        <w:t xml:space="preserve">adas por el Grupo Mixto contra la Ordenanza General Municipal de Subvenciones según los informes emitidos por el Interventor de fecha 17 de febrero de 2021 y en el presente informe de Secretaría General de fecha 21 de abril de 2021. </w:t>
      </w:r>
    </w:p>
    <w:p w:rsidR="00FF384B" w:rsidRDefault="003E3BA9">
      <w:pPr>
        <w:spacing w:after="6"/>
        <w:ind w:left="991"/>
      </w:pPr>
      <w:r>
        <w:rPr>
          <w:rFonts w:ascii="Arial" w:eastAsia="Arial" w:hAnsi="Arial" w:cs="Arial"/>
          <w:b/>
        </w:rPr>
        <w:t xml:space="preserve"> </w:t>
      </w:r>
    </w:p>
    <w:p w:rsidR="00FF384B" w:rsidRDefault="003E3BA9">
      <w:pPr>
        <w:spacing w:after="15" w:line="247" w:lineRule="auto"/>
        <w:ind w:left="283" w:right="256" w:firstLine="708"/>
        <w:jc w:val="both"/>
      </w:pPr>
      <w:r>
        <w:rPr>
          <w:rFonts w:ascii="Arial" w:eastAsia="Arial" w:hAnsi="Arial" w:cs="Arial"/>
          <w:b/>
        </w:rPr>
        <w:t xml:space="preserve">SEGUNDO. -  </w:t>
      </w:r>
      <w:r>
        <w:rPr>
          <w:rFonts w:ascii="Arial" w:eastAsia="Arial" w:hAnsi="Arial" w:cs="Arial"/>
          <w:b/>
        </w:rPr>
        <w:t xml:space="preserve">La aprobación definitiva de la “Ordenanza General Municipal y Bases Reguladoras de Subvenciones del Ayuntamiento de Candelaria” cuyo tenor literal se inserta a continuación: </w:t>
      </w:r>
    </w:p>
    <w:p w:rsidR="00FF384B" w:rsidRDefault="003E3BA9">
      <w:pPr>
        <w:spacing w:after="0"/>
        <w:ind w:left="991"/>
      </w:pPr>
      <w:r>
        <w:rPr>
          <w:rFonts w:ascii="Arial" w:eastAsia="Arial" w:hAnsi="Arial" w:cs="Arial"/>
        </w:rPr>
        <w:t xml:space="preserve"> </w:t>
      </w:r>
    </w:p>
    <w:p w:rsidR="00FF384B" w:rsidRDefault="003E3BA9">
      <w:pPr>
        <w:tabs>
          <w:tab w:val="center" w:pos="1041"/>
          <w:tab w:val="center" w:pos="2626"/>
          <w:tab w:val="center" w:pos="4060"/>
          <w:tab w:val="center" w:pos="5032"/>
          <w:tab w:val="center" w:pos="5778"/>
          <w:tab w:val="center" w:pos="7317"/>
          <w:tab w:val="center" w:pos="8631"/>
        </w:tabs>
        <w:spacing w:after="13" w:line="247" w:lineRule="auto"/>
      </w:pPr>
      <w:r>
        <w:tab/>
      </w:r>
      <w:r>
        <w:rPr>
          <w:rFonts w:ascii="Arial" w:eastAsia="Arial" w:hAnsi="Arial" w:cs="Arial"/>
          <w:b/>
          <w:i/>
        </w:rPr>
        <w:t xml:space="preserve">“ORDENANZA </w:t>
      </w:r>
      <w:r>
        <w:rPr>
          <w:rFonts w:ascii="Arial" w:eastAsia="Arial" w:hAnsi="Arial" w:cs="Arial"/>
          <w:b/>
          <w:i/>
        </w:rPr>
        <w:tab/>
        <w:t xml:space="preserve">GENERAL </w:t>
      </w:r>
      <w:r>
        <w:rPr>
          <w:rFonts w:ascii="Arial" w:eastAsia="Arial" w:hAnsi="Arial" w:cs="Arial"/>
          <w:b/>
          <w:i/>
        </w:rPr>
        <w:tab/>
        <w:t xml:space="preserve">MUNICIPAL </w:t>
      </w:r>
      <w:r>
        <w:rPr>
          <w:rFonts w:ascii="Arial" w:eastAsia="Arial" w:hAnsi="Arial" w:cs="Arial"/>
          <w:b/>
          <w:i/>
        </w:rPr>
        <w:tab/>
        <w:t xml:space="preserve">Y </w:t>
      </w:r>
      <w:r>
        <w:rPr>
          <w:rFonts w:ascii="Arial" w:eastAsia="Arial" w:hAnsi="Arial" w:cs="Arial"/>
          <w:b/>
          <w:i/>
        </w:rPr>
        <w:tab/>
        <w:t xml:space="preserve">BASES </w:t>
      </w:r>
      <w:r>
        <w:rPr>
          <w:rFonts w:ascii="Arial" w:eastAsia="Arial" w:hAnsi="Arial" w:cs="Arial"/>
          <w:b/>
          <w:i/>
        </w:rPr>
        <w:tab/>
        <w:t xml:space="preserve">REGULADORAS </w:t>
      </w:r>
      <w:r>
        <w:rPr>
          <w:rFonts w:ascii="Arial" w:eastAsia="Arial" w:hAnsi="Arial" w:cs="Arial"/>
          <w:b/>
          <w:i/>
        </w:rPr>
        <w:tab/>
        <w:t xml:space="preserve">DE </w:t>
      </w:r>
    </w:p>
    <w:p w:rsidR="00FF384B" w:rsidRDefault="003E3BA9">
      <w:pPr>
        <w:spacing w:after="286" w:line="247" w:lineRule="auto"/>
        <w:ind w:left="268" w:right="239"/>
        <w:jc w:val="both"/>
      </w:pPr>
      <w:r>
        <w:rPr>
          <w:rFonts w:ascii="Arial" w:eastAsia="Arial" w:hAnsi="Arial" w:cs="Arial"/>
          <w:b/>
          <w:i/>
        </w:rPr>
        <w:t>SUBVENCIONES DEL AY</w:t>
      </w:r>
      <w:r>
        <w:rPr>
          <w:rFonts w:ascii="Arial" w:eastAsia="Arial" w:hAnsi="Arial" w:cs="Arial"/>
          <w:b/>
          <w:i/>
        </w:rPr>
        <w:t xml:space="preserve">UNTAMIENTO DE CANDELARIA </w:t>
      </w:r>
    </w:p>
    <w:p w:rsidR="00FF384B" w:rsidRDefault="003E3BA9">
      <w:pPr>
        <w:spacing w:after="140" w:line="249" w:lineRule="auto"/>
        <w:ind w:left="278" w:right="240" w:hanging="10"/>
        <w:jc w:val="both"/>
      </w:pPr>
      <w:r>
        <w:rPr>
          <w:rFonts w:ascii="Arial" w:eastAsia="Arial" w:hAnsi="Arial" w:cs="Arial"/>
          <w:b/>
          <w:i/>
          <w:color w:val="202020"/>
        </w:rPr>
        <w:t xml:space="preserve">EXPOSICIÓN DE MOTIVOS </w:t>
      </w:r>
    </w:p>
    <w:p w:rsidR="00FF384B" w:rsidRDefault="003E3BA9">
      <w:pPr>
        <w:spacing w:after="143" w:line="248" w:lineRule="auto"/>
        <w:ind w:left="268" w:right="244" w:firstLine="708"/>
        <w:jc w:val="both"/>
      </w:pPr>
      <w:r>
        <w:rPr>
          <w:rFonts w:ascii="Arial" w:eastAsia="Arial" w:hAnsi="Arial" w:cs="Arial"/>
          <w:i/>
          <w:color w:val="202020"/>
        </w:rPr>
        <w:t>Una parte importante de la actividad económica del sector público y de su labor de fomento y promoción se canaliza a través de subvenciones, con el objeto de dar respuesta, con medidas de apoyo financiero, a</w:t>
      </w:r>
      <w:r>
        <w:rPr>
          <w:rFonts w:ascii="Arial" w:eastAsia="Arial" w:hAnsi="Arial" w:cs="Arial"/>
          <w:i/>
          <w:color w:val="202020"/>
        </w:rPr>
        <w:t xml:space="preserve"> demandas sociales y económicas de personas y entidades públicas o privadas. De forma que, de manera regular y con una tendencia casi siempre al alza, las Administraciones Públicas -y entre ellas no ha sido una excepción el Ayuntamiento de Candelaria-, vie</w:t>
      </w:r>
      <w:r>
        <w:rPr>
          <w:rFonts w:ascii="Arial" w:eastAsia="Arial" w:hAnsi="Arial" w:cs="Arial"/>
          <w:i/>
          <w:color w:val="202020"/>
        </w:rPr>
        <w:t>nen destinando importantes recursos a la acción de fomento, entendida en algunos casos como una manifestación del Estado del bienestar, a través de ayudas de carácter asistencial o como expresión de la solidaridad entre la ciudadanía, en otros como promoci</w:t>
      </w:r>
      <w:r>
        <w:rPr>
          <w:rFonts w:ascii="Arial" w:eastAsia="Arial" w:hAnsi="Arial" w:cs="Arial"/>
          <w:i/>
          <w:color w:val="202020"/>
        </w:rPr>
        <w:t xml:space="preserve">ón de determinadas actividades privadas a las que se atribuye un interés público, y finalmente como forma de favorecer la participación ciudadana, una exigencia del Estado social y democrático de derecho. </w:t>
      </w:r>
    </w:p>
    <w:p w:rsidR="00FF384B" w:rsidRDefault="003E3BA9">
      <w:pPr>
        <w:spacing w:after="143" w:line="248" w:lineRule="auto"/>
        <w:ind w:left="268" w:right="244" w:firstLine="708"/>
        <w:jc w:val="both"/>
      </w:pPr>
      <w:r>
        <w:rPr>
          <w:rFonts w:ascii="Arial" w:eastAsia="Arial" w:hAnsi="Arial" w:cs="Arial"/>
          <w:i/>
          <w:color w:val="202020"/>
        </w:rPr>
        <w:t>Los beneficiarios de esta acción pública, que en s</w:t>
      </w:r>
      <w:r>
        <w:rPr>
          <w:rFonts w:ascii="Arial" w:eastAsia="Arial" w:hAnsi="Arial" w:cs="Arial"/>
          <w:i/>
          <w:color w:val="202020"/>
        </w:rPr>
        <w:t>u modalidad más conocida se manifiesta a través de la técnica de la subvención, pueden ser personas individuales o, más frecuentemente, grupos organizados en asociaciones, colectivos, entidades sin ánimo de lucro, organizaciones no gubernamentales, fundaci</w:t>
      </w:r>
      <w:r>
        <w:rPr>
          <w:rFonts w:ascii="Arial" w:eastAsia="Arial" w:hAnsi="Arial" w:cs="Arial"/>
          <w:i/>
          <w:color w:val="202020"/>
        </w:rPr>
        <w:t>ones o incluso empresas. Los ámbitos de actuación son muy diversos y van desde la acción social al deporte, desde la educación y la cultura, del medio ambiente, además de actividades puntuales que los poderes públicos consideran conveniente promover en des</w:t>
      </w:r>
      <w:r>
        <w:rPr>
          <w:rFonts w:ascii="Arial" w:eastAsia="Arial" w:hAnsi="Arial" w:cs="Arial"/>
          <w:i/>
          <w:color w:val="202020"/>
        </w:rPr>
        <w:t xml:space="preserve">arrollo de políticas generales o sectoriales concretas. </w:t>
      </w:r>
    </w:p>
    <w:p w:rsidR="00FF384B" w:rsidRDefault="003E3BA9">
      <w:pPr>
        <w:spacing w:after="143" w:line="248" w:lineRule="auto"/>
        <w:ind w:left="268" w:right="244" w:firstLine="708"/>
        <w:jc w:val="both"/>
      </w:pPr>
      <w:r>
        <w:rPr>
          <w:rFonts w:ascii="Arial" w:eastAsia="Arial" w:hAnsi="Arial" w:cs="Arial"/>
          <w:i/>
          <w:color w:val="202020"/>
        </w:rPr>
        <w:t xml:space="preserve">Para regular esta situación, adaptada a la ley general de subvenciones, se elabora la presente Ordenanza General Municipal de Subvenciones, que se ampara, entre otras, en la siguiente normativa: </w:t>
      </w:r>
    </w:p>
    <w:p w:rsidR="00FF384B" w:rsidRDefault="003E3BA9">
      <w:pPr>
        <w:numPr>
          <w:ilvl w:val="0"/>
          <w:numId w:val="23"/>
        </w:numPr>
        <w:spacing w:after="92" w:line="248" w:lineRule="auto"/>
        <w:ind w:right="244" w:hanging="10"/>
        <w:jc w:val="both"/>
      </w:pPr>
      <w:r>
        <w:rPr>
          <w:rFonts w:ascii="Arial" w:eastAsia="Arial" w:hAnsi="Arial" w:cs="Arial"/>
          <w:i/>
          <w:color w:val="202020"/>
        </w:rPr>
        <w:t>Ley</w:t>
      </w:r>
      <w:r>
        <w:rPr>
          <w:rFonts w:ascii="Arial" w:eastAsia="Arial" w:hAnsi="Arial" w:cs="Arial"/>
          <w:i/>
          <w:color w:val="202020"/>
        </w:rPr>
        <w:t xml:space="preserve"> 38/2003, de 17 de noviembre, General de Subvenciones, como normativa básica estatal. </w:t>
      </w:r>
    </w:p>
    <w:p w:rsidR="00FF384B" w:rsidRDefault="003E3BA9">
      <w:pPr>
        <w:numPr>
          <w:ilvl w:val="0"/>
          <w:numId w:val="23"/>
        </w:numPr>
        <w:spacing w:after="292" w:line="247" w:lineRule="auto"/>
        <w:ind w:right="244" w:hanging="10"/>
        <w:jc w:val="both"/>
      </w:pPr>
      <w:r>
        <w:rPr>
          <w:rFonts w:ascii="Arial" w:eastAsia="Arial" w:hAnsi="Arial" w:cs="Arial"/>
          <w:i/>
        </w:rPr>
        <w:t>Decreto 36/2009, de 31 de marzo, por el que se establece el régimen general de subvenciones de la Comunidad Autónoma de Canarias.</w:t>
      </w:r>
      <w:r>
        <w:rPr>
          <w:rFonts w:ascii="Times New Roman" w:eastAsia="Times New Roman" w:hAnsi="Times New Roman" w:cs="Times New Roman"/>
          <w:sz w:val="24"/>
        </w:rPr>
        <w:t xml:space="preserve"> </w:t>
      </w:r>
    </w:p>
    <w:p w:rsidR="00FF384B" w:rsidRDefault="003E3BA9">
      <w:pPr>
        <w:numPr>
          <w:ilvl w:val="0"/>
          <w:numId w:val="23"/>
        </w:numPr>
        <w:spacing w:after="169" w:line="247" w:lineRule="auto"/>
        <w:ind w:right="244" w:hanging="10"/>
        <w:jc w:val="both"/>
      </w:pPr>
      <w:r>
        <w:rPr>
          <w:rFonts w:ascii="Arial" w:eastAsia="Arial" w:hAnsi="Arial" w:cs="Arial"/>
          <w:b/>
          <w:i/>
          <w:color w:val="202020"/>
        </w:rPr>
        <w:t xml:space="preserve">Real </w:t>
      </w:r>
      <w:r>
        <w:rPr>
          <w:rFonts w:ascii="Arial" w:eastAsia="Arial" w:hAnsi="Arial" w:cs="Arial"/>
          <w:b/>
          <w:i/>
        </w:rPr>
        <w:t xml:space="preserve">Decreto 887/2006 de 21 de julio, </w:t>
      </w:r>
      <w:r>
        <w:rPr>
          <w:rFonts w:ascii="Arial" w:eastAsia="Arial" w:hAnsi="Arial" w:cs="Arial"/>
          <w:b/>
          <w:i/>
        </w:rPr>
        <w:t>por el que se aprueba el Reglamento de la Ley 38/2003, de 17 de noviembre, General de Subvenciones</w:t>
      </w:r>
      <w:r>
        <w:rPr>
          <w:sz w:val="26"/>
        </w:rPr>
        <w:t xml:space="preserve"> </w:t>
      </w:r>
    </w:p>
    <w:p w:rsidR="00FF384B" w:rsidRDefault="003E3BA9">
      <w:pPr>
        <w:spacing w:after="143" w:line="248" w:lineRule="auto"/>
        <w:ind w:left="268" w:right="244" w:firstLine="360"/>
        <w:jc w:val="both"/>
      </w:pPr>
      <w:r>
        <w:rPr>
          <w:noProof/>
        </w:rPr>
        <mc:AlternateContent>
          <mc:Choice Requires="wpg">
            <w:drawing>
              <wp:anchor distT="0" distB="0" distL="114300" distR="114300" simplePos="0" relativeHeight="2517166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3749" name="Group 4437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301" name="Picture 16301"/>
                          <pic:cNvPicPr/>
                        </pic:nvPicPr>
                        <pic:blipFill>
                          <a:blip r:embed="rId62"/>
                          <a:stretch>
                            <a:fillRect/>
                          </a:stretch>
                        </pic:blipFill>
                        <pic:spPr>
                          <a:xfrm rot="-5399999">
                            <a:off x="-1720849" y="1720849"/>
                            <a:ext cx="3797300" cy="355601"/>
                          </a:xfrm>
                          <a:prstGeom prst="rect">
                            <a:avLst/>
                          </a:prstGeom>
                        </pic:spPr>
                      </pic:pic>
                      <wps:wsp>
                        <wps:cNvPr id="16302" name="Rectangle 1630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303" name="Rectangle 1630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3749" style="width:41.2715pt;height:299pt;position:absolute;mso-position-horizontal-relative:page;mso-position-horizontal:absolute;margin-left:653.71pt;mso-position-vertical-relative:page;margin-top:512.92pt;" coordsize="5241,37973">
                <v:shape id="Picture 16301" style="position:absolute;width:37973;height:3556;left:-17208;top:17208;rotation:-89;" filled="f">
                  <v:imagedata r:id="rId63"/>
                </v:shape>
                <v:rect id="Rectangle 1630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30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353 </w:t>
                        </w:r>
                      </w:p>
                    </w:txbxContent>
                  </v:textbox>
                </v:rect>
                <w10:wrap type="square"/>
              </v:group>
            </w:pict>
          </mc:Fallback>
        </mc:AlternateContent>
      </w:r>
      <w:r>
        <w:rPr>
          <w:rFonts w:ascii="Arial" w:eastAsia="Arial" w:hAnsi="Arial" w:cs="Arial"/>
          <w:i/>
          <w:color w:val="202020"/>
        </w:rPr>
        <w:t>Esta Ordenanza General de subvenciones, trata de ser el marco normativo de referencia de casi la totalidad de las subvenciones municipales de muy variada tipologí</w:t>
      </w:r>
      <w:r>
        <w:rPr>
          <w:rFonts w:ascii="Arial" w:eastAsia="Arial" w:hAnsi="Arial" w:cs="Arial"/>
          <w:i/>
          <w:color w:val="202020"/>
        </w:rPr>
        <w:t xml:space="preserve">a y diferentes objetivos concedidas anualmente: desde las subvenciones de carácter social, al apoyo a los clubes deportivos, o el funcionamiento de una parte importante de la estructura asociativa y vecinal de la ciudad. </w:t>
      </w:r>
    </w:p>
    <w:p w:rsidR="00FF384B" w:rsidRDefault="003E3BA9">
      <w:pPr>
        <w:spacing w:after="143" w:line="248" w:lineRule="auto"/>
        <w:ind w:left="268" w:right="244" w:firstLine="360"/>
        <w:jc w:val="both"/>
      </w:pPr>
      <w:r>
        <w:rPr>
          <w:rFonts w:ascii="Arial" w:eastAsia="Arial" w:hAnsi="Arial" w:cs="Arial"/>
          <w:i/>
          <w:color w:val="202020"/>
        </w:rPr>
        <w:t>En cuanto a los aspectos técnicos,</w:t>
      </w:r>
      <w:r>
        <w:rPr>
          <w:rFonts w:ascii="Arial" w:eastAsia="Arial" w:hAnsi="Arial" w:cs="Arial"/>
          <w:i/>
          <w:color w:val="202020"/>
        </w:rPr>
        <w:t xml:space="preserve"> se propone una redacción que incluye dentro de la Ordenanza la remisión en muchos aspectos ya regulados en la legislación estatal y autonómica, que en todo caso resultarán aplicables a las subvenciones municipales. </w:t>
      </w:r>
    </w:p>
    <w:p w:rsidR="00FF384B" w:rsidRDefault="003E3BA9">
      <w:pPr>
        <w:spacing w:after="9" w:line="249" w:lineRule="auto"/>
        <w:ind w:left="278" w:right="240" w:hanging="10"/>
        <w:jc w:val="both"/>
      </w:pPr>
      <w:r>
        <w:rPr>
          <w:rFonts w:ascii="Arial" w:eastAsia="Arial" w:hAnsi="Arial" w:cs="Arial"/>
          <w:b/>
          <w:i/>
          <w:color w:val="202020"/>
        </w:rPr>
        <w:t>TÍTULO PRIMERO. DISPOSICIONES GENERALES</w:t>
      </w:r>
      <w:r>
        <w:rPr>
          <w:rFonts w:ascii="Arial" w:eastAsia="Arial" w:hAnsi="Arial" w:cs="Arial"/>
          <w:b/>
          <w:i/>
          <w:color w:val="202020"/>
        </w:rPr>
        <w:t xml:space="preserve"> </w:t>
      </w:r>
    </w:p>
    <w:p w:rsidR="00FF384B" w:rsidRDefault="003E3BA9">
      <w:pPr>
        <w:spacing w:after="0"/>
        <w:ind w:left="283"/>
      </w:pPr>
      <w:r>
        <w:rPr>
          <w:rFonts w:ascii="Arial" w:eastAsia="Arial" w:hAnsi="Arial" w:cs="Arial"/>
          <w:b/>
          <w:i/>
          <w:color w:val="202020"/>
        </w:rPr>
        <w:t xml:space="preserve"> </w:t>
      </w:r>
    </w:p>
    <w:p w:rsidR="00FF384B" w:rsidRDefault="003E3BA9">
      <w:pPr>
        <w:spacing w:after="140" w:line="249" w:lineRule="auto"/>
        <w:ind w:left="278" w:right="240" w:hanging="10"/>
        <w:jc w:val="both"/>
      </w:pPr>
      <w:r>
        <w:rPr>
          <w:rFonts w:ascii="Arial" w:eastAsia="Arial" w:hAnsi="Arial" w:cs="Arial"/>
          <w:b/>
          <w:i/>
          <w:color w:val="202020"/>
        </w:rPr>
        <w:t xml:space="preserve">CAPÍTULO I. Objeto, concepto de subvención y ámbito subjetivo de aplicación. </w:t>
      </w:r>
    </w:p>
    <w:p w:rsidR="00FF384B" w:rsidRDefault="003E3BA9">
      <w:pPr>
        <w:spacing w:after="140" w:line="249" w:lineRule="auto"/>
        <w:ind w:left="278" w:right="240" w:hanging="10"/>
        <w:jc w:val="both"/>
      </w:pPr>
      <w:r>
        <w:rPr>
          <w:rFonts w:ascii="Arial" w:eastAsia="Arial" w:hAnsi="Arial" w:cs="Arial"/>
          <w:b/>
          <w:i/>
          <w:color w:val="202020"/>
        </w:rPr>
        <w:t xml:space="preserve">Artículo 1. Objeto de la ordenanza y concepto de subvención. </w:t>
      </w:r>
    </w:p>
    <w:p w:rsidR="00FF384B" w:rsidRDefault="003E3BA9">
      <w:pPr>
        <w:numPr>
          <w:ilvl w:val="0"/>
          <w:numId w:val="24"/>
        </w:numPr>
        <w:spacing w:after="143" w:line="248" w:lineRule="auto"/>
        <w:ind w:right="244" w:hanging="10"/>
        <w:jc w:val="both"/>
      </w:pPr>
      <w:r>
        <w:rPr>
          <w:rFonts w:ascii="Arial" w:eastAsia="Arial" w:hAnsi="Arial" w:cs="Arial"/>
          <w:i/>
          <w:color w:val="202020"/>
        </w:rPr>
        <w:t>Esta Ordenanza tiene por objeto la regulación del régimen jurídico general y las bases reguladoras de las subven</w:t>
      </w:r>
      <w:r>
        <w:rPr>
          <w:rFonts w:ascii="Arial" w:eastAsia="Arial" w:hAnsi="Arial" w:cs="Arial"/>
          <w:i/>
          <w:color w:val="202020"/>
        </w:rPr>
        <w:t xml:space="preserve">ciones otorgadas por el Ayuntamiento de Candelaria. </w:t>
      </w:r>
    </w:p>
    <w:p w:rsidR="00FF384B" w:rsidRDefault="003E3BA9">
      <w:pPr>
        <w:numPr>
          <w:ilvl w:val="0"/>
          <w:numId w:val="24"/>
        </w:numPr>
        <w:spacing w:after="143" w:line="248" w:lineRule="auto"/>
        <w:ind w:right="244" w:hanging="10"/>
        <w:jc w:val="both"/>
      </w:pPr>
      <w:r>
        <w:rPr>
          <w:rFonts w:ascii="Arial" w:eastAsia="Arial" w:hAnsi="Arial" w:cs="Arial"/>
          <w:i/>
          <w:color w:val="202020"/>
        </w:rPr>
        <w:t>Se entiende por subvención, a los efectos de esta Ordenanza, toda disposición dineraria realizada por el Ayuntamiento de Candelaria, con cargo al Presupuesto General, a favor de personas públicas o priva</w:t>
      </w:r>
      <w:r>
        <w:rPr>
          <w:rFonts w:ascii="Arial" w:eastAsia="Arial" w:hAnsi="Arial" w:cs="Arial"/>
          <w:i/>
          <w:color w:val="202020"/>
        </w:rPr>
        <w:t xml:space="preserve">das, o entes sin personalidad jurídica, que cumplan los requisitos legalmente establecidos, a saber:  </w:t>
      </w:r>
    </w:p>
    <w:p w:rsidR="00FF384B" w:rsidRDefault="003E3BA9">
      <w:pPr>
        <w:numPr>
          <w:ilvl w:val="0"/>
          <w:numId w:val="25"/>
        </w:numPr>
        <w:spacing w:after="143" w:line="248" w:lineRule="auto"/>
        <w:ind w:right="244" w:hanging="257"/>
        <w:jc w:val="both"/>
      </w:pPr>
      <w:r>
        <w:rPr>
          <w:rFonts w:ascii="Arial" w:eastAsia="Arial" w:hAnsi="Arial" w:cs="Arial"/>
          <w:i/>
          <w:color w:val="202020"/>
        </w:rPr>
        <w:t xml:space="preserve">Que la entrega se realice sin contraprestación directa de los beneficiarios.   </w:t>
      </w:r>
    </w:p>
    <w:p w:rsidR="00FF384B" w:rsidRDefault="003E3BA9">
      <w:pPr>
        <w:numPr>
          <w:ilvl w:val="0"/>
          <w:numId w:val="25"/>
        </w:numPr>
        <w:spacing w:after="143" w:line="248" w:lineRule="auto"/>
        <w:ind w:right="244" w:hanging="257"/>
        <w:jc w:val="both"/>
      </w:pPr>
      <w:r>
        <w:rPr>
          <w:rFonts w:ascii="Arial" w:eastAsia="Arial" w:hAnsi="Arial" w:cs="Arial"/>
          <w:i/>
          <w:color w:val="202020"/>
        </w:rPr>
        <w:t>Que la entrega esté sujeta al cumplimiento de un determinado objetivo, la ejecución de un proyecto, la realización de una actividad, la adopción de un comportamiento singular, ya realizados o por desarrollar, o la concurrencia de una situación, debiendo el</w:t>
      </w:r>
      <w:r>
        <w:rPr>
          <w:rFonts w:ascii="Arial" w:eastAsia="Arial" w:hAnsi="Arial" w:cs="Arial"/>
          <w:i/>
          <w:color w:val="202020"/>
        </w:rPr>
        <w:t xml:space="preserve"> beneficiario cumplir las obligaciones materiales y formales que se hubieran establecido.   </w:t>
      </w:r>
    </w:p>
    <w:p w:rsidR="00FF384B" w:rsidRDefault="003E3BA9">
      <w:pPr>
        <w:numPr>
          <w:ilvl w:val="0"/>
          <w:numId w:val="25"/>
        </w:numPr>
        <w:spacing w:after="143" w:line="248" w:lineRule="auto"/>
        <w:ind w:right="244" w:hanging="257"/>
        <w:jc w:val="both"/>
      </w:pPr>
      <w:r>
        <w:rPr>
          <w:rFonts w:ascii="Arial" w:eastAsia="Arial" w:hAnsi="Arial" w:cs="Arial"/>
          <w:i/>
          <w:color w:val="202020"/>
        </w:rPr>
        <w:t>Que el proyecto, la acción, conducta o situación financiada tenga por objeto el fomento de una actividad de utilidad pública o interés social o de promoción de una</w:t>
      </w:r>
      <w:r>
        <w:rPr>
          <w:rFonts w:ascii="Arial" w:eastAsia="Arial" w:hAnsi="Arial" w:cs="Arial"/>
          <w:i/>
          <w:color w:val="202020"/>
        </w:rPr>
        <w:t xml:space="preserve"> finalidad pública.   </w:t>
      </w:r>
    </w:p>
    <w:p w:rsidR="00FF384B" w:rsidRDefault="003E3BA9">
      <w:pPr>
        <w:spacing w:after="140" w:line="249" w:lineRule="auto"/>
        <w:ind w:left="278" w:right="240" w:hanging="10"/>
        <w:jc w:val="both"/>
      </w:pPr>
      <w:r>
        <w:rPr>
          <w:rFonts w:ascii="Arial" w:eastAsia="Arial" w:hAnsi="Arial" w:cs="Arial"/>
          <w:b/>
          <w:i/>
          <w:color w:val="202020"/>
        </w:rPr>
        <w:t xml:space="preserve">Artículo 2. Ámbito subjetivo de aplicación. </w:t>
      </w:r>
    </w:p>
    <w:p w:rsidR="00FF384B" w:rsidRDefault="003E3BA9">
      <w:pPr>
        <w:numPr>
          <w:ilvl w:val="0"/>
          <w:numId w:val="26"/>
        </w:numPr>
        <w:spacing w:after="143" w:line="248" w:lineRule="auto"/>
        <w:ind w:right="244" w:hanging="247"/>
        <w:jc w:val="both"/>
      </w:pPr>
      <w:r>
        <w:rPr>
          <w:rFonts w:ascii="Arial" w:eastAsia="Arial" w:hAnsi="Arial" w:cs="Arial"/>
          <w:i/>
          <w:color w:val="202020"/>
        </w:rPr>
        <w:t xml:space="preserve">Esta ordenanza será de aplicación a las subvenciones otorgadas por el Ayuntamiento de Candelaria. </w:t>
      </w:r>
    </w:p>
    <w:p w:rsidR="00FF384B" w:rsidRDefault="003E3BA9">
      <w:pPr>
        <w:numPr>
          <w:ilvl w:val="0"/>
          <w:numId w:val="26"/>
        </w:numPr>
        <w:spacing w:after="143" w:line="248" w:lineRule="auto"/>
        <w:ind w:right="244" w:hanging="247"/>
        <w:jc w:val="both"/>
      </w:pPr>
      <w:r>
        <w:rPr>
          <w:rFonts w:ascii="Arial" w:eastAsia="Arial" w:hAnsi="Arial" w:cs="Arial"/>
          <w:i/>
          <w:color w:val="202020"/>
        </w:rPr>
        <w:t xml:space="preserve">No están comprendidas en el ámbito de aplicación de esta ordenanza: </w:t>
      </w:r>
    </w:p>
    <w:p w:rsidR="00FF384B" w:rsidRDefault="003E3BA9">
      <w:pPr>
        <w:numPr>
          <w:ilvl w:val="1"/>
          <w:numId w:val="26"/>
        </w:numPr>
        <w:spacing w:after="92" w:line="248" w:lineRule="auto"/>
        <w:ind w:right="244" w:hanging="259"/>
        <w:jc w:val="both"/>
      </w:pPr>
      <w:r>
        <w:rPr>
          <w:rFonts w:ascii="Arial" w:eastAsia="Arial" w:hAnsi="Arial" w:cs="Arial"/>
          <w:i/>
          <w:color w:val="202020"/>
        </w:rPr>
        <w:t>Las aportaciones din</w:t>
      </w:r>
      <w:r>
        <w:rPr>
          <w:rFonts w:ascii="Arial" w:eastAsia="Arial" w:hAnsi="Arial" w:cs="Arial"/>
          <w:i/>
          <w:color w:val="202020"/>
        </w:rPr>
        <w:t xml:space="preserve">erarias entre el Ayuntamiento y otras Administraciones públicas para financiar globalmente la actividad de la administración a la que vayan destinadas. </w:t>
      </w:r>
    </w:p>
    <w:p w:rsidR="00FF384B" w:rsidRDefault="003E3BA9">
      <w:pPr>
        <w:numPr>
          <w:ilvl w:val="1"/>
          <w:numId w:val="26"/>
        </w:numPr>
        <w:spacing w:after="92" w:line="248" w:lineRule="auto"/>
        <w:ind w:right="244" w:hanging="259"/>
        <w:jc w:val="both"/>
      </w:pPr>
      <w:r>
        <w:rPr>
          <w:rFonts w:ascii="Arial" w:eastAsia="Arial" w:hAnsi="Arial" w:cs="Arial"/>
          <w:i/>
          <w:color w:val="202020"/>
        </w:rPr>
        <w:t>Las aportaciones del Ayuntamiento a sus organismos públicos y otros entes dependientes de derecho priva</w:t>
      </w:r>
      <w:r>
        <w:rPr>
          <w:rFonts w:ascii="Arial" w:eastAsia="Arial" w:hAnsi="Arial" w:cs="Arial"/>
          <w:i/>
          <w:color w:val="202020"/>
        </w:rPr>
        <w:t xml:space="preserve">do, cuya finalidad sea financiar la actividad de cada ente en el ámbito propio de sus competencias. </w:t>
      </w:r>
    </w:p>
    <w:p w:rsidR="00FF384B" w:rsidRDefault="003E3BA9">
      <w:pPr>
        <w:numPr>
          <w:ilvl w:val="1"/>
          <w:numId w:val="26"/>
        </w:numPr>
        <w:spacing w:after="89" w:line="248" w:lineRule="auto"/>
        <w:ind w:right="244" w:hanging="259"/>
        <w:jc w:val="both"/>
      </w:pPr>
      <w:r>
        <w:rPr>
          <w:rFonts w:ascii="Arial" w:eastAsia="Arial" w:hAnsi="Arial" w:cs="Arial"/>
          <w:i/>
          <w:color w:val="202020"/>
        </w:rPr>
        <w:t xml:space="preserve">Las aportaciones dinerarias a la fundación en la que participe el Ayuntamiento. </w:t>
      </w:r>
    </w:p>
    <w:p w:rsidR="00FF384B" w:rsidRDefault="003E3BA9">
      <w:pPr>
        <w:numPr>
          <w:ilvl w:val="1"/>
          <w:numId w:val="26"/>
        </w:numPr>
        <w:spacing w:after="89" w:line="248" w:lineRule="auto"/>
        <w:ind w:right="244" w:hanging="259"/>
        <w:jc w:val="both"/>
      </w:pPr>
      <w:r>
        <w:rPr>
          <w:rFonts w:ascii="Arial" w:eastAsia="Arial" w:hAnsi="Arial" w:cs="Arial"/>
          <w:i/>
          <w:color w:val="202020"/>
        </w:rPr>
        <w:t xml:space="preserve">Las aportaciones presupuestarias a los grupos políticos municipales. </w:t>
      </w:r>
    </w:p>
    <w:p w:rsidR="00FF384B" w:rsidRDefault="003E3BA9">
      <w:pPr>
        <w:numPr>
          <w:ilvl w:val="1"/>
          <w:numId w:val="26"/>
        </w:numPr>
        <w:spacing w:after="90" w:line="248" w:lineRule="auto"/>
        <w:ind w:right="244" w:hanging="259"/>
        <w:jc w:val="both"/>
      </w:pPr>
      <w:r>
        <w:rPr>
          <w:rFonts w:ascii="Arial" w:eastAsia="Arial" w:hAnsi="Arial" w:cs="Arial"/>
          <w:i/>
          <w:color w:val="202020"/>
        </w:rPr>
        <w:t xml:space="preserve">Los </w:t>
      </w:r>
      <w:r>
        <w:rPr>
          <w:rFonts w:ascii="Arial" w:eastAsia="Arial" w:hAnsi="Arial" w:cs="Arial"/>
          <w:i/>
          <w:color w:val="202020"/>
        </w:rPr>
        <w:t xml:space="preserve">premios que se otorguen sin la previa solicitud del beneficiario. </w:t>
      </w:r>
    </w:p>
    <w:p w:rsidR="00FF384B" w:rsidRDefault="003E3BA9">
      <w:pPr>
        <w:numPr>
          <w:ilvl w:val="1"/>
          <w:numId w:val="26"/>
        </w:numPr>
        <w:spacing w:after="291" w:line="248" w:lineRule="auto"/>
        <w:ind w:right="244" w:hanging="259"/>
        <w:jc w:val="both"/>
      </w:pPr>
      <w:r>
        <w:rPr>
          <w:rFonts w:ascii="Arial" w:eastAsia="Arial" w:hAnsi="Arial" w:cs="Arial"/>
          <w:i/>
          <w:color w:val="202020"/>
        </w:rPr>
        <w:t xml:space="preserve">Las ayudas de urgencia de carácter social, cuyo otorgamiento se regirá por su normativa específica. </w:t>
      </w:r>
    </w:p>
    <w:p w:rsidR="00FF384B" w:rsidRDefault="003E3BA9">
      <w:pPr>
        <w:spacing w:after="140" w:line="249" w:lineRule="auto"/>
        <w:ind w:left="278" w:right="240" w:hanging="10"/>
        <w:jc w:val="both"/>
      </w:pPr>
      <w:r>
        <w:rPr>
          <w:noProof/>
        </w:rPr>
        <mc:AlternateContent>
          <mc:Choice Requires="wpg">
            <w:drawing>
              <wp:anchor distT="0" distB="0" distL="114300" distR="114300" simplePos="0" relativeHeight="2517176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3977" name="Group 44397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437" name="Picture 16437"/>
                          <pic:cNvPicPr/>
                        </pic:nvPicPr>
                        <pic:blipFill>
                          <a:blip r:embed="rId62"/>
                          <a:stretch>
                            <a:fillRect/>
                          </a:stretch>
                        </pic:blipFill>
                        <pic:spPr>
                          <a:xfrm rot="-5399999">
                            <a:off x="-1720849" y="1720849"/>
                            <a:ext cx="3797300" cy="355601"/>
                          </a:xfrm>
                          <a:prstGeom prst="rect">
                            <a:avLst/>
                          </a:prstGeom>
                        </pic:spPr>
                      </pic:pic>
                      <wps:wsp>
                        <wps:cNvPr id="16438" name="Rectangle 1643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439" name="Rectangle 1643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3977" style="width:41.2715pt;height:299pt;position:absolute;mso-position-horizontal-relative:page;mso-position-horizontal:absolute;margin-left:653.71pt;mso-position-vertical-relative:page;margin-top:512.92pt;" coordsize="5241,37973">
                <v:shape id="Picture 16437" style="position:absolute;width:37973;height:3556;left:-17208;top:17208;rotation:-89;" filled="f">
                  <v:imagedata r:id="rId63"/>
                </v:shape>
                <v:rect id="Rectangle 1643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43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353 </w:t>
                        </w:r>
                      </w:p>
                    </w:txbxContent>
                  </v:textbox>
                </v:rect>
                <w10:wrap type="square"/>
              </v:group>
            </w:pict>
          </mc:Fallback>
        </mc:AlternateContent>
      </w:r>
      <w:r>
        <w:rPr>
          <w:rFonts w:ascii="Arial" w:eastAsia="Arial" w:hAnsi="Arial" w:cs="Arial"/>
          <w:b/>
          <w:i/>
          <w:color w:val="202020"/>
        </w:rPr>
        <w:t xml:space="preserve">CAPÍTULO II. Régimen jurídico. </w:t>
      </w:r>
    </w:p>
    <w:p w:rsidR="00FF384B" w:rsidRDefault="003E3BA9">
      <w:pPr>
        <w:spacing w:after="140" w:line="249" w:lineRule="auto"/>
        <w:ind w:left="278" w:right="240" w:hanging="10"/>
        <w:jc w:val="both"/>
      </w:pPr>
      <w:r>
        <w:rPr>
          <w:rFonts w:ascii="Arial" w:eastAsia="Arial" w:hAnsi="Arial" w:cs="Arial"/>
          <w:b/>
          <w:i/>
          <w:color w:val="202020"/>
        </w:rPr>
        <w:t xml:space="preserve">Artículo 3. Régimen jurídico. </w:t>
      </w:r>
    </w:p>
    <w:p w:rsidR="00FF384B" w:rsidRDefault="003E3BA9">
      <w:pPr>
        <w:spacing w:after="143" w:line="248" w:lineRule="auto"/>
        <w:ind w:left="278" w:right="244" w:hanging="10"/>
        <w:jc w:val="both"/>
      </w:pPr>
      <w:r>
        <w:rPr>
          <w:rFonts w:ascii="Arial" w:eastAsia="Arial" w:hAnsi="Arial" w:cs="Arial"/>
          <w:i/>
          <w:color w:val="202020"/>
        </w:rPr>
        <w:t>1. Las subvenciones se regirán por las prescripciones contenidas en esta Ordenanza, por la normativa de Subvenciones de Canarias, y sus disposiciones de desarrollo, por la normativa básica estatal en esta materia, por las bases de ejecución del presupuest</w:t>
      </w:r>
      <w:r>
        <w:rPr>
          <w:rFonts w:ascii="Arial" w:eastAsia="Arial" w:hAnsi="Arial" w:cs="Arial"/>
          <w:i/>
          <w:color w:val="202020"/>
        </w:rPr>
        <w:t xml:space="preserve">o municipal y normas de derecho administrativo que resulten de aplicación. 2. Las convocatorias deberán ajustarse a lo previsto en el párrafo anterior. </w:t>
      </w:r>
    </w:p>
    <w:p w:rsidR="00FF384B" w:rsidRDefault="003E3BA9">
      <w:pPr>
        <w:spacing w:after="291" w:line="248" w:lineRule="auto"/>
        <w:ind w:left="278" w:right="244" w:hanging="10"/>
        <w:jc w:val="both"/>
      </w:pPr>
      <w:r>
        <w:rPr>
          <w:rFonts w:ascii="Arial" w:eastAsia="Arial" w:hAnsi="Arial" w:cs="Arial"/>
          <w:i/>
          <w:color w:val="202020"/>
        </w:rPr>
        <w:t>3. Las subvenciones financiadas total o parcialmente con cargo a fondos de la Unión Europea, se regirán</w:t>
      </w:r>
      <w:r>
        <w:rPr>
          <w:rFonts w:ascii="Arial" w:eastAsia="Arial" w:hAnsi="Arial" w:cs="Arial"/>
          <w:i/>
          <w:color w:val="202020"/>
        </w:rPr>
        <w:t xml:space="preserve"> por las normas comunitarias vigentes y por la legislación y normativa que le sea de aplicación en cada caso. </w:t>
      </w:r>
    </w:p>
    <w:p w:rsidR="00FF384B" w:rsidRDefault="003E3BA9">
      <w:pPr>
        <w:spacing w:after="140" w:line="249" w:lineRule="auto"/>
        <w:ind w:left="278" w:right="240" w:hanging="10"/>
        <w:jc w:val="both"/>
      </w:pPr>
      <w:r>
        <w:rPr>
          <w:rFonts w:ascii="Arial" w:eastAsia="Arial" w:hAnsi="Arial" w:cs="Arial"/>
          <w:b/>
          <w:i/>
          <w:color w:val="202020"/>
        </w:rPr>
        <w:t xml:space="preserve">CAPÍTULO III. Principios generales. </w:t>
      </w:r>
    </w:p>
    <w:p w:rsidR="00FF384B" w:rsidRDefault="003E3BA9">
      <w:pPr>
        <w:spacing w:after="140" w:line="249" w:lineRule="auto"/>
        <w:ind w:left="278" w:right="240" w:hanging="10"/>
        <w:jc w:val="both"/>
      </w:pPr>
      <w:r>
        <w:rPr>
          <w:rFonts w:ascii="Arial" w:eastAsia="Arial" w:hAnsi="Arial" w:cs="Arial"/>
          <w:b/>
          <w:i/>
          <w:color w:val="202020"/>
        </w:rPr>
        <w:t xml:space="preserve">Artículo 4. Principios generales. </w:t>
      </w:r>
    </w:p>
    <w:p w:rsidR="00FF384B" w:rsidRDefault="003E3BA9">
      <w:pPr>
        <w:spacing w:after="143" w:line="248" w:lineRule="auto"/>
        <w:ind w:left="278" w:right="244" w:hanging="10"/>
        <w:jc w:val="both"/>
      </w:pPr>
      <w:r>
        <w:rPr>
          <w:rFonts w:ascii="Arial" w:eastAsia="Arial" w:hAnsi="Arial" w:cs="Arial"/>
          <w:i/>
          <w:color w:val="202020"/>
        </w:rPr>
        <w:t>La gestión de las subvenciones a que se refiere esta ordenanza se hará de</w:t>
      </w:r>
      <w:r>
        <w:rPr>
          <w:rFonts w:ascii="Arial" w:eastAsia="Arial" w:hAnsi="Arial" w:cs="Arial"/>
          <w:i/>
          <w:color w:val="202020"/>
        </w:rPr>
        <w:t xml:space="preserve"> acuerdo con los siguientes principios: </w:t>
      </w:r>
    </w:p>
    <w:p w:rsidR="00FF384B" w:rsidRDefault="003E3BA9">
      <w:pPr>
        <w:numPr>
          <w:ilvl w:val="0"/>
          <w:numId w:val="27"/>
        </w:numPr>
        <w:spacing w:after="93" w:line="248" w:lineRule="auto"/>
        <w:ind w:right="244" w:hanging="360"/>
        <w:jc w:val="both"/>
      </w:pPr>
      <w:r>
        <w:rPr>
          <w:rFonts w:ascii="Arial" w:eastAsia="Arial" w:hAnsi="Arial" w:cs="Arial"/>
          <w:i/>
          <w:color w:val="202020"/>
        </w:rPr>
        <w:t xml:space="preserve">a) Publicidad, transparencia, concurrencia, objetividad, igualdad y no discriminación. </w:t>
      </w:r>
    </w:p>
    <w:p w:rsidR="00FF384B" w:rsidRDefault="003E3BA9">
      <w:pPr>
        <w:numPr>
          <w:ilvl w:val="0"/>
          <w:numId w:val="27"/>
        </w:numPr>
        <w:spacing w:after="93" w:line="248" w:lineRule="auto"/>
        <w:ind w:right="244" w:hanging="360"/>
        <w:jc w:val="both"/>
      </w:pPr>
      <w:r>
        <w:rPr>
          <w:rFonts w:ascii="Arial" w:eastAsia="Arial" w:hAnsi="Arial" w:cs="Arial"/>
          <w:i/>
          <w:color w:val="202020"/>
        </w:rPr>
        <w:t xml:space="preserve">b) Eficacia en el cumplimiento de los objetivos fijados por la Administración otorgante. </w:t>
      </w:r>
    </w:p>
    <w:p w:rsidR="00FF384B" w:rsidRDefault="003E3BA9">
      <w:pPr>
        <w:numPr>
          <w:ilvl w:val="0"/>
          <w:numId w:val="27"/>
        </w:numPr>
        <w:spacing w:after="143" w:line="248" w:lineRule="auto"/>
        <w:ind w:right="244" w:hanging="360"/>
        <w:jc w:val="both"/>
      </w:pPr>
      <w:r>
        <w:rPr>
          <w:rFonts w:ascii="Arial" w:eastAsia="Arial" w:hAnsi="Arial" w:cs="Arial"/>
          <w:i/>
          <w:color w:val="202020"/>
        </w:rPr>
        <w:t xml:space="preserve">c) Eficiencia en la asignación y utilización de los recursos públicos. </w:t>
      </w:r>
    </w:p>
    <w:p w:rsidR="00FF384B" w:rsidRDefault="003E3BA9">
      <w:pPr>
        <w:spacing w:after="140" w:line="249" w:lineRule="auto"/>
        <w:ind w:left="278" w:right="240" w:hanging="10"/>
        <w:jc w:val="both"/>
      </w:pPr>
      <w:r>
        <w:rPr>
          <w:rFonts w:ascii="Arial" w:eastAsia="Arial" w:hAnsi="Arial" w:cs="Arial"/>
          <w:b/>
          <w:i/>
          <w:color w:val="202020"/>
        </w:rPr>
        <w:t xml:space="preserve">Artículo 5. Plan Estratégico de Subvenciones. </w:t>
      </w:r>
    </w:p>
    <w:p w:rsidR="00FF384B" w:rsidRDefault="003E3BA9">
      <w:pPr>
        <w:numPr>
          <w:ilvl w:val="0"/>
          <w:numId w:val="28"/>
        </w:numPr>
        <w:spacing w:after="143" w:line="248" w:lineRule="auto"/>
        <w:ind w:right="244" w:hanging="247"/>
        <w:jc w:val="both"/>
      </w:pPr>
      <w:r>
        <w:rPr>
          <w:rFonts w:ascii="Arial" w:eastAsia="Arial" w:hAnsi="Arial" w:cs="Arial"/>
          <w:i/>
          <w:color w:val="202020"/>
        </w:rPr>
        <w:t>El Plan Estratégico de Subvenciones, que será único para el propio Ayuntamiento y en el que se establecerán los objetivos y efectos que se pretende con su aplicación, el plazo necesario para su consecución, los costes previsibles y sus fuentes de financiac</w:t>
      </w:r>
      <w:r>
        <w:rPr>
          <w:rFonts w:ascii="Arial" w:eastAsia="Arial" w:hAnsi="Arial" w:cs="Arial"/>
          <w:i/>
          <w:color w:val="202020"/>
        </w:rPr>
        <w:t xml:space="preserve">ión, supeditándose al cumplimiento de los objetivos de estabilidad presupuestaria, contendrá todas las subvenciones de previsible ejecución, que estarán incluidas dentro de las respectivas líneas de subvención.  </w:t>
      </w:r>
    </w:p>
    <w:p w:rsidR="00FF384B" w:rsidRDefault="003E3BA9">
      <w:pPr>
        <w:numPr>
          <w:ilvl w:val="0"/>
          <w:numId w:val="28"/>
        </w:numPr>
        <w:spacing w:after="143" w:line="248" w:lineRule="auto"/>
        <w:ind w:right="244" w:hanging="247"/>
        <w:jc w:val="both"/>
      </w:pPr>
      <w:r>
        <w:rPr>
          <w:rFonts w:ascii="Arial" w:eastAsia="Arial" w:hAnsi="Arial" w:cs="Arial"/>
          <w:i/>
          <w:color w:val="202020"/>
        </w:rPr>
        <w:t>El Plan Estratégico tendrá un periodo de vi</w:t>
      </w:r>
      <w:r>
        <w:rPr>
          <w:rFonts w:ascii="Arial" w:eastAsia="Arial" w:hAnsi="Arial" w:cs="Arial"/>
          <w:i/>
          <w:color w:val="202020"/>
        </w:rPr>
        <w:t>gencia de 4 años, salvo que por la naturaleza de las actuaciones a las que atiendan sea necesario un plazo mayor, circunstancia que será debidamente motivada en el propio documento. No obstante, el Plan estratégico será revisado anualmente, incorporando en</w:t>
      </w:r>
      <w:r>
        <w:rPr>
          <w:rFonts w:ascii="Arial" w:eastAsia="Arial" w:hAnsi="Arial" w:cs="Arial"/>
          <w:i/>
          <w:color w:val="202020"/>
        </w:rPr>
        <w:t xml:space="preserve"> el mismo las aplicaciones económicas fijadas en el Presupuesto municipal aprobado. </w:t>
      </w:r>
    </w:p>
    <w:p w:rsidR="00FF384B" w:rsidRDefault="003E3BA9">
      <w:pPr>
        <w:numPr>
          <w:ilvl w:val="0"/>
          <w:numId w:val="28"/>
        </w:numPr>
        <w:spacing w:after="143" w:line="248" w:lineRule="auto"/>
        <w:ind w:right="244" w:hanging="247"/>
        <w:jc w:val="both"/>
      </w:pPr>
      <w:r>
        <w:rPr>
          <w:rFonts w:ascii="Arial" w:eastAsia="Arial" w:hAnsi="Arial" w:cs="Arial"/>
          <w:i/>
          <w:color w:val="202020"/>
        </w:rPr>
        <w:t xml:space="preserve">El Plan estratégico de Subvenciones tendrá, al menos, el siguiente contenido: </w:t>
      </w:r>
    </w:p>
    <w:p w:rsidR="00FF384B" w:rsidRDefault="003E3BA9">
      <w:pPr>
        <w:numPr>
          <w:ilvl w:val="1"/>
          <w:numId w:val="28"/>
        </w:numPr>
        <w:spacing w:after="75" w:line="248" w:lineRule="auto"/>
        <w:ind w:right="244" w:hanging="360"/>
        <w:jc w:val="both"/>
      </w:pPr>
      <w:r>
        <w:rPr>
          <w:rFonts w:ascii="Arial" w:eastAsia="Arial" w:hAnsi="Arial" w:cs="Arial"/>
          <w:i/>
          <w:color w:val="202020"/>
        </w:rPr>
        <w:t>Las líneas estratégicas de subvención para cada sector de actividad, con sus objetivos espec</w:t>
      </w:r>
      <w:r>
        <w:rPr>
          <w:rFonts w:ascii="Arial" w:eastAsia="Arial" w:hAnsi="Arial" w:cs="Arial"/>
          <w:i/>
          <w:color w:val="202020"/>
        </w:rPr>
        <w:t xml:space="preserve">íficos y efectos que se pretenden conseguir y el plazo necesario.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i/>
          <w:color w:val="202020"/>
        </w:rPr>
        <w:t xml:space="preserve">Los costes de realización y las fuentes de financiación. </w:t>
      </w:r>
    </w:p>
    <w:p w:rsidR="00FF384B" w:rsidRDefault="003E3BA9">
      <w:pPr>
        <w:numPr>
          <w:ilvl w:val="1"/>
          <w:numId w:val="28"/>
        </w:numPr>
        <w:spacing w:after="93" w:line="248" w:lineRule="auto"/>
        <w:ind w:right="244" w:hanging="360"/>
        <w:jc w:val="both"/>
      </w:pPr>
      <w:r>
        <w:rPr>
          <w:rFonts w:ascii="Arial" w:eastAsia="Arial" w:hAnsi="Arial" w:cs="Arial"/>
          <w:i/>
          <w:color w:val="202020"/>
        </w:rPr>
        <w:t xml:space="preserve">Las líneas básicas de las bases reguladoras de la concesión de subvenciones, establecidas en la presente Ordenanza. </w:t>
      </w:r>
    </w:p>
    <w:p w:rsidR="00FF384B" w:rsidRDefault="003E3BA9">
      <w:pPr>
        <w:numPr>
          <w:ilvl w:val="1"/>
          <w:numId w:val="28"/>
        </w:numPr>
        <w:spacing w:after="81" w:line="248" w:lineRule="auto"/>
        <w:ind w:right="244" w:hanging="360"/>
        <w:jc w:val="both"/>
      </w:pPr>
      <w:r>
        <w:rPr>
          <w:rFonts w:ascii="Arial" w:eastAsia="Arial" w:hAnsi="Arial" w:cs="Arial"/>
          <w:i/>
          <w:color w:val="202020"/>
        </w:rPr>
        <w:t>El régimen de</w:t>
      </w:r>
      <w:r>
        <w:rPr>
          <w:rFonts w:ascii="Arial" w:eastAsia="Arial" w:hAnsi="Arial" w:cs="Arial"/>
          <w:i/>
          <w:color w:val="202020"/>
        </w:rPr>
        <w:t xml:space="preserve"> seguimiento y evaluación de la actividad subvencional. </w:t>
      </w:r>
    </w:p>
    <w:p w:rsidR="00FF384B" w:rsidRDefault="003E3BA9">
      <w:pPr>
        <w:numPr>
          <w:ilvl w:val="1"/>
          <w:numId w:val="28"/>
        </w:numPr>
        <w:spacing w:after="95" w:line="248" w:lineRule="auto"/>
        <w:ind w:right="244" w:hanging="360"/>
        <w:jc w:val="both"/>
      </w:pPr>
      <w:r>
        <w:rPr>
          <w:noProof/>
        </w:rPr>
        <mc:AlternateContent>
          <mc:Choice Requires="wpg">
            <w:drawing>
              <wp:anchor distT="0" distB="0" distL="114300" distR="114300" simplePos="0" relativeHeight="2517186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4152" name="Group 44415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591" name="Picture 16591"/>
                          <pic:cNvPicPr/>
                        </pic:nvPicPr>
                        <pic:blipFill>
                          <a:blip r:embed="rId62"/>
                          <a:stretch>
                            <a:fillRect/>
                          </a:stretch>
                        </pic:blipFill>
                        <pic:spPr>
                          <a:xfrm rot="-5399999">
                            <a:off x="-1720849" y="1720849"/>
                            <a:ext cx="3797300" cy="355601"/>
                          </a:xfrm>
                          <a:prstGeom prst="rect">
                            <a:avLst/>
                          </a:prstGeom>
                        </pic:spPr>
                      </pic:pic>
                      <wps:wsp>
                        <wps:cNvPr id="16592" name="Rectangle 165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593" name="Rectangle 1659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4152" style="width:41.2715pt;height:299pt;position:absolute;mso-position-horizontal-relative:page;mso-position-horizontal:absolute;margin-left:653.71pt;mso-position-vertical-relative:page;margin-top:512.92pt;" coordsize="5241,37973">
                <v:shape id="Picture 16591" style="position:absolute;width:37973;height:3556;left:-17208;top:17208;rotation:-89;" filled="f">
                  <v:imagedata r:id="rId63"/>
                </v:shape>
                <v:rect id="Rectangle 165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59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353 </w:t>
                        </w:r>
                      </w:p>
                    </w:txbxContent>
                  </v:textbox>
                </v:rect>
                <w10:wrap type="square"/>
              </v:group>
            </w:pict>
          </mc:Fallback>
        </mc:AlternateContent>
      </w:r>
      <w:r>
        <w:rPr>
          <w:rFonts w:ascii="Arial" w:eastAsia="Arial" w:hAnsi="Arial" w:cs="Arial"/>
          <w:i/>
          <w:color w:val="202020"/>
        </w:rPr>
        <w:t>La</w:t>
      </w:r>
      <w:r>
        <w:rPr>
          <w:rFonts w:ascii="Arial" w:eastAsia="Arial" w:hAnsi="Arial" w:cs="Arial"/>
          <w:i/>
          <w:color w:val="202020"/>
        </w:rPr>
        <w:t xml:space="preserve">s líneas específicas incluidas en cada línea estratégica o en cada sector de actividad, con el régimen de concesión directa o concurrencia competitiva- de cada una de ellas. </w:t>
      </w:r>
    </w:p>
    <w:p w:rsidR="00FF384B" w:rsidRDefault="003E3BA9">
      <w:pPr>
        <w:numPr>
          <w:ilvl w:val="0"/>
          <w:numId w:val="28"/>
        </w:numPr>
        <w:spacing w:after="143" w:line="248" w:lineRule="auto"/>
        <w:ind w:right="244" w:hanging="247"/>
        <w:jc w:val="both"/>
      </w:pPr>
      <w:r>
        <w:rPr>
          <w:rFonts w:ascii="Arial" w:eastAsia="Arial" w:hAnsi="Arial" w:cs="Arial"/>
          <w:i/>
          <w:color w:val="202020"/>
        </w:rPr>
        <w:t xml:space="preserve">Mesa técnica de Subvenciones sectorial. </w:t>
      </w:r>
      <w:r>
        <w:rPr>
          <w:rFonts w:ascii="Arial" w:eastAsia="Arial" w:hAnsi="Arial" w:cs="Arial"/>
          <w:i/>
          <w:color w:val="202020"/>
        </w:rPr>
        <w:t>Para el seguimiento y evaluación del Plan Estratégico de Subvenciones, podrá procederse a la creación de una Mesa técnica para cada Concejalía, que se constituirá como Comisión de Seguimiento, en la que se integrará un representante de cada Área y la Inter</w:t>
      </w:r>
      <w:r>
        <w:rPr>
          <w:rFonts w:ascii="Arial" w:eastAsia="Arial" w:hAnsi="Arial" w:cs="Arial"/>
          <w:i/>
          <w:color w:val="202020"/>
        </w:rPr>
        <w:t xml:space="preserve">vención de Fondos. </w:t>
      </w:r>
    </w:p>
    <w:p w:rsidR="00FF384B" w:rsidRDefault="003E3BA9">
      <w:pPr>
        <w:numPr>
          <w:ilvl w:val="0"/>
          <w:numId w:val="28"/>
        </w:numPr>
        <w:spacing w:after="143" w:line="248" w:lineRule="auto"/>
        <w:ind w:right="244" w:hanging="247"/>
        <w:jc w:val="both"/>
      </w:pPr>
      <w:r>
        <w:rPr>
          <w:rFonts w:ascii="Arial" w:eastAsia="Arial" w:hAnsi="Arial" w:cs="Arial"/>
          <w:i/>
          <w:color w:val="202020"/>
        </w:rPr>
        <w:t xml:space="preserve">Dentro de los 6 primeros meses de cada ejercicio, a propuesta de la Intervención municipal, dará cuenta al Pleno de una Memoria de las subvenciones concedidas durante el ejercicio anterior que, en todo caso, contendrá: </w:t>
      </w:r>
    </w:p>
    <w:p w:rsidR="00FF384B" w:rsidRDefault="003E3BA9">
      <w:pPr>
        <w:numPr>
          <w:ilvl w:val="2"/>
          <w:numId w:val="29"/>
        </w:numPr>
        <w:spacing w:after="92" w:line="248" w:lineRule="auto"/>
        <w:ind w:right="244" w:hanging="10"/>
        <w:jc w:val="both"/>
      </w:pPr>
      <w:r>
        <w:rPr>
          <w:rFonts w:ascii="Arial" w:eastAsia="Arial" w:hAnsi="Arial" w:cs="Arial"/>
          <w:i/>
          <w:color w:val="202020"/>
        </w:rPr>
        <w:t>Informe de la ej</w:t>
      </w:r>
      <w:r>
        <w:rPr>
          <w:rFonts w:ascii="Arial" w:eastAsia="Arial" w:hAnsi="Arial" w:cs="Arial"/>
          <w:i/>
          <w:color w:val="202020"/>
        </w:rPr>
        <w:t xml:space="preserve">ecución presupuestaria de las aplicaciones del Presupuesto destinadas a subvenciones. </w:t>
      </w:r>
    </w:p>
    <w:p w:rsidR="00FF384B" w:rsidRDefault="003E3BA9">
      <w:pPr>
        <w:numPr>
          <w:ilvl w:val="2"/>
          <w:numId w:val="29"/>
        </w:numPr>
        <w:spacing w:after="92" w:line="248" w:lineRule="auto"/>
        <w:ind w:right="244" w:hanging="10"/>
        <w:jc w:val="both"/>
      </w:pPr>
      <w:r>
        <w:rPr>
          <w:rFonts w:ascii="Arial" w:eastAsia="Arial" w:hAnsi="Arial" w:cs="Arial"/>
          <w:i/>
          <w:color w:val="202020"/>
        </w:rPr>
        <w:t xml:space="preserve">Relación detallada de todas las subvenciones concedidas así como de su importe en cada uno de los programas de subvenciones establecidos. </w:t>
      </w:r>
    </w:p>
    <w:p w:rsidR="00FF384B" w:rsidRDefault="003E3BA9">
      <w:pPr>
        <w:numPr>
          <w:ilvl w:val="2"/>
          <w:numId w:val="29"/>
        </w:numPr>
        <w:spacing w:after="143" w:line="248" w:lineRule="auto"/>
        <w:ind w:right="244" w:hanging="10"/>
        <w:jc w:val="both"/>
      </w:pPr>
      <w:r>
        <w:rPr>
          <w:rFonts w:ascii="Arial" w:eastAsia="Arial" w:hAnsi="Arial" w:cs="Arial"/>
          <w:i/>
          <w:color w:val="202020"/>
        </w:rPr>
        <w:t>Evaluación de las Líneas estra</w:t>
      </w:r>
      <w:r>
        <w:rPr>
          <w:rFonts w:ascii="Arial" w:eastAsia="Arial" w:hAnsi="Arial" w:cs="Arial"/>
          <w:i/>
          <w:color w:val="202020"/>
        </w:rPr>
        <w:t xml:space="preserve">tégicas establecidas en el Plan estratégico de Subvenciones con el grado de cumplimiento de los distintos objetivos fijados en el mismo. </w:t>
      </w:r>
    </w:p>
    <w:p w:rsidR="00FF384B" w:rsidRDefault="003E3BA9">
      <w:pPr>
        <w:spacing w:after="129"/>
        <w:ind w:left="283"/>
      </w:pPr>
      <w:r>
        <w:rPr>
          <w:rFonts w:ascii="Arial" w:eastAsia="Arial" w:hAnsi="Arial" w:cs="Arial"/>
          <w:i/>
          <w:color w:val="202020"/>
        </w:rPr>
        <w:t xml:space="preserve"> </w:t>
      </w:r>
    </w:p>
    <w:p w:rsidR="00FF384B" w:rsidRDefault="003E3BA9">
      <w:pPr>
        <w:spacing w:after="140" w:line="249" w:lineRule="auto"/>
        <w:ind w:left="278" w:right="240" w:hanging="10"/>
        <w:jc w:val="both"/>
      </w:pPr>
      <w:r>
        <w:rPr>
          <w:rFonts w:ascii="Arial" w:eastAsia="Arial" w:hAnsi="Arial" w:cs="Arial"/>
          <w:b/>
          <w:i/>
          <w:color w:val="202020"/>
        </w:rPr>
        <w:t xml:space="preserve">Artículo 6. Régimen jurídico y convocatorias de las subvenciones. </w:t>
      </w:r>
    </w:p>
    <w:p w:rsidR="00FF384B" w:rsidRDefault="003E3BA9">
      <w:pPr>
        <w:numPr>
          <w:ilvl w:val="0"/>
          <w:numId w:val="30"/>
        </w:numPr>
        <w:spacing w:after="143" w:line="248" w:lineRule="auto"/>
        <w:ind w:right="244" w:hanging="10"/>
        <w:jc w:val="both"/>
      </w:pPr>
      <w:r>
        <w:rPr>
          <w:rFonts w:ascii="Arial" w:eastAsia="Arial" w:hAnsi="Arial" w:cs="Arial"/>
          <w:i/>
          <w:color w:val="202020"/>
        </w:rPr>
        <w:t xml:space="preserve">Las subvenciones municipales del Ayuntamiento de </w:t>
      </w:r>
      <w:r>
        <w:rPr>
          <w:rFonts w:ascii="Arial" w:eastAsia="Arial" w:hAnsi="Arial" w:cs="Arial"/>
          <w:i/>
          <w:color w:val="202020"/>
        </w:rPr>
        <w:t xml:space="preserve">Candelaria, se regularán por lo establecido en la presente Ordenanza, que constituye la normativa y las bases reguladoras generales que establecen y desarrollan el régimen jurídico de las subvenciones. </w:t>
      </w:r>
    </w:p>
    <w:p w:rsidR="00FF384B" w:rsidRDefault="003E3BA9">
      <w:pPr>
        <w:numPr>
          <w:ilvl w:val="0"/>
          <w:numId w:val="30"/>
        </w:numPr>
        <w:spacing w:after="143" w:line="248" w:lineRule="auto"/>
        <w:ind w:right="244" w:hanging="10"/>
        <w:jc w:val="both"/>
      </w:pPr>
      <w:r>
        <w:rPr>
          <w:rFonts w:ascii="Arial" w:eastAsia="Arial" w:hAnsi="Arial" w:cs="Arial"/>
          <w:i/>
          <w:color w:val="202020"/>
        </w:rPr>
        <w:t>Cada Concejalía delegada es el órgano competente para</w:t>
      </w:r>
      <w:r>
        <w:rPr>
          <w:rFonts w:ascii="Arial" w:eastAsia="Arial" w:hAnsi="Arial" w:cs="Arial"/>
          <w:i/>
          <w:color w:val="202020"/>
        </w:rPr>
        <w:t xml:space="preserve"> la aprobación de las convocatorias de las subvenciones que puedan otorgar los órganos de la administración municipal, en el marco de las bases de ejecución del presupuesto y a través de esta Ordenanza general de subvenciones. </w:t>
      </w:r>
    </w:p>
    <w:p w:rsidR="00FF384B" w:rsidRDefault="003E3BA9">
      <w:pPr>
        <w:numPr>
          <w:ilvl w:val="0"/>
          <w:numId w:val="30"/>
        </w:numPr>
        <w:spacing w:after="143" w:line="248" w:lineRule="auto"/>
        <w:ind w:right="244" w:hanging="10"/>
        <w:jc w:val="both"/>
      </w:pPr>
      <w:r>
        <w:rPr>
          <w:rFonts w:ascii="Arial" w:eastAsia="Arial" w:hAnsi="Arial" w:cs="Arial"/>
          <w:i/>
          <w:color w:val="202020"/>
        </w:rPr>
        <w:t>Las convocatorias estarán su</w:t>
      </w:r>
      <w:r>
        <w:rPr>
          <w:rFonts w:ascii="Arial" w:eastAsia="Arial" w:hAnsi="Arial" w:cs="Arial"/>
          <w:i/>
          <w:color w:val="202020"/>
        </w:rPr>
        <w:t xml:space="preserve">jetas a sistema de publicación legalmente establecido, así como al sistema de control interno que se acuerde. </w:t>
      </w:r>
    </w:p>
    <w:p w:rsidR="00FF384B" w:rsidRDefault="003E3BA9">
      <w:pPr>
        <w:spacing w:after="140" w:line="249" w:lineRule="auto"/>
        <w:ind w:left="278" w:right="240" w:hanging="10"/>
        <w:jc w:val="both"/>
      </w:pPr>
      <w:r>
        <w:rPr>
          <w:rFonts w:ascii="Arial" w:eastAsia="Arial" w:hAnsi="Arial" w:cs="Arial"/>
          <w:b/>
          <w:i/>
          <w:color w:val="202020"/>
        </w:rPr>
        <w:t xml:space="preserve">Artículo 7. Contenido de las convocatorias de las subvenciones. </w:t>
      </w:r>
    </w:p>
    <w:p w:rsidR="00FF384B" w:rsidRDefault="003E3BA9">
      <w:pPr>
        <w:numPr>
          <w:ilvl w:val="0"/>
          <w:numId w:val="31"/>
        </w:numPr>
        <w:spacing w:after="143" w:line="248" w:lineRule="auto"/>
        <w:ind w:right="244" w:hanging="10"/>
        <w:jc w:val="both"/>
      </w:pPr>
      <w:r>
        <w:rPr>
          <w:rFonts w:ascii="Arial" w:eastAsia="Arial" w:hAnsi="Arial" w:cs="Arial"/>
          <w:i/>
          <w:color w:val="202020"/>
        </w:rPr>
        <w:t>Las convocatorias de subvenciones tendrán, como contenido mínimo, el regulado en</w:t>
      </w:r>
      <w:r>
        <w:rPr>
          <w:rFonts w:ascii="Arial" w:eastAsia="Arial" w:hAnsi="Arial" w:cs="Arial"/>
          <w:i/>
          <w:color w:val="202020"/>
        </w:rPr>
        <w:t xml:space="preserve"> el artículo 14.5 de la </w:t>
      </w:r>
      <w:r>
        <w:rPr>
          <w:rFonts w:ascii="Arial" w:eastAsia="Arial" w:hAnsi="Arial" w:cs="Arial"/>
          <w:i/>
        </w:rPr>
        <w:t>Decreto 36/2009, de 31 de marzo, por el que se establece el régimen general de subvenciones de la Comunidad Autónoma de Canarias</w:t>
      </w:r>
      <w:r>
        <w:rPr>
          <w:rFonts w:ascii="Arial" w:eastAsia="Arial" w:hAnsi="Arial" w:cs="Arial"/>
          <w:i/>
          <w:color w:val="202020"/>
        </w:rPr>
        <w:t xml:space="preserve"> y lo establecido en la presente Ordenanza, procedimiento de concesión establecido en la misma, así como</w:t>
      </w:r>
      <w:r>
        <w:rPr>
          <w:rFonts w:ascii="Arial" w:eastAsia="Arial" w:hAnsi="Arial" w:cs="Arial"/>
          <w:i/>
          <w:color w:val="202020"/>
        </w:rPr>
        <w:t xml:space="preserve"> en su caso, la aplicación del procedimiento simplificado o la modalidad elegida en el caso de subvenciones nominativas.</w:t>
      </w:r>
      <w:r>
        <w:rPr>
          <w:rFonts w:ascii="Times New Roman" w:eastAsia="Times New Roman" w:hAnsi="Times New Roman" w:cs="Times New Roman"/>
          <w:sz w:val="24"/>
        </w:rPr>
        <w:t xml:space="preserve"> </w:t>
      </w:r>
    </w:p>
    <w:p w:rsidR="00FF384B" w:rsidRDefault="003E3BA9">
      <w:pPr>
        <w:numPr>
          <w:ilvl w:val="0"/>
          <w:numId w:val="31"/>
        </w:numPr>
        <w:spacing w:after="295" w:line="248" w:lineRule="auto"/>
        <w:ind w:right="244" w:hanging="10"/>
        <w:jc w:val="both"/>
      </w:pPr>
      <w:r>
        <w:rPr>
          <w:rFonts w:ascii="Arial" w:eastAsia="Arial" w:hAnsi="Arial" w:cs="Arial"/>
          <w:i/>
          <w:color w:val="202020"/>
        </w:rPr>
        <w:t xml:space="preserve">Las convocatorias deberán de adaptarse al contenido mínimo establecido en el Anexo de la presente Ordenanza. </w:t>
      </w:r>
    </w:p>
    <w:p w:rsidR="00FF384B" w:rsidRDefault="003E3BA9">
      <w:pPr>
        <w:spacing w:after="247" w:line="248" w:lineRule="auto"/>
        <w:ind w:left="278" w:right="244" w:hanging="10"/>
        <w:jc w:val="both"/>
      </w:pPr>
      <w:r>
        <w:rPr>
          <w:rFonts w:ascii="Arial" w:eastAsia="Arial" w:hAnsi="Arial" w:cs="Arial"/>
          <w:i/>
          <w:color w:val="202020"/>
        </w:rPr>
        <w:t>TÍTULO SEGUNDO. BENEFICIARIOS Y ENTIDADES COLABORADORAS.</w:t>
      </w:r>
      <w:r>
        <w:rPr>
          <w:sz w:val="26"/>
        </w:rPr>
        <w:t xml:space="preserve"> </w:t>
      </w:r>
    </w:p>
    <w:p w:rsidR="00FF384B" w:rsidRDefault="003E3BA9">
      <w:pPr>
        <w:spacing w:after="5" w:line="379" w:lineRule="auto"/>
        <w:ind w:left="278" w:right="244" w:hanging="10"/>
        <w:jc w:val="both"/>
      </w:pPr>
      <w:r>
        <w:rPr>
          <w:noProof/>
        </w:rPr>
        <mc:AlternateContent>
          <mc:Choice Requires="wpg">
            <w:drawing>
              <wp:anchor distT="0" distB="0" distL="114300" distR="114300" simplePos="0" relativeHeight="2517196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4631" name="Group 44463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735" name="Picture 16735"/>
                          <pic:cNvPicPr/>
                        </pic:nvPicPr>
                        <pic:blipFill>
                          <a:blip r:embed="rId62"/>
                          <a:stretch>
                            <a:fillRect/>
                          </a:stretch>
                        </pic:blipFill>
                        <pic:spPr>
                          <a:xfrm rot="-5399999">
                            <a:off x="-1720849" y="1720849"/>
                            <a:ext cx="3797300" cy="355601"/>
                          </a:xfrm>
                          <a:prstGeom prst="rect">
                            <a:avLst/>
                          </a:prstGeom>
                        </pic:spPr>
                      </pic:pic>
                      <wps:wsp>
                        <wps:cNvPr id="16736" name="Rectangle 1673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737" name="Rectangle 1673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59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4631" style="width:41.2715pt;height:299pt;position:absolute;mso-position-horizontal-relative:page;mso-position-horizontal:absolute;margin-left:653.71pt;mso-position-vertical-relative:page;margin-top:512.92pt;" coordsize="5241,37973">
                <v:shape id="Picture 16735" style="position:absolute;width:37973;height:3556;left:-17208;top:17208;rotation:-89;" filled="f">
                  <v:imagedata r:id="rId63"/>
                </v:shape>
                <v:rect id="Rectangle 1673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73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353 </w:t>
                        </w:r>
                      </w:p>
                    </w:txbxContent>
                  </v:textbox>
                </v:rect>
                <w10:wrap type="square"/>
              </v:group>
            </w:pict>
          </mc:Fallback>
        </mc:AlternateContent>
      </w:r>
      <w:r>
        <w:rPr>
          <w:rFonts w:ascii="Arial" w:eastAsia="Arial" w:hAnsi="Arial" w:cs="Arial"/>
          <w:i/>
          <w:color w:val="202020"/>
        </w:rPr>
        <w:t>C</w:t>
      </w:r>
      <w:r>
        <w:rPr>
          <w:rFonts w:ascii="Arial" w:eastAsia="Arial" w:hAnsi="Arial" w:cs="Arial"/>
          <w:i/>
          <w:color w:val="202020"/>
        </w:rPr>
        <w:t xml:space="preserve">APÍTULO I. De los beneficiarios. Requisitos y obligaciones. Entidades colaboradoras. </w:t>
      </w:r>
      <w:r>
        <w:rPr>
          <w:rFonts w:ascii="Arial" w:eastAsia="Arial" w:hAnsi="Arial" w:cs="Arial"/>
          <w:color w:val="202020"/>
        </w:rPr>
        <w:t xml:space="preserve">Artículo 8. Beneficiarios. </w:t>
      </w:r>
    </w:p>
    <w:p w:rsidR="00FF384B" w:rsidRDefault="003E3BA9">
      <w:pPr>
        <w:numPr>
          <w:ilvl w:val="0"/>
          <w:numId w:val="32"/>
        </w:numPr>
        <w:spacing w:after="143" w:line="248" w:lineRule="auto"/>
        <w:ind w:right="244" w:hanging="10"/>
        <w:jc w:val="both"/>
      </w:pPr>
      <w:r>
        <w:rPr>
          <w:rFonts w:ascii="Arial" w:eastAsia="Arial" w:hAnsi="Arial" w:cs="Arial"/>
          <w:i/>
          <w:color w:val="202020"/>
        </w:rPr>
        <w:t>Tendrá la consideración de beneficiario de subvenciones la persona física o jurídica que haya de realizar la actividad que fundamentó su otorga</w:t>
      </w:r>
      <w:r>
        <w:rPr>
          <w:rFonts w:ascii="Arial" w:eastAsia="Arial" w:hAnsi="Arial" w:cs="Arial"/>
          <w:i/>
          <w:color w:val="202020"/>
        </w:rPr>
        <w:t xml:space="preserve">miento o que se encuentre en la situación que legitima su concesión. </w:t>
      </w:r>
    </w:p>
    <w:p w:rsidR="00FF384B" w:rsidRDefault="003E3BA9">
      <w:pPr>
        <w:numPr>
          <w:ilvl w:val="0"/>
          <w:numId w:val="32"/>
        </w:numPr>
        <w:spacing w:after="143" w:line="248" w:lineRule="auto"/>
        <w:ind w:right="244" w:hanging="10"/>
        <w:jc w:val="both"/>
      </w:pPr>
      <w:r>
        <w:rPr>
          <w:rFonts w:ascii="Arial" w:eastAsia="Arial" w:hAnsi="Arial" w:cs="Arial"/>
          <w:i/>
          <w:color w:val="202020"/>
        </w:rPr>
        <w:t>Cuando el beneficiario sea una persona jurídica, los miembros asociados del beneficiario que se comprometan a efectuar la totalidad o parte de las actividades que fundamentan la concesió</w:t>
      </w:r>
      <w:r>
        <w:rPr>
          <w:rFonts w:ascii="Arial" w:eastAsia="Arial" w:hAnsi="Arial" w:cs="Arial"/>
          <w:i/>
          <w:color w:val="202020"/>
        </w:rPr>
        <w:t xml:space="preserve">n de la subvención en nombre y por cuenta del primero tendrán igualmente la consideración de beneficiarios. </w:t>
      </w:r>
    </w:p>
    <w:p w:rsidR="00FF384B" w:rsidRDefault="003E3BA9">
      <w:pPr>
        <w:numPr>
          <w:ilvl w:val="0"/>
          <w:numId w:val="32"/>
        </w:numPr>
        <w:spacing w:after="143" w:line="248" w:lineRule="auto"/>
        <w:ind w:right="244" w:hanging="10"/>
        <w:jc w:val="both"/>
      </w:pPr>
      <w:r>
        <w:rPr>
          <w:rFonts w:ascii="Arial" w:eastAsia="Arial" w:hAnsi="Arial" w:cs="Arial"/>
          <w:i/>
          <w:color w:val="202020"/>
        </w:rPr>
        <w:t>Cuando se prevea expresamente en las convocatorias, podrán acceder a la condición de beneficiario las agrupaciones de personas físicas o jurídicas,</w:t>
      </w:r>
      <w:r>
        <w:rPr>
          <w:rFonts w:ascii="Arial" w:eastAsia="Arial" w:hAnsi="Arial" w:cs="Arial"/>
          <w:i/>
          <w:color w:val="202020"/>
        </w:rPr>
        <w:t xml:space="preserve"> públicas o privadas, las comunidades de bienes o cualquier otro tipo de unidad económica o patrimonio separado que, aun careciendo de personalidad jurídica, puedan llevar a cabo los proyectos, actividades o comportamientos o se encuentren en la situación </w:t>
      </w:r>
      <w:r>
        <w:rPr>
          <w:rFonts w:ascii="Arial" w:eastAsia="Arial" w:hAnsi="Arial" w:cs="Arial"/>
          <w:i/>
          <w:color w:val="202020"/>
        </w:rPr>
        <w:t xml:space="preserve">que motiva la concesión de la subvención. </w:t>
      </w:r>
    </w:p>
    <w:p w:rsidR="00FF384B" w:rsidRDefault="003E3BA9">
      <w:pPr>
        <w:spacing w:after="142" w:line="248" w:lineRule="auto"/>
        <w:ind w:left="278" w:right="244" w:hanging="10"/>
        <w:jc w:val="both"/>
      </w:pPr>
      <w:r>
        <w:rPr>
          <w:rFonts w:ascii="Arial" w:eastAsia="Arial" w:hAnsi="Arial" w:cs="Arial"/>
          <w:color w:val="202020"/>
        </w:rPr>
        <w:t xml:space="preserve">Artículo 9. Entidades colaboradoras. </w:t>
      </w:r>
    </w:p>
    <w:p w:rsidR="00FF384B" w:rsidRDefault="003E3BA9">
      <w:pPr>
        <w:numPr>
          <w:ilvl w:val="0"/>
          <w:numId w:val="33"/>
        </w:numPr>
        <w:spacing w:after="143" w:line="248" w:lineRule="auto"/>
        <w:ind w:right="244" w:hanging="10"/>
        <w:jc w:val="both"/>
      </w:pPr>
      <w:r>
        <w:rPr>
          <w:rFonts w:ascii="Arial" w:eastAsia="Arial" w:hAnsi="Arial" w:cs="Arial"/>
          <w:i/>
          <w:color w:val="202020"/>
        </w:rPr>
        <w:t>Será entidad colaboradora aquella que, actuando en nombre y por cuenta del órgano concedente, a todos los efectos relacionados con la subvención, entregue y distribuya los fon</w:t>
      </w:r>
      <w:r>
        <w:rPr>
          <w:rFonts w:ascii="Arial" w:eastAsia="Arial" w:hAnsi="Arial" w:cs="Arial"/>
          <w:i/>
          <w:color w:val="202020"/>
        </w:rPr>
        <w:t xml:space="preserve">dos públicos a los beneficiarios, o colabore en la gestión de la subvención, sin que se produzca la previa entrega y distribución de los fondos recibidos. Estos fondos, en ningún caso, se considerarán integrantes de su patrimonio. </w:t>
      </w:r>
    </w:p>
    <w:p w:rsidR="00FF384B" w:rsidRDefault="003E3BA9">
      <w:pPr>
        <w:spacing w:after="143" w:line="248" w:lineRule="auto"/>
        <w:ind w:left="278" w:right="244" w:hanging="10"/>
        <w:jc w:val="both"/>
      </w:pPr>
      <w:r>
        <w:rPr>
          <w:rFonts w:ascii="Arial" w:eastAsia="Arial" w:hAnsi="Arial" w:cs="Arial"/>
          <w:i/>
          <w:color w:val="202020"/>
        </w:rPr>
        <w:t xml:space="preserve">Igualmente tendrán esta condición los que habiendo sido denominados beneficiarios conforme a la normativa comunitaria, tengan encomendadas exclusivamente las funciones enumeradas en el párrafo anterior. </w:t>
      </w:r>
    </w:p>
    <w:p w:rsidR="00FF384B" w:rsidRDefault="003E3BA9">
      <w:pPr>
        <w:numPr>
          <w:ilvl w:val="0"/>
          <w:numId w:val="33"/>
        </w:numPr>
        <w:spacing w:after="143" w:line="248" w:lineRule="auto"/>
        <w:ind w:right="244" w:hanging="10"/>
        <w:jc w:val="both"/>
      </w:pPr>
      <w:r>
        <w:rPr>
          <w:rFonts w:ascii="Arial" w:eastAsia="Arial" w:hAnsi="Arial" w:cs="Arial"/>
          <w:i/>
          <w:color w:val="202020"/>
        </w:rPr>
        <w:t>Podrán ser consideradas entidades colaboradoras, los</w:t>
      </w:r>
      <w:r>
        <w:rPr>
          <w:rFonts w:ascii="Arial" w:eastAsia="Arial" w:hAnsi="Arial" w:cs="Arial"/>
          <w:i/>
          <w:color w:val="202020"/>
        </w:rPr>
        <w:t xml:space="preserve"> organismos y demás entes de derecho público dependientes del Ayuntamiento, las sociedades mercantiles participadas íntegra o mayoritariamente por el mismo y las asociaciones a que se refiere la disposición adicional quinta de la Ley 7/1985, de 2 de abril,</w:t>
      </w:r>
      <w:r>
        <w:rPr>
          <w:rFonts w:ascii="Arial" w:eastAsia="Arial" w:hAnsi="Arial" w:cs="Arial"/>
          <w:i/>
          <w:color w:val="202020"/>
        </w:rPr>
        <w:t xml:space="preserve"> reguladora de las Bases de Régimen Local, modificada por la Ley 57/2003, de 16 de diciembre, de Medidas para la Modernización del Gobierno Local, y por la Ley 27/2013, de 27 de diciembre, de racionalización y sostenibilidad de la Administración Local, así</w:t>
      </w:r>
      <w:r>
        <w:rPr>
          <w:rFonts w:ascii="Arial" w:eastAsia="Arial" w:hAnsi="Arial" w:cs="Arial"/>
          <w:i/>
          <w:color w:val="202020"/>
        </w:rPr>
        <w:t xml:space="preserve"> como las demás personas jurídicas públicas o privadas que reúnan las condiciones de solvencia y eficacia que se establezcan. </w:t>
      </w:r>
    </w:p>
    <w:p w:rsidR="00FF384B" w:rsidRDefault="003E3BA9">
      <w:pPr>
        <w:numPr>
          <w:ilvl w:val="0"/>
          <w:numId w:val="33"/>
        </w:numPr>
        <w:spacing w:after="143" w:line="248" w:lineRule="auto"/>
        <w:ind w:right="244" w:hanging="10"/>
        <w:jc w:val="both"/>
      </w:pPr>
      <w:r>
        <w:rPr>
          <w:rFonts w:ascii="Arial" w:eastAsia="Arial" w:hAnsi="Arial" w:cs="Arial"/>
          <w:i/>
          <w:color w:val="202020"/>
        </w:rPr>
        <w:t>El Ayuntamiento de Candelaria podrá actuar como entidad colaboradora de las subvenciones concedidas por la Administración General</w:t>
      </w:r>
      <w:r>
        <w:rPr>
          <w:rFonts w:ascii="Arial" w:eastAsia="Arial" w:hAnsi="Arial" w:cs="Arial"/>
          <w:i/>
          <w:color w:val="202020"/>
        </w:rPr>
        <w:t xml:space="preserve"> del Estado, la Administración de la Comunidad Autónoma de Canarias, así como sus respectivos organismos públicos y demás entes que tengan que ajustar su actividad al derecho público. De igual forma, y en los mismos términos, la Administración General del </w:t>
      </w:r>
      <w:r>
        <w:rPr>
          <w:rFonts w:ascii="Arial" w:eastAsia="Arial" w:hAnsi="Arial" w:cs="Arial"/>
          <w:i/>
          <w:color w:val="202020"/>
        </w:rPr>
        <w:t xml:space="preserve">Estado, la Administración de la Comunidad Autónoma de Canarias y sus respectivos organismos públicos, podrán actuar como entidades colaboradoras respecto de las subvenciones concedidas por el Ayuntamiento de Candelaria y sus entes dependientes. </w:t>
      </w:r>
    </w:p>
    <w:p w:rsidR="00FF384B" w:rsidRDefault="003E3BA9">
      <w:pPr>
        <w:spacing w:after="142" w:line="248" w:lineRule="auto"/>
        <w:ind w:left="278" w:right="244" w:hanging="10"/>
        <w:jc w:val="both"/>
      </w:pPr>
      <w:r>
        <w:rPr>
          <w:rFonts w:ascii="Arial" w:eastAsia="Arial" w:hAnsi="Arial" w:cs="Arial"/>
          <w:color w:val="202020"/>
        </w:rPr>
        <w:t>Artículo 1</w:t>
      </w:r>
      <w:r>
        <w:rPr>
          <w:rFonts w:ascii="Arial" w:eastAsia="Arial" w:hAnsi="Arial" w:cs="Arial"/>
          <w:color w:val="202020"/>
        </w:rPr>
        <w:t xml:space="preserve">0. Requisitos para obtener la condición de beneficiario o entidad colaboradora. </w:t>
      </w:r>
    </w:p>
    <w:p w:rsidR="00FF384B" w:rsidRDefault="003E3BA9">
      <w:pPr>
        <w:numPr>
          <w:ilvl w:val="0"/>
          <w:numId w:val="34"/>
        </w:numPr>
        <w:spacing w:after="143" w:line="248" w:lineRule="auto"/>
        <w:ind w:right="244" w:hanging="10"/>
        <w:jc w:val="both"/>
      </w:pPr>
      <w:r>
        <w:rPr>
          <w:noProof/>
        </w:rPr>
        <mc:AlternateContent>
          <mc:Choice Requires="wpg">
            <w:drawing>
              <wp:anchor distT="0" distB="0" distL="114300" distR="114300" simplePos="0" relativeHeight="2517207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4525" name="Group 44452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6888" name="Picture 16888"/>
                          <pic:cNvPicPr/>
                        </pic:nvPicPr>
                        <pic:blipFill>
                          <a:blip r:embed="rId62"/>
                          <a:stretch>
                            <a:fillRect/>
                          </a:stretch>
                        </pic:blipFill>
                        <pic:spPr>
                          <a:xfrm rot="-5399999">
                            <a:off x="-1720849" y="1720849"/>
                            <a:ext cx="3797300" cy="355601"/>
                          </a:xfrm>
                          <a:prstGeom prst="rect">
                            <a:avLst/>
                          </a:prstGeom>
                        </pic:spPr>
                      </pic:pic>
                      <wps:wsp>
                        <wps:cNvPr id="16889" name="Rectangle 168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6890" name="Rectangle 1689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w:t>
                              </w:r>
                              <w:r>
                                <w:rPr>
                                  <w:rFonts w:ascii="Arial" w:eastAsia="Arial" w:hAnsi="Arial" w:cs="Arial"/>
                                  <w:sz w:val="12"/>
                                </w:rPr>
                                <w:t xml:space="preserve">a | Página 60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4525" style="width:41.2715pt;height:299pt;position:absolute;mso-position-horizontal-relative:page;mso-position-horizontal:absolute;margin-left:653.71pt;mso-position-vertical-relative:page;margin-top:512.92pt;" coordsize="5241,37973">
                <v:shape id="Picture 16888" style="position:absolute;width:37973;height:3556;left:-17208;top:17208;rotation:-89;" filled="f">
                  <v:imagedata r:id="rId63"/>
                </v:shape>
                <v:rect id="Rectangle 168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689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353 </w:t>
                        </w:r>
                      </w:p>
                    </w:txbxContent>
                  </v:textbox>
                </v:rect>
                <w10:wrap type="square"/>
              </v:group>
            </w:pict>
          </mc:Fallback>
        </mc:AlternateContent>
      </w:r>
      <w:r>
        <w:rPr>
          <w:rFonts w:ascii="Arial" w:eastAsia="Arial" w:hAnsi="Arial" w:cs="Arial"/>
          <w:i/>
          <w:color w:val="202020"/>
        </w:rPr>
        <w:t>Podrán obtener la condición de beneficiario o entidad colaboradora, las personas o entidades que se encuentren en la situación que fundamenta la concesión de la subvención o en las que concurran las circunstancias previstas en la conv</w:t>
      </w:r>
      <w:r>
        <w:rPr>
          <w:rFonts w:ascii="Arial" w:eastAsia="Arial" w:hAnsi="Arial" w:cs="Arial"/>
          <w:i/>
          <w:color w:val="202020"/>
        </w:rPr>
        <w:t xml:space="preserve">ocatoria. </w:t>
      </w:r>
    </w:p>
    <w:p w:rsidR="00FF384B" w:rsidRDefault="003E3BA9">
      <w:pPr>
        <w:numPr>
          <w:ilvl w:val="0"/>
          <w:numId w:val="34"/>
        </w:numPr>
        <w:spacing w:after="143" w:line="248" w:lineRule="auto"/>
        <w:ind w:right="244" w:hanging="10"/>
        <w:jc w:val="both"/>
      </w:pPr>
      <w:r>
        <w:rPr>
          <w:rFonts w:ascii="Arial" w:eastAsia="Arial" w:hAnsi="Arial" w:cs="Arial"/>
          <w:i/>
          <w:color w:val="202020"/>
        </w:rPr>
        <w:t>No podrán obtener la condición de beneficiario o entidad colaboradora de las subvenciones reguladas en esta Ordenanza, las personas o entidades en quienes concurra alguna de las circunstancias previstas en la legislación vigente, salvo que por l</w:t>
      </w:r>
      <w:r>
        <w:rPr>
          <w:rFonts w:ascii="Arial" w:eastAsia="Arial" w:hAnsi="Arial" w:cs="Arial"/>
          <w:i/>
          <w:color w:val="202020"/>
        </w:rPr>
        <w:t xml:space="preserve">a naturaleza de la subvención se exceptúe por su normativa reguladora. </w:t>
      </w:r>
    </w:p>
    <w:p w:rsidR="00FF384B" w:rsidRDefault="003E3BA9">
      <w:pPr>
        <w:numPr>
          <w:ilvl w:val="1"/>
          <w:numId w:val="34"/>
        </w:numPr>
        <w:spacing w:after="92" w:line="248" w:lineRule="auto"/>
        <w:ind w:right="244" w:hanging="10"/>
        <w:jc w:val="both"/>
      </w:pPr>
      <w:r>
        <w:rPr>
          <w:rFonts w:ascii="Arial" w:eastAsia="Arial" w:hAnsi="Arial" w:cs="Arial"/>
          <w:i/>
          <w:color w:val="202020"/>
        </w:rPr>
        <w:t>Haber sido condenados mediante sentencia firme a la pena de pérdida de la posibilidad de obtener subvenciones o ayudas públicas o por delitos de prevaricación, cohecho, malversación de</w:t>
      </w:r>
      <w:r>
        <w:rPr>
          <w:rFonts w:ascii="Arial" w:eastAsia="Arial" w:hAnsi="Arial" w:cs="Arial"/>
          <w:i/>
          <w:color w:val="202020"/>
        </w:rPr>
        <w:t xml:space="preserve"> caudales públicos, tráfico de influencias, fraudes y exacciones ilegales o delitos urbanísticos. </w:t>
      </w:r>
    </w:p>
    <w:p w:rsidR="00FF384B" w:rsidRDefault="003E3BA9">
      <w:pPr>
        <w:numPr>
          <w:ilvl w:val="1"/>
          <w:numId w:val="34"/>
        </w:numPr>
        <w:spacing w:after="92" w:line="248" w:lineRule="auto"/>
        <w:ind w:right="244" w:hanging="10"/>
        <w:jc w:val="both"/>
      </w:pPr>
      <w:r>
        <w:rPr>
          <w:rFonts w:ascii="Arial" w:eastAsia="Arial" w:hAnsi="Arial" w:cs="Arial"/>
          <w:i/>
          <w:color w:val="202020"/>
        </w:rPr>
        <w:t xml:space="preserve">Haber solicitado la declaración de concurso voluntario, haber sido declarados insolventes en cualquier procedimiento, hallarse declarados en concurso, salvo </w:t>
      </w:r>
      <w:r>
        <w:rPr>
          <w:rFonts w:ascii="Arial" w:eastAsia="Arial" w:hAnsi="Arial" w:cs="Arial"/>
          <w:i/>
          <w:color w:val="202020"/>
        </w:rPr>
        <w:t>que en éste haya adquirido la eficacia un convenio, estar sujetos a intervención judicial o haber sido inhabilitados conforme a la Ley 22/2003, de 9 de julio, Concursal, sin que haya concluido el período de inhabilitación fijado en la sentencia de califica</w:t>
      </w:r>
      <w:r>
        <w:rPr>
          <w:rFonts w:ascii="Arial" w:eastAsia="Arial" w:hAnsi="Arial" w:cs="Arial"/>
          <w:i/>
          <w:color w:val="202020"/>
        </w:rPr>
        <w:t xml:space="preserve">ción del concurso. </w:t>
      </w:r>
    </w:p>
    <w:p w:rsidR="00FF384B" w:rsidRDefault="003E3BA9">
      <w:pPr>
        <w:numPr>
          <w:ilvl w:val="1"/>
          <w:numId w:val="34"/>
        </w:numPr>
        <w:spacing w:after="95" w:line="248" w:lineRule="auto"/>
        <w:ind w:right="244" w:hanging="10"/>
        <w:jc w:val="both"/>
      </w:pPr>
      <w:r>
        <w:rPr>
          <w:rFonts w:ascii="Arial" w:eastAsia="Arial" w:hAnsi="Arial" w:cs="Arial"/>
          <w:i/>
          <w:color w:val="202020"/>
        </w:rPr>
        <w:t xml:space="preserve">Haber dado lugar, por causa de la que hubiesen sido declarados culpables, a la resolución firme de cualquier contrato celebrado con la Administración. </w:t>
      </w:r>
    </w:p>
    <w:p w:rsidR="00FF384B" w:rsidRDefault="003E3BA9">
      <w:pPr>
        <w:numPr>
          <w:ilvl w:val="1"/>
          <w:numId w:val="34"/>
        </w:numPr>
        <w:spacing w:after="92" w:line="248" w:lineRule="auto"/>
        <w:ind w:right="244" w:hanging="10"/>
        <w:jc w:val="both"/>
      </w:pPr>
      <w:r>
        <w:rPr>
          <w:rFonts w:ascii="Arial" w:eastAsia="Arial" w:hAnsi="Arial" w:cs="Arial"/>
          <w:i/>
          <w:color w:val="202020"/>
        </w:rPr>
        <w:t>Estar incursa la persona física, los administradores de las sociedades mercantiles o aquellos que ostenten la representación legal de otras personas jurídicas, en alguno de los supuestos de la Ley 3/2015, de 30 de marzo, reguladora del ejercicio del alto c</w:t>
      </w:r>
      <w:r>
        <w:rPr>
          <w:rFonts w:ascii="Arial" w:eastAsia="Arial" w:hAnsi="Arial" w:cs="Arial"/>
          <w:i/>
          <w:color w:val="202020"/>
        </w:rPr>
        <w:t>argo de la Administración General del Estado, de la Ley 53/1984, de 26 de diciembre, de incompatibilidades del Personal al Servicio de las Administraciones Públicas, o tratarse de cualquiera de los cargos electivos regulados en la Ley Orgánica 5/1985, de 1</w:t>
      </w:r>
      <w:r>
        <w:rPr>
          <w:rFonts w:ascii="Arial" w:eastAsia="Arial" w:hAnsi="Arial" w:cs="Arial"/>
          <w:i/>
          <w:color w:val="202020"/>
        </w:rPr>
        <w:t xml:space="preserve">9 de junio, del Régimen Electoral General, en los términos establecidos en la misma o en la normativa autonómica que regule estas materias. </w:t>
      </w:r>
    </w:p>
    <w:p w:rsidR="00FF384B" w:rsidRDefault="003E3BA9">
      <w:pPr>
        <w:numPr>
          <w:ilvl w:val="1"/>
          <w:numId w:val="34"/>
        </w:numPr>
        <w:spacing w:after="92" w:line="248" w:lineRule="auto"/>
        <w:ind w:right="244" w:hanging="10"/>
        <w:jc w:val="both"/>
      </w:pPr>
      <w:r>
        <w:rPr>
          <w:rFonts w:ascii="Arial" w:eastAsia="Arial" w:hAnsi="Arial" w:cs="Arial"/>
          <w:i/>
          <w:color w:val="202020"/>
        </w:rPr>
        <w:t>No hallarse al corriente en el cumplimiento de las obligaciones tributarias o frente a la Seguridad Social impuesta</w:t>
      </w:r>
      <w:r>
        <w:rPr>
          <w:rFonts w:ascii="Arial" w:eastAsia="Arial" w:hAnsi="Arial" w:cs="Arial"/>
          <w:i/>
          <w:color w:val="202020"/>
        </w:rPr>
        <w:t xml:space="preserve">s por las disposiciones vigentes, en la forma que se determine reglamentariamente. </w:t>
      </w:r>
    </w:p>
    <w:p w:rsidR="00FF384B" w:rsidRDefault="003E3BA9">
      <w:pPr>
        <w:numPr>
          <w:ilvl w:val="1"/>
          <w:numId w:val="34"/>
        </w:numPr>
        <w:spacing w:after="92" w:line="248" w:lineRule="auto"/>
        <w:ind w:right="244" w:hanging="10"/>
        <w:jc w:val="both"/>
      </w:pPr>
      <w:r>
        <w:rPr>
          <w:rFonts w:ascii="Arial" w:eastAsia="Arial" w:hAnsi="Arial" w:cs="Arial"/>
          <w:i/>
          <w:color w:val="202020"/>
        </w:rPr>
        <w:t xml:space="preserve">Tener la residencia fiscal en un país o territorio calificado reglamentariamente como paraíso fiscal. </w:t>
      </w:r>
    </w:p>
    <w:p w:rsidR="00FF384B" w:rsidRDefault="003E3BA9">
      <w:pPr>
        <w:numPr>
          <w:ilvl w:val="1"/>
          <w:numId w:val="34"/>
        </w:numPr>
        <w:spacing w:after="92" w:line="248" w:lineRule="auto"/>
        <w:ind w:right="244" w:hanging="10"/>
        <w:jc w:val="both"/>
      </w:pPr>
      <w:r>
        <w:rPr>
          <w:rFonts w:ascii="Arial" w:eastAsia="Arial" w:hAnsi="Arial" w:cs="Arial"/>
          <w:i/>
          <w:color w:val="202020"/>
        </w:rPr>
        <w:t>No hallarse al corriente de pago de obligaciones por reintegro de sub</w:t>
      </w:r>
      <w:r>
        <w:rPr>
          <w:rFonts w:ascii="Arial" w:eastAsia="Arial" w:hAnsi="Arial" w:cs="Arial"/>
          <w:i/>
          <w:color w:val="202020"/>
        </w:rPr>
        <w:t xml:space="preserve">venciones en los términos que reglamentariamente se determinen. </w:t>
      </w:r>
    </w:p>
    <w:p w:rsidR="00FF384B" w:rsidRDefault="003E3BA9">
      <w:pPr>
        <w:numPr>
          <w:ilvl w:val="1"/>
          <w:numId w:val="34"/>
        </w:numPr>
        <w:spacing w:after="92" w:line="248" w:lineRule="auto"/>
        <w:ind w:right="244" w:hanging="10"/>
        <w:jc w:val="both"/>
      </w:pPr>
      <w:r>
        <w:rPr>
          <w:rFonts w:ascii="Arial" w:eastAsia="Arial" w:hAnsi="Arial" w:cs="Arial"/>
          <w:i/>
          <w:color w:val="202020"/>
        </w:rPr>
        <w:t xml:space="preserve">Haber sido sancionado mediante resolución firme con la pérdida de la posibilidad de obtener subvenciones conforme a ésta u otras leyes que así lo establezcan. </w:t>
      </w:r>
    </w:p>
    <w:p w:rsidR="00FF384B" w:rsidRDefault="003E3BA9">
      <w:pPr>
        <w:numPr>
          <w:ilvl w:val="1"/>
          <w:numId w:val="34"/>
        </w:numPr>
        <w:spacing w:after="92" w:line="248" w:lineRule="auto"/>
        <w:ind w:right="244" w:hanging="10"/>
        <w:jc w:val="both"/>
      </w:pPr>
      <w:r>
        <w:rPr>
          <w:rFonts w:ascii="Arial" w:eastAsia="Arial" w:hAnsi="Arial" w:cs="Arial"/>
          <w:i/>
          <w:color w:val="202020"/>
        </w:rPr>
        <w:t>No podrán acceder a la condició</w:t>
      </w:r>
      <w:r>
        <w:rPr>
          <w:rFonts w:ascii="Arial" w:eastAsia="Arial" w:hAnsi="Arial" w:cs="Arial"/>
          <w:i/>
          <w:color w:val="202020"/>
        </w:rPr>
        <w:t xml:space="preserve">n de beneficiarios las agrupaciones previstas en el artículo 11.3, párrafo segundo de la ley General de Subvenciones, cuando concurra alguna de las prohibiciones anteriores en cualquiera de sus miembros. </w:t>
      </w:r>
    </w:p>
    <w:p w:rsidR="00FF384B" w:rsidRDefault="003E3BA9">
      <w:pPr>
        <w:numPr>
          <w:ilvl w:val="1"/>
          <w:numId w:val="34"/>
        </w:numPr>
        <w:spacing w:after="92" w:line="248" w:lineRule="auto"/>
        <w:ind w:right="244" w:hanging="10"/>
        <w:jc w:val="both"/>
      </w:pPr>
      <w:r>
        <w:rPr>
          <w:noProof/>
        </w:rPr>
        <mc:AlternateContent>
          <mc:Choice Requires="wpg">
            <w:drawing>
              <wp:anchor distT="0" distB="0" distL="114300" distR="114300" simplePos="0" relativeHeight="2517217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4815" name="Group 44481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032" name="Picture 17032"/>
                          <pic:cNvPicPr/>
                        </pic:nvPicPr>
                        <pic:blipFill>
                          <a:blip r:embed="rId62"/>
                          <a:stretch>
                            <a:fillRect/>
                          </a:stretch>
                        </pic:blipFill>
                        <pic:spPr>
                          <a:xfrm rot="-5399999">
                            <a:off x="-1720849" y="1720849"/>
                            <a:ext cx="3797300" cy="355601"/>
                          </a:xfrm>
                          <a:prstGeom prst="rect">
                            <a:avLst/>
                          </a:prstGeom>
                        </pic:spPr>
                      </pic:pic>
                      <wps:wsp>
                        <wps:cNvPr id="17033" name="Rectangle 1703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17034" name="Rectangle 1703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4815" style="width:41.2715pt;height:299pt;position:absolute;mso-position-horizontal-relative:page;mso-position-horizontal:absolute;margin-left:653.71pt;mso-position-vertical-relative:page;margin-top:512.92pt;" coordsize="5241,37973">
                <v:shape id="Picture 17032" style="position:absolute;width:37973;height:3556;left:-17208;top:17208;rotation:-89;" filled="f">
                  <v:imagedata r:id="rId63"/>
                </v:shape>
                <v:rect id="Rectangle 1703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03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353 </w:t>
                        </w:r>
                      </w:p>
                    </w:txbxContent>
                  </v:textbox>
                </v:rect>
                <w10:wrap type="square"/>
              </v:group>
            </w:pict>
          </mc:Fallback>
        </mc:AlternateContent>
      </w:r>
      <w:r>
        <w:rPr>
          <w:rFonts w:ascii="Arial" w:eastAsia="Arial" w:hAnsi="Arial" w:cs="Arial"/>
          <w:i/>
          <w:color w:val="202020"/>
        </w:rPr>
        <w:t>Las prohibiciones de obtener subvenciones afectarán también a aquellas empresas de las que, por razón de las p</w:t>
      </w:r>
      <w:r>
        <w:rPr>
          <w:rFonts w:ascii="Arial" w:eastAsia="Arial" w:hAnsi="Arial" w:cs="Arial"/>
          <w:i/>
          <w:color w:val="202020"/>
        </w:rPr>
        <w:t xml:space="preserve">ersonas que las rigen o de otras circunstancias, pueda presumirse que son continuación o que derivan, por transformación, fusión o sucesión, de otras empresas en las que hubiesen concurrido aquéllas. </w:t>
      </w:r>
    </w:p>
    <w:p w:rsidR="00FF384B" w:rsidRDefault="003E3BA9">
      <w:pPr>
        <w:numPr>
          <w:ilvl w:val="1"/>
          <w:numId w:val="34"/>
        </w:numPr>
        <w:spacing w:after="0" w:line="248" w:lineRule="auto"/>
        <w:ind w:right="244" w:hanging="10"/>
        <w:jc w:val="both"/>
      </w:pPr>
      <w:r>
        <w:rPr>
          <w:rFonts w:ascii="Arial" w:eastAsia="Arial" w:hAnsi="Arial" w:cs="Arial"/>
          <w:i/>
          <w:color w:val="202020"/>
        </w:rPr>
        <w:t>En ningún caso podrán obtener la condición de beneficia</w:t>
      </w:r>
      <w:r>
        <w:rPr>
          <w:rFonts w:ascii="Arial" w:eastAsia="Arial" w:hAnsi="Arial" w:cs="Arial"/>
          <w:i/>
          <w:color w:val="202020"/>
        </w:rPr>
        <w:t xml:space="preserve">rio o entidad colaboradora de las subvenciones reguladas en esta ley las asociaciones incursas en las causas de prohibición previstas en los apartados 5 y 6 del artículo 4 de la Ley Orgánica 1/2002, de 22 de marzo, reguladora del Derecho de Asociación. </w:t>
      </w:r>
    </w:p>
    <w:p w:rsidR="00FF384B" w:rsidRDefault="003E3BA9">
      <w:pPr>
        <w:spacing w:after="92" w:line="248" w:lineRule="auto"/>
        <w:ind w:left="1013" w:right="244" w:hanging="10"/>
        <w:jc w:val="both"/>
      </w:pPr>
      <w:r>
        <w:rPr>
          <w:rFonts w:ascii="Arial" w:eastAsia="Arial" w:hAnsi="Arial" w:cs="Arial"/>
          <w:i/>
          <w:color w:val="202020"/>
        </w:rPr>
        <w:t>Ta</w:t>
      </w:r>
      <w:r>
        <w:rPr>
          <w:rFonts w:ascii="Arial" w:eastAsia="Arial" w:hAnsi="Arial" w:cs="Arial"/>
          <w:i/>
          <w:color w:val="202020"/>
        </w:rPr>
        <w:t>mpoco podrán obtener la condición de beneficiario o entidad colaboradora las asociaciones respecto de las que se hubiera suspendido el procedimiento administrativo de inscripción por encontrarse indicios racionales de ilicitud penal, en aplicación de lo di</w:t>
      </w:r>
      <w:r>
        <w:rPr>
          <w:rFonts w:ascii="Arial" w:eastAsia="Arial" w:hAnsi="Arial" w:cs="Arial"/>
          <w:i/>
          <w:color w:val="202020"/>
        </w:rPr>
        <w:t xml:space="preserve">spuesto en el artículo 30.4 de la Ley Orgánica 1/2002, en tanto no recaiga resolución judicial firme en cuya virtud pueda practicarse la inscripción en el correspondiente registro. </w:t>
      </w:r>
    </w:p>
    <w:p w:rsidR="00FF384B" w:rsidRDefault="003E3BA9">
      <w:pPr>
        <w:numPr>
          <w:ilvl w:val="1"/>
          <w:numId w:val="34"/>
        </w:numPr>
        <w:spacing w:after="92" w:line="248" w:lineRule="auto"/>
        <w:ind w:right="244" w:hanging="10"/>
        <w:jc w:val="both"/>
      </w:pPr>
      <w:r>
        <w:rPr>
          <w:rFonts w:ascii="Arial" w:eastAsia="Arial" w:hAnsi="Arial" w:cs="Arial"/>
          <w:i/>
          <w:color w:val="202020"/>
        </w:rPr>
        <w:t xml:space="preserve">Las prohibiciones contenidas en los párrafos b), d), e), f), g), h), i) y j) del apartado 2 y en el apartado 3 de este artículo se apreciarán de forma automática y subsistirán mientras concurran las circunstancias que, en cada caso, las determinen. </w:t>
      </w:r>
    </w:p>
    <w:p w:rsidR="00FF384B" w:rsidRDefault="003E3BA9">
      <w:pPr>
        <w:numPr>
          <w:ilvl w:val="1"/>
          <w:numId w:val="34"/>
        </w:numPr>
        <w:spacing w:after="0" w:line="248" w:lineRule="auto"/>
        <w:ind w:right="244" w:hanging="10"/>
        <w:jc w:val="both"/>
      </w:pPr>
      <w:r>
        <w:rPr>
          <w:rFonts w:ascii="Arial" w:eastAsia="Arial" w:hAnsi="Arial" w:cs="Arial"/>
          <w:i/>
          <w:color w:val="202020"/>
        </w:rPr>
        <w:t>Las pr</w:t>
      </w:r>
      <w:r>
        <w:rPr>
          <w:rFonts w:ascii="Arial" w:eastAsia="Arial" w:hAnsi="Arial" w:cs="Arial"/>
          <w:i/>
          <w:color w:val="202020"/>
        </w:rPr>
        <w:t>ohibiciones contenidas en los párrafos a) y h) del apartado 2 de este artículo se apreciarán de forma automática. El alcance de la prohibición será el que determine la sentencia o resolución firme. En su defecto, el alcance se fijará de acuerdo con el proc</w:t>
      </w:r>
      <w:r>
        <w:rPr>
          <w:rFonts w:ascii="Arial" w:eastAsia="Arial" w:hAnsi="Arial" w:cs="Arial"/>
          <w:i/>
          <w:color w:val="202020"/>
        </w:rPr>
        <w:t xml:space="preserve">edimiento determinado reglamentariamente, sin que pueda exceder de cinco años en caso de que la prohibición no derive de sentencia firme. </w:t>
      </w:r>
    </w:p>
    <w:p w:rsidR="00FF384B" w:rsidRDefault="003E3BA9">
      <w:pPr>
        <w:numPr>
          <w:ilvl w:val="1"/>
          <w:numId w:val="34"/>
        </w:numPr>
        <w:spacing w:after="94" w:line="248" w:lineRule="auto"/>
        <w:ind w:right="244" w:hanging="10"/>
        <w:jc w:val="both"/>
      </w:pPr>
      <w:r>
        <w:rPr>
          <w:rFonts w:ascii="Arial" w:eastAsia="Arial" w:hAnsi="Arial" w:cs="Arial"/>
          <w:i/>
          <w:color w:val="202020"/>
        </w:rPr>
        <w:t xml:space="preserve">La apreciación y alcance de la prohibición contenida en el párrafo c) del apartado 2 de este </w:t>
      </w:r>
      <w:r>
        <w:rPr>
          <w:rFonts w:ascii="Arial" w:eastAsia="Arial" w:hAnsi="Arial" w:cs="Arial"/>
          <w:i/>
          <w:color w:val="202020"/>
        </w:rPr>
        <w:t xml:space="preserve">artículo se determinará de acuerdo con lo establecido en el artículo 72, en relación con el artículo 71 de la Ley de Contratos del Sector Público. </w:t>
      </w:r>
    </w:p>
    <w:p w:rsidR="00FF384B" w:rsidRDefault="003E3BA9">
      <w:pPr>
        <w:numPr>
          <w:ilvl w:val="0"/>
          <w:numId w:val="34"/>
        </w:numPr>
        <w:spacing w:after="143" w:line="248" w:lineRule="auto"/>
        <w:ind w:right="244" w:hanging="10"/>
        <w:jc w:val="both"/>
      </w:pPr>
      <w:r>
        <w:rPr>
          <w:rFonts w:ascii="Arial" w:eastAsia="Arial" w:hAnsi="Arial" w:cs="Arial"/>
          <w:i/>
          <w:color w:val="202020"/>
        </w:rPr>
        <w:t>La justificación por parte de las personas o entidades de no estar incursos en las prohibiciones para obtene</w:t>
      </w:r>
      <w:r>
        <w:rPr>
          <w:rFonts w:ascii="Arial" w:eastAsia="Arial" w:hAnsi="Arial" w:cs="Arial"/>
          <w:i/>
          <w:color w:val="202020"/>
        </w:rPr>
        <w:t>r la condición de beneficiario o entidad colaboradora, señaladas en el apartado anterior, podrá realizarse mediante testimonio judicial, certificados telemáticos o transmisiones de datos, de acuerdo con lo establecido en la normativa reglamentaria que regu</w:t>
      </w:r>
      <w:r>
        <w:rPr>
          <w:rFonts w:ascii="Arial" w:eastAsia="Arial" w:hAnsi="Arial" w:cs="Arial"/>
          <w:i/>
          <w:color w:val="202020"/>
        </w:rPr>
        <w:t>le la utilización de técnicas electrónicas, informáticas y telemáticas por la Administración General del Estado o de las comunidades autónomas, o certificación administrativa, según los casos, y cuando dicho documento no pueda ser expedido por la autoridad</w:t>
      </w:r>
      <w:r>
        <w:rPr>
          <w:rFonts w:ascii="Arial" w:eastAsia="Arial" w:hAnsi="Arial" w:cs="Arial"/>
          <w:i/>
          <w:color w:val="202020"/>
        </w:rPr>
        <w:t xml:space="preserve"> competente, podrá ser sustituido por una declaración responsable otorgada ante una autoridad administrativa o notario público. </w:t>
      </w:r>
    </w:p>
    <w:p w:rsidR="00FF384B" w:rsidRDefault="003E3BA9">
      <w:pPr>
        <w:spacing w:after="142" w:line="248" w:lineRule="auto"/>
        <w:ind w:left="278" w:right="244" w:hanging="10"/>
        <w:jc w:val="both"/>
      </w:pPr>
      <w:r>
        <w:rPr>
          <w:rFonts w:ascii="Arial" w:eastAsia="Arial" w:hAnsi="Arial" w:cs="Arial"/>
          <w:color w:val="202020"/>
        </w:rPr>
        <w:t xml:space="preserve">Artículo 11. Obligaciones de los beneficiarios. </w:t>
      </w:r>
    </w:p>
    <w:p w:rsidR="00FF384B" w:rsidRDefault="003E3BA9">
      <w:pPr>
        <w:spacing w:after="143" w:line="248" w:lineRule="auto"/>
        <w:ind w:left="278" w:right="244" w:hanging="10"/>
        <w:jc w:val="both"/>
      </w:pPr>
      <w:r>
        <w:rPr>
          <w:rFonts w:ascii="Arial" w:eastAsia="Arial" w:hAnsi="Arial" w:cs="Arial"/>
          <w:i/>
          <w:color w:val="202020"/>
        </w:rPr>
        <w:t>1. Son obligaciones del beneficiario, además de las previstas en la legislació</w:t>
      </w:r>
      <w:r>
        <w:rPr>
          <w:rFonts w:ascii="Arial" w:eastAsia="Arial" w:hAnsi="Arial" w:cs="Arial"/>
          <w:i/>
          <w:color w:val="202020"/>
        </w:rPr>
        <w:t xml:space="preserve">n vigente: </w:t>
      </w:r>
    </w:p>
    <w:p w:rsidR="00FF384B" w:rsidRDefault="003E3BA9">
      <w:pPr>
        <w:numPr>
          <w:ilvl w:val="0"/>
          <w:numId w:val="35"/>
        </w:numPr>
        <w:spacing w:after="92" w:line="248" w:lineRule="auto"/>
        <w:ind w:right="244" w:hanging="247"/>
        <w:jc w:val="both"/>
      </w:pPr>
      <w:r>
        <w:rPr>
          <w:rFonts w:ascii="Arial" w:eastAsia="Arial" w:hAnsi="Arial" w:cs="Arial"/>
          <w:i/>
          <w:color w:val="202020"/>
        </w:rPr>
        <w:t xml:space="preserve">Cumplir el objetivo, ejecutar el proyecto, realizar la actividad o adoptar el comportamiento que fundamenta la concesión de las subvenciones. </w:t>
      </w:r>
    </w:p>
    <w:p w:rsidR="00FF384B" w:rsidRDefault="003E3BA9">
      <w:pPr>
        <w:numPr>
          <w:ilvl w:val="0"/>
          <w:numId w:val="35"/>
        </w:numPr>
        <w:spacing w:after="92" w:line="248" w:lineRule="auto"/>
        <w:ind w:right="244" w:hanging="247"/>
        <w:jc w:val="both"/>
      </w:pPr>
      <w:r>
        <w:rPr>
          <w:rFonts w:ascii="Arial" w:eastAsia="Arial" w:hAnsi="Arial" w:cs="Arial"/>
          <w:i/>
          <w:color w:val="202020"/>
        </w:rPr>
        <w:t>Justificar ante el órgano concedente o la entidad colaboradora, en su caso, el cumplimiento de los re</w:t>
      </w:r>
      <w:r>
        <w:rPr>
          <w:rFonts w:ascii="Arial" w:eastAsia="Arial" w:hAnsi="Arial" w:cs="Arial"/>
          <w:i/>
          <w:color w:val="202020"/>
        </w:rPr>
        <w:t xml:space="preserve">quisitos y condiciones, así como la realización de la actividad y el cumplimiento de la finalidad que determinen la concesión o disfrute de la subvención. </w:t>
      </w:r>
    </w:p>
    <w:p w:rsidR="00FF384B" w:rsidRDefault="003E3BA9">
      <w:pPr>
        <w:numPr>
          <w:ilvl w:val="0"/>
          <w:numId w:val="35"/>
        </w:numPr>
        <w:spacing w:after="90" w:line="249" w:lineRule="auto"/>
        <w:ind w:right="244" w:hanging="247"/>
        <w:jc w:val="both"/>
      </w:pPr>
      <w:r>
        <w:rPr>
          <w:noProof/>
        </w:rPr>
        <mc:AlternateContent>
          <mc:Choice Requires="wpg">
            <w:drawing>
              <wp:anchor distT="0" distB="0" distL="114300" distR="114300" simplePos="0" relativeHeight="2517227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4583" name="Group 44458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173" name="Picture 17173"/>
                          <pic:cNvPicPr/>
                        </pic:nvPicPr>
                        <pic:blipFill>
                          <a:blip r:embed="rId62"/>
                          <a:stretch>
                            <a:fillRect/>
                          </a:stretch>
                        </pic:blipFill>
                        <pic:spPr>
                          <a:xfrm rot="-5399999">
                            <a:off x="-1720849" y="1720849"/>
                            <a:ext cx="3797300" cy="355601"/>
                          </a:xfrm>
                          <a:prstGeom prst="rect">
                            <a:avLst/>
                          </a:prstGeom>
                        </pic:spPr>
                      </pic:pic>
                      <wps:wsp>
                        <wps:cNvPr id="17174" name="Rectangle 171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175" name="Rectangle 1717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4583" style="width:41.2715pt;height:299pt;position:absolute;mso-position-horizontal-relative:page;mso-position-horizontal:absolute;margin-left:653.71pt;mso-position-vertical-relative:page;margin-top:512.92pt;" coordsize="5241,37973">
                <v:shape id="Picture 17173" style="position:absolute;width:37973;height:3556;left:-17208;top:17208;rotation:-89;" filled="f">
                  <v:imagedata r:id="rId63"/>
                </v:shape>
                <v:rect id="Rectangle 171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17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353 </w:t>
                        </w:r>
                      </w:p>
                    </w:txbxContent>
                  </v:textbox>
                </v:rect>
                <w10:wrap type="square"/>
              </v:group>
            </w:pict>
          </mc:Fallback>
        </mc:AlternateContent>
      </w:r>
      <w:r>
        <w:rPr>
          <w:rFonts w:ascii="Arial" w:eastAsia="Arial" w:hAnsi="Arial" w:cs="Arial"/>
          <w:i/>
          <w:color w:val="202020"/>
        </w:rPr>
        <w:t>Someterse a las actuaciones de comprobación, a efectuar por el órgano concedente o la entidad colaboradora, en su caso, así como cualesquiera otras de comproba</w:t>
      </w:r>
      <w:r>
        <w:rPr>
          <w:rFonts w:ascii="Arial" w:eastAsia="Arial" w:hAnsi="Arial" w:cs="Arial"/>
          <w:i/>
          <w:color w:val="202020"/>
        </w:rPr>
        <w:t xml:space="preserve">ción y control financiero que puedan realizar los órganos de control competentes, tanto nacionales como comunitarios, aportando cuanta información le sea requerida en el ejercicio de las actuaciones anteriores. </w:t>
      </w:r>
    </w:p>
    <w:p w:rsidR="00FF384B" w:rsidRDefault="003E3BA9">
      <w:pPr>
        <w:numPr>
          <w:ilvl w:val="0"/>
          <w:numId w:val="35"/>
        </w:numPr>
        <w:spacing w:after="0" w:line="240" w:lineRule="auto"/>
        <w:ind w:right="244" w:hanging="247"/>
        <w:jc w:val="both"/>
      </w:pPr>
      <w:r>
        <w:rPr>
          <w:rFonts w:ascii="Arial" w:eastAsia="Arial" w:hAnsi="Arial" w:cs="Arial"/>
          <w:i/>
          <w:color w:val="202020"/>
        </w:rPr>
        <w:t xml:space="preserve">Comunicar al órgano concedente o la entidad colaboradora la obtención de otras subvenciones, ayudas, ingresos o recursos que financien las actividades subvencionadas. </w:t>
      </w:r>
    </w:p>
    <w:p w:rsidR="00FF384B" w:rsidRDefault="003E3BA9">
      <w:pPr>
        <w:spacing w:after="92" w:line="248" w:lineRule="auto"/>
        <w:ind w:left="1013" w:right="244" w:hanging="10"/>
        <w:jc w:val="both"/>
      </w:pPr>
      <w:r>
        <w:rPr>
          <w:rFonts w:ascii="Arial" w:eastAsia="Arial" w:hAnsi="Arial" w:cs="Arial"/>
          <w:i/>
          <w:color w:val="202020"/>
        </w:rPr>
        <w:t>Esta comunicación deberá efectuarse tan pronto como se conozca y, en todo caso, con ante</w:t>
      </w:r>
      <w:r>
        <w:rPr>
          <w:rFonts w:ascii="Arial" w:eastAsia="Arial" w:hAnsi="Arial" w:cs="Arial"/>
          <w:i/>
          <w:color w:val="202020"/>
        </w:rPr>
        <w:t xml:space="preserve">rioridad a la justificación de la aplicación dada a los fondos percibidos. </w:t>
      </w:r>
    </w:p>
    <w:p w:rsidR="00FF384B" w:rsidRDefault="003E3BA9">
      <w:pPr>
        <w:numPr>
          <w:ilvl w:val="0"/>
          <w:numId w:val="35"/>
        </w:numPr>
        <w:spacing w:after="92" w:line="248" w:lineRule="auto"/>
        <w:ind w:right="244" w:hanging="247"/>
        <w:jc w:val="both"/>
      </w:pPr>
      <w:r>
        <w:rPr>
          <w:rFonts w:ascii="Arial" w:eastAsia="Arial" w:hAnsi="Arial" w:cs="Arial"/>
          <w:i/>
          <w:color w:val="202020"/>
        </w:rPr>
        <w:t>Acreditar con anterioridad a dictarse la propuesta de resolución de concesión que se halla al corriente en el cumplimiento de sus obligaciones tributarias y frente a la Seguridad S</w:t>
      </w:r>
      <w:r>
        <w:rPr>
          <w:rFonts w:ascii="Arial" w:eastAsia="Arial" w:hAnsi="Arial" w:cs="Arial"/>
          <w:i/>
          <w:color w:val="202020"/>
        </w:rPr>
        <w:t xml:space="preserve">ocial. </w:t>
      </w:r>
    </w:p>
    <w:p w:rsidR="00FF384B" w:rsidRDefault="003E3BA9">
      <w:pPr>
        <w:numPr>
          <w:ilvl w:val="0"/>
          <w:numId w:val="35"/>
        </w:numPr>
        <w:spacing w:after="92" w:line="248" w:lineRule="auto"/>
        <w:ind w:right="244" w:hanging="247"/>
        <w:jc w:val="both"/>
      </w:pPr>
      <w:r>
        <w:rPr>
          <w:rFonts w:ascii="Arial" w:eastAsia="Arial" w:hAnsi="Arial" w:cs="Arial"/>
          <w:i/>
          <w:color w:val="202020"/>
        </w:rPr>
        <w:t>Disponer de los libros contables, registros diligenciados y demás documentos debidamente auditados en los términos exigidos por la legislación mercantil y sectorial aplicable al beneficiario en cada caso, así como cuantos estados contables y regist</w:t>
      </w:r>
      <w:r>
        <w:rPr>
          <w:rFonts w:ascii="Arial" w:eastAsia="Arial" w:hAnsi="Arial" w:cs="Arial"/>
          <w:i/>
          <w:color w:val="202020"/>
        </w:rPr>
        <w:t xml:space="preserve">ros específicos sean exigidos por las bases reguladoras de las subvenciones, con la finalidad de garantizar el adecuado ejercicio de las facultades de comprobación y control. </w:t>
      </w:r>
    </w:p>
    <w:p w:rsidR="00FF384B" w:rsidRDefault="003E3BA9">
      <w:pPr>
        <w:numPr>
          <w:ilvl w:val="0"/>
          <w:numId w:val="35"/>
        </w:numPr>
        <w:spacing w:after="143" w:line="248" w:lineRule="auto"/>
        <w:ind w:right="244" w:hanging="247"/>
        <w:jc w:val="both"/>
      </w:pPr>
      <w:r>
        <w:rPr>
          <w:rFonts w:ascii="Arial" w:eastAsia="Arial" w:hAnsi="Arial" w:cs="Arial"/>
          <w:i/>
          <w:color w:val="202020"/>
        </w:rPr>
        <w:t>Conservar los documentos justificativos de la aplicación de los fondos recibidos</w:t>
      </w:r>
      <w:r>
        <w:rPr>
          <w:rFonts w:ascii="Arial" w:eastAsia="Arial" w:hAnsi="Arial" w:cs="Arial"/>
          <w:i/>
          <w:color w:val="202020"/>
        </w:rPr>
        <w:t xml:space="preserve">, incluidos los documentos electrónicos, en tanto puedan ser objeto de las actuaciones de comprobación y control. </w:t>
      </w:r>
    </w:p>
    <w:p w:rsidR="00FF384B" w:rsidRDefault="003E3BA9">
      <w:pPr>
        <w:numPr>
          <w:ilvl w:val="0"/>
          <w:numId w:val="35"/>
        </w:numPr>
        <w:spacing w:after="92" w:line="248" w:lineRule="auto"/>
        <w:ind w:right="244" w:hanging="247"/>
        <w:jc w:val="both"/>
      </w:pPr>
      <w:r>
        <w:rPr>
          <w:rFonts w:ascii="Arial" w:eastAsia="Arial" w:hAnsi="Arial" w:cs="Arial"/>
          <w:i/>
          <w:color w:val="202020"/>
        </w:rPr>
        <w:t xml:space="preserve">Adoptar las medidas de difusión contenidas en el apartado 4 del artículo 18 de esta ley. </w:t>
      </w:r>
    </w:p>
    <w:p w:rsidR="00FF384B" w:rsidRDefault="003E3BA9">
      <w:pPr>
        <w:numPr>
          <w:ilvl w:val="0"/>
          <w:numId w:val="35"/>
        </w:numPr>
        <w:spacing w:after="92" w:line="248" w:lineRule="auto"/>
        <w:ind w:right="244" w:hanging="247"/>
        <w:jc w:val="both"/>
      </w:pPr>
      <w:r>
        <w:rPr>
          <w:rFonts w:ascii="Arial" w:eastAsia="Arial" w:hAnsi="Arial" w:cs="Arial"/>
          <w:i/>
          <w:color w:val="202020"/>
        </w:rPr>
        <w:t>Proceder al reintegro de los fondos percibidos en l</w:t>
      </w:r>
      <w:r>
        <w:rPr>
          <w:rFonts w:ascii="Arial" w:eastAsia="Arial" w:hAnsi="Arial" w:cs="Arial"/>
          <w:i/>
          <w:color w:val="202020"/>
        </w:rPr>
        <w:t xml:space="preserve">os supuestos contemplados en el artículo 37 de la Ley General de Subvenciones. </w:t>
      </w:r>
    </w:p>
    <w:p w:rsidR="00FF384B" w:rsidRDefault="003E3BA9">
      <w:pPr>
        <w:numPr>
          <w:ilvl w:val="0"/>
          <w:numId w:val="35"/>
        </w:numPr>
        <w:spacing w:after="93" w:line="248" w:lineRule="auto"/>
        <w:ind w:right="244" w:hanging="247"/>
        <w:jc w:val="both"/>
      </w:pPr>
      <w:r>
        <w:rPr>
          <w:rFonts w:ascii="Arial" w:eastAsia="Arial" w:hAnsi="Arial" w:cs="Arial"/>
          <w:i/>
          <w:color w:val="202020"/>
        </w:rPr>
        <w:t>Dar la adecuada publicidad de que los programas, actividades, inversiones o actuaciones de cualquier tipo que sean objeto de subvención son financiadas por el Ayuntamiento o su</w:t>
      </w:r>
      <w:r>
        <w:rPr>
          <w:rFonts w:ascii="Arial" w:eastAsia="Arial" w:hAnsi="Arial" w:cs="Arial"/>
          <w:i/>
          <w:color w:val="202020"/>
        </w:rPr>
        <w:t xml:space="preserve">s organismos o entes dependientes. </w:t>
      </w:r>
    </w:p>
    <w:p w:rsidR="00FF384B" w:rsidRDefault="003E3BA9">
      <w:pPr>
        <w:numPr>
          <w:ilvl w:val="0"/>
          <w:numId w:val="35"/>
        </w:numPr>
        <w:spacing w:after="89" w:line="248" w:lineRule="auto"/>
        <w:ind w:right="244" w:hanging="247"/>
        <w:jc w:val="both"/>
      </w:pPr>
      <w:r>
        <w:rPr>
          <w:rFonts w:ascii="Arial" w:eastAsia="Arial" w:hAnsi="Arial" w:cs="Arial"/>
          <w:i/>
          <w:color w:val="202020"/>
        </w:rPr>
        <w:t xml:space="preserve">Presentar la documentación en los formatos normalizados al efecto. </w:t>
      </w:r>
    </w:p>
    <w:p w:rsidR="00FF384B" w:rsidRDefault="003E3BA9">
      <w:pPr>
        <w:numPr>
          <w:ilvl w:val="0"/>
          <w:numId w:val="35"/>
        </w:numPr>
        <w:spacing w:after="89" w:line="248" w:lineRule="auto"/>
        <w:ind w:right="244" w:hanging="247"/>
        <w:jc w:val="both"/>
      </w:pPr>
      <w:r>
        <w:rPr>
          <w:rFonts w:ascii="Arial" w:eastAsia="Arial" w:hAnsi="Arial" w:cs="Arial"/>
          <w:i/>
          <w:color w:val="202020"/>
        </w:rPr>
        <w:t xml:space="preserve">Presentar las solicitudes de forma telemática cuando así se establezca. </w:t>
      </w:r>
    </w:p>
    <w:p w:rsidR="00FF384B" w:rsidRDefault="003E3BA9">
      <w:pPr>
        <w:numPr>
          <w:ilvl w:val="0"/>
          <w:numId w:val="35"/>
        </w:numPr>
        <w:spacing w:after="92" w:line="248" w:lineRule="auto"/>
        <w:ind w:right="244" w:hanging="247"/>
        <w:jc w:val="both"/>
      </w:pPr>
      <w:r>
        <w:rPr>
          <w:rFonts w:ascii="Arial" w:eastAsia="Arial" w:hAnsi="Arial" w:cs="Arial"/>
          <w:i/>
          <w:color w:val="202020"/>
        </w:rPr>
        <w:t>Comunicar al órgano concedente cualquier circunstancia que provoque una modific</w:t>
      </w:r>
      <w:r>
        <w:rPr>
          <w:rFonts w:ascii="Arial" w:eastAsia="Arial" w:hAnsi="Arial" w:cs="Arial"/>
          <w:i/>
          <w:color w:val="202020"/>
        </w:rPr>
        <w:t xml:space="preserve">ación en los términos de la actuación subvencionada, en el plazo de un mes desde que se produjo la modificación. </w:t>
      </w:r>
    </w:p>
    <w:p w:rsidR="00FF384B" w:rsidRDefault="003E3BA9">
      <w:pPr>
        <w:numPr>
          <w:ilvl w:val="0"/>
          <w:numId w:val="35"/>
        </w:numPr>
        <w:spacing w:after="143" w:line="248" w:lineRule="auto"/>
        <w:ind w:right="244" w:hanging="247"/>
        <w:jc w:val="both"/>
      </w:pPr>
      <w:r>
        <w:rPr>
          <w:rFonts w:ascii="Arial" w:eastAsia="Arial" w:hAnsi="Arial" w:cs="Arial"/>
          <w:i/>
          <w:color w:val="202020"/>
        </w:rPr>
        <w:t>Acreditar el efectivo cumplimiento de los requisitos y la realización de la actividad en todas las subvenciones que le hayan sido concedidas a</w:t>
      </w:r>
      <w:r>
        <w:rPr>
          <w:rFonts w:ascii="Arial" w:eastAsia="Arial" w:hAnsi="Arial" w:cs="Arial"/>
          <w:i/>
          <w:color w:val="202020"/>
        </w:rPr>
        <w:t>l beneficiario con anterioridad para un mismo destino y finalidad en ejercicios anteriores por alguno de los sujetos comprendidos en los apartados 1 y 2 del artículo 2 de esta ley, aunque se trate de diferentes fases o aspectos de un mismo proyecto. La con</w:t>
      </w:r>
      <w:r>
        <w:rPr>
          <w:rFonts w:ascii="Arial" w:eastAsia="Arial" w:hAnsi="Arial" w:cs="Arial"/>
          <w:i/>
          <w:color w:val="202020"/>
        </w:rPr>
        <w:t xml:space="preserve">vocatoria establecerá la forma de acreditación. </w:t>
      </w:r>
    </w:p>
    <w:p w:rsidR="00FF384B" w:rsidRDefault="003E3BA9">
      <w:pPr>
        <w:spacing w:after="142" w:line="248" w:lineRule="auto"/>
        <w:ind w:left="278" w:right="244" w:hanging="10"/>
        <w:jc w:val="both"/>
      </w:pPr>
      <w:r>
        <w:rPr>
          <w:rFonts w:ascii="Arial" w:eastAsia="Arial" w:hAnsi="Arial" w:cs="Arial"/>
          <w:color w:val="202020"/>
        </w:rPr>
        <w:t xml:space="preserve">Artículo 12. Obligaciones de las entidades colaboradoras. </w:t>
      </w:r>
    </w:p>
    <w:p w:rsidR="00FF384B" w:rsidRDefault="003E3BA9">
      <w:pPr>
        <w:numPr>
          <w:ilvl w:val="0"/>
          <w:numId w:val="36"/>
        </w:numPr>
        <w:spacing w:after="143" w:line="248" w:lineRule="auto"/>
        <w:ind w:right="244" w:hanging="10"/>
        <w:jc w:val="both"/>
      </w:pPr>
      <w:r>
        <w:rPr>
          <w:noProof/>
        </w:rPr>
        <mc:AlternateContent>
          <mc:Choice Requires="wpg">
            <w:drawing>
              <wp:anchor distT="0" distB="0" distL="114300" distR="114300" simplePos="0" relativeHeight="2517237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5017" name="Group 44501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305" name="Picture 17305"/>
                          <pic:cNvPicPr/>
                        </pic:nvPicPr>
                        <pic:blipFill>
                          <a:blip r:embed="rId62"/>
                          <a:stretch>
                            <a:fillRect/>
                          </a:stretch>
                        </pic:blipFill>
                        <pic:spPr>
                          <a:xfrm rot="-5399999">
                            <a:off x="-1720849" y="1720849"/>
                            <a:ext cx="3797300" cy="355601"/>
                          </a:xfrm>
                          <a:prstGeom prst="rect">
                            <a:avLst/>
                          </a:prstGeom>
                        </pic:spPr>
                      </pic:pic>
                      <wps:wsp>
                        <wps:cNvPr id="17306" name="Rectangle 1730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307" name="Rectangle 1730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5017" style="width:41.2715pt;height:299pt;position:absolute;mso-position-horizontal-relative:page;mso-position-horizontal:absolute;margin-left:653.71pt;mso-position-vertical-relative:page;margin-top:512.92pt;" coordsize="5241,37973">
                <v:shape id="Picture 17305" style="position:absolute;width:37973;height:3556;left:-17208;top:17208;rotation:-89;" filled="f">
                  <v:imagedata r:id="rId63"/>
                </v:shape>
                <v:rect id="Rectangle 1730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30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353 </w:t>
                        </w:r>
                      </w:p>
                    </w:txbxContent>
                  </v:textbox>
                </v:rect>
                <w10:wrap type="square"/>
              </v:group>
            </w:pict>
          </mc:Fallback>
        </mc:AlternateContent>
      </w:r>
      <w:r>
        <w:rPr>
          <w:rFonts w:ascii="Arial" w:eastAsia="Arial" w:hAnsi="Arial" w:cs="Arial"/>
          <w:i/>
          <w:color w:val="202020"/>
        </w:rPr>
        <w:t>Para la regulación de las condiciones de las entidades colaboradoras se formalizará un convenio de colaboración entre el órgano administrativo concedente y la ent</w:t>
      </w:r>
      <w:r>
        <w:rPr>
          <w:rFonts w:ascii="Arial" w:eastAsia="Arial" w:hAnsi="Arial" w:cs="Arial"/>
          <w:i/>
          <w:color w:val="202020"/>
        </w:rPr>
        <w:t xml:space="preserve">idad colaboradora, en el que se regularán las condiciones y obligaciones asumidas por ésta. </w:t>
      </w:r>
    </w:p>
    <w:p w:rsidR="00FF384B" w:rsidRDefault="003E3BA9">
      <w:pPr>
        <w:numPr>
          <w:ilvl w:val="0"/>
          <w:numId w:val="36"/>
        </w:numPr>
        <w:spacing w:after="143" w:line="248" w:lineRule="auto"/>
        <w:ind w:right="244" w:hanging="10"/>
        <w:jc w:val="both"/>
      </w:pPr>
      <w:r>
        <w:rPr>
          <w:rFonts w:ascii="Arial" w:eastAsia="Arial" w:hAnsi="Arial" w:cs="Arial"/>
          <w:i/>
          <w:color w:val="202020"/>
        </w:rPr>
        <w:t>El convenio de colaboración no podrá tener un plazo de vigencia superior a tres años, si bien podrá preverse en el mismo, su modificación y su prórroga por mutuo a</w:t>
      </w:r>
      <w:r>
        <w:rPr>
          <w:rFonts w:ascii="Arial" w:eastAsia="Arial" w:hAnsi="Arial" w:cs="Arial"/>
          <w:i/>
          <w:color w:val="202020"/>
        </w:rPr>
        <w:t xml:space="preserve">cuerdo de las partes antes de la finalización de aquél, sin que la duración total de las prórrogas pueda ser superior a la vigencia del período inicial y sin que en conjunto, la duración total del convenio de colaboración pueda exceder de seis años. </w:t>
      </w:r>
      <w:r>
        <w:rPr>
          <w:rFonts w:ascii="Arial" w:eastAsia="Arial" w:hAnsi="Arial" w:cs="Arial"/>
          <w:color w:val="202020"/>
        </w:rPr>
        <w:t>Artícu</w:t>
      </w:r>
      <w:r>
        <w:rPr>
          <w:rFonts w:ascii="Arial" w:eastAsia="Arial" w:hAnsi="Arial" w:cs="Arial"/>
          <w:color w:val="202020"/>
        </w:rPr>
        <w:t xml:space="preserve">lo 13. Órganos competentes para la concesión de subvenciones. </w:t>
      </w:r>
    </w:p>
    <w:p w:rsidR="00FF384B" w:rsidRDefault="003E3BA9">
      <w:pPr>
        <w:spacing w:after="143" w:line="248" w:lineRule="auto"/>
        <w:ind w:left="268" w:right="244" w:firstLine="708"/>
        <w:jc w:val="both"/>
      </w:pPr>
      <w:r>
        <w:rPr>
          <w:rFonts w:ascii="Arial" w:eastAsia="Arial" w:hAnsi="Arial" w:cs="Arial"/>
          <w:i/>
          <w:color w:val="202020"/>
        </w:rPr>
        <w:t xml:space="preserve">Son órganos competentes para la concesión de ayudas y subvenciones, la Alcaldía o persona en quien delegue. </w:t>
      </w:r>
    </w:p>
    <w:p w:rsidR="00FF384B" w:rsidRDefault="003E3BA9">
      <w:pPr>
        <w:spacing w:after="131"/>
        <w:ind w:left="283"/>
      </w:pPr>
      <w:r>
        <w:rPr>
          <w:rFonts w:ascii="Arial" w:eastAsia="Arial" w:hAnsi="Arial" w:cs="Arial"/>
          <w:i/>
          <w:color w:val="202020"/>
        </w:rPr>
        <w:t xml:space="preserve"> </w:t>
      </w:r>
    </w:p>
    <w:p w:rsidR="00FF384B" w:rsidRDefault="003E3BA9">
      <w:pPr>
        <w:spacing w:after="51" w:line="248" w:lineRule="auto"/>
        <w:ind w:left="278" w:right="244" w:hanging="10"/>
        <w:jc w:val="both"/>
      </w:pPr>
      <w:r>
        <w:rPr>
          <w:rFonts w:ascii="Arial" w:eastAsia="Arial" w:hAnsi="Arial" w:cs="Arial"/>
          <w:i/>
          <w:color w:val="202020"/>
        </w:rPr>
        <w:t xml:space="preserve">TÍTULO III. TIPOS Y PROCEDIMIENTOS DE CONCESIÓN DE LAS SUBVENCIONES </w:t>
      </w:r>
    </w:p>
    <w:p w:rsidR="00FF384B" w:rsidRDefault="003E3BA9">
      <w:pPr>
        <w:spacing w:after="0"/>
        <w:ind w:left="283"/>
      </w:pPr>
      <w:r>
        <w:rPr>
          <w:rFonts w:ascii="Arial" w:eastAsia="Arial" w:hAnsi="Arial" w:cs="Arial"/>
        </w:rPr>
        <w:t xml:space="preserve"> </w:t>
      </w:r>
    </w:p>
    <w:p w:rsidR="00FF384B" w:rsidRDefault="003E3BA9">
      <w:pPr>
        <w:spacing w:after="143" w:line="248" w:lineRule="auto"/>
        <w:ind w:left="278" w:right="244" w:hanging="10"/>
        <w:jc w:val="both"/>
      </w:pPr>
      <w:r>
        <w:rPr>
          <w:rFonts w:ascii="Arial" w:eastAsia="Arial" w:hAnsi="Arial" w:cs="Arial"/>
          <w:i/>
          <w:color w:val="202020"/>
        </w:rPr>
        <w:t>CAPÍTULO I.</w:t>
      </w:r>
      <w:r>
        <w:rPr>
          <w:rFonts w:ascii="Arial" w:eastAsia="Arial" w:hAnsi="Arial" w:cs="Arial"/>
          <w:i/>
          <w:color w:val="202020"/>
        </w:rPr>
        <w:t xml:space="preserve"> De los tipos y los procedimientos de concesión de las subvenciones. </w:t>
      </w:r>
    </w:p>
    <w:p w:rsidR="00FF384B" w:rsidRDefault="003E3BA9">
      <w:pPr>
        <w:spacing w:after="142" w:line="248" w:lineRule="auto"/>
        <w:ind w:left="278" w:right="244" w:hanging="10"/>
        <w:jc w:val="both"/>
      </w:pPr>
      <w:r>
        <w:rPr>
          <w:rFonts w:ascii="Arial" w:eastAsia="Arial" w:hAnsi="Arial" w:cs="Arial"/>
          <w:color w:val="202020"/>
        </w:rPr>
        <w:t xml:space="preserve">Artículo 14. Tipos de procedimiento de concesión. </w:t>
      </w:r>
    </w:p>
    <w:p w:rsidR="00FF384B" w:rsidRDefault="003E3BA9">
      <w:pPr>
        <w:numPr>
          <w:ilvl w:val="0"/>
          <w:numId w:val="37"/>
        </w:numPr>
        <w:spacing w:after="143" w:line="248" w:lineRule="auto"/>
        <w:ind w:right="244" w:hanging="10"/>
        <w:jc w:val="both"/>
      </w:pPr>
      <w:r>
        <w:rPr>
          <w:rFonts w:ascii="Arial" w:eastAsia="Arial" w:hAnsi="Arial" w:cs="Arial"/>
          <w:i/>
          <w:color w:val="202020"/>
        </w:rPr>
        <w:t xml:space="preserve">Las subvenciones podrán concederse en régimen de concurrencia competitiva que será el procedimiento ordinario, preferente y general o de forma directa. </w:t>
      </w:r>
    </w:p>
    <w:p w:rsidR="00FF384B" w:rsidRDefault="003E3BA9">
      <w:pPr>
        <w:spacing w:after="143" w:line="248" w:lineRule="auto"/>
        <w:ind w:left="278" w:right="244" w:hanging="10"/>
        <w:jc w:val="both"/>
      </w:pPr>
      <w:r>
        <w:rPr>
          <w:rFonts w:ascii="Arial" w:eastAsia="Arial" w:hAnsi="Arial" w:cs="Arial"/>
          <w:i/>
          <w:color w:val="202020"/>
        </w:rPr>
        <w:t>Podrán concederse de forma directa, cuando así se prevea en el Plan Estratégico, las siguientes subvenc</w:t>
      </w:r>
      <w:r>
        <w:rPr>
          <w:rFonts w:ascii="Arial" w:eastAsia="Arial" w:hAnsi="Arial" w:cs="Arial"/>
          <w:i/>
          <w:color w:val="202020"/>
        </w:rPr>
        <w:t xml:space="preserve">iones: </w:t>
      </w:r>
    </w:p>
    <w:p w:rsidR="00FF384B" w:rsidRDefault="003E3BA9">
      <w:pPr>
        <w:numPr>
          <w:ilvl w:val="1"/>
          <w:numId w:val="37"/>
        </w:numPr>
        <w:spacing w:after="88" w:line="249" w:lineRule="auto"/>
        <w:ind w:right="244" w:hanging="259"/>
        <w:jc w:val="both"/>
      </w:pPr>
      <w:r>
        <w:rPr>
          <w:rFonts w:ascii="Arial" w:eastAsia="Arial" w:hAnsi="Arial" w:cs="Arial"/>
          <w:i/>
          <w:color w:val="202020"/>
        </w:rPr>
        <w:t xml:space="preserve">Las previstas nominativamente en el Presupuesto General Municipal. </w:t>
      </w:r>
    </w:p>
    <w:p w:rsidR="00FF384B" w:rsidRDefault="003E3BA9">
      <w:pPr>
        <w:numPr>
          <w:ilvl w:val="1"/>
          <w:numId w:val="37"/>
        </w:numPr>
        <w:spacing w:after="92" w:line="248" w:lineRule="auto"/>
        <w:ind w:right="244" w:hanging="259"/>
        <w:jc w:val="both"/>
      </w:pPr>
      <w:r>
        <w:rPr>
          <w:rFonts w:ascii="Arial" w:eastAsia="Arial" w:hAnsi="Arial" w:cs="Arial"/>
          <w:i/>
          <w:color w:val="202020"/>
        </w:rPr>
        <w:t>Aquellas cuyo otorgamiento o cuantía vengan impuestos por una norma de rango legal, que seguirán el procedimiento de concesión que les resulte de aplicación de acuerdo con su propi</w:t>
      </w:r>
      <w:r>
        <w:rPr>
          <w:rFonts w:ascii="Arial" w:eastAsia="Arial" w:hAnsi="Arial" w:cs="Arial"/>
          <w:i/>
          <w:color w:val="202020"/>
        </w:rPr>
        <w:t xml:space="preserve">a normativa. </w:t>
      </w:r>
    </w:p>
    <w:p w:rsidR="00FF384B" w:rsidRDefault="003E3BA9">
      <w:pPr>
        <w:numPr>
          <w:ilvl w:val="1"/>
          <w:numId w:val="37"/>
        </w:numPr>
        <w:spacing w:after="92" w:line="248" w:lineRule="auto"/>
        <w:ind w:right="244" w:hanging="259"/>
        <w:jc w:val="both"/>
      </w:pPr>
      <w:r>
        <w:rPr>
          <w:rFonts w:ascii="Arial" w:eastAsia="Arial" w:hAnsi="Arial" w:cs="Arial"/>
          <w:i/>
          <w:color w:val="202020"/>
        </w:rPr>
        <w:t xml:space="preserve">Con carácter excepcional, aquellas otras subvenciones en que se acrediten razones de interés público, social, económico o humanitario. </w:t>
      </w:r>
    </w:p>
    <w:p w:rsidR="00FF384B" w:rsidRDefault="003E3BA9">
      <w:pPr>
        <w:numPr>
          <w:ilvl w:val="0"/>
          <w:numId w:val="37"/>
        </w:numPr>
        <w:spacing w:after="143" w:line="248" w:lineRule="auto"/>
        <w:ind w:right="244" w:hanging="10"/>
        <w:jc w:val="both"/>
      </w:pPr>
      <w:r>
        <w:rPr>
          <w:rFonts w:ascii="Arial" w:eastAsia="Arial" w:hAnsi="Arial" w:cs="Arial"/>
          <w:i/>
          <w:color w:val="202020"/>
        </w:rPr>
        <w:t xml:space="preserve">El importe de las subvenciones concedidas no podrá ser superior a las previstas en las convocatorias. </w:t>
      </w:r>
    </w:p>
    <w:p w:rsidR="00FF384B" w:rsidRDefault="003E3BA9">
      <w:pPr>
        <w:spacing w:after="142" w:line="248" w:lineRule="auto"/>
        <w:ind w:left="278" w:right="244" w:hanging="10"/>
        <w:jc w:val="both"/>
      </w:pPr>
      <w:r>
        <w:rPr>
          <w:rFonts w:ascii="Arial" w:eastAsia="Arial" w:hAnsi="Arial" w:cs="Arial"/>
          <w:color w:val="202020"/>
        </w:rPr>
        <w:t>Art</w:t>
      </w:r>
      <w:r>
        <w:rPr>
          <w:rFonts w:ascii="Arial" w:eastAsia="Arial" w:hAnsi="Arial" w:cs="Arial"/>
          <w:color w:val="202020"/>
        </w:rPr>
        <w:t xml:space="preserve">ículo 15. Procedimientos de concesión. </w:t>
      </w:r>
    </w:p>
    <w:p w:rsidR="00FF384B" w:rsidRDefault="003E3BA9">
      <w:pPr>
        <w:numPr>
          <w:ilvl w:val="0"/>
          <w:numId w:val="38"/>
        </w:numPr>
        <w:spacing w:after="143" w:line="248" w:lineRule="auto"/>
        <w:ind w:right="244" w:hanging="10"/>
        <w:jc w:val="both"/>
      </w:pPr>
      <w:r>
        <w:rPr>
          <w:rFonts w:ascii="Arial" w:eastAsia="Arial" w:hAnsi="Arial" w:cs="Arial"/>
          <w:i/>
          <w:color w:val="202020"/>
        </w:rPr>
        <w:t xml:space="preserve">El procedimiento ordinario de concesión de subvenciones se tramitará en régimen de concurrencia competitiva. </w:t>
      </w:r>
    </w:p>
    <w:p w:rsidR="00FF384B" w:rsidRDefault="003E3BA9">
      <w:pPr>
        <w:spacing w:after="143" w:line="248" w:lineRule="auto"/>
        <w:ind w:left="278" w:right="244" w:hanging="10"/>
        <w:jc w:val="both"/>
      </w:pPr>
      <w:r>
        <w:rPr>
          <w:rFonts w:ascii="Arial" w:eastAsia="Arial" w:hAnsi="Arial" w:cs="Arial"/>
          <w:i/>
          <w:color w:val="202020"/>
        </w:rPr>
        <w:t>Tendrá esta consideración el procedimiento mediante el cual, la concesión de las subvenciones se realiza m</w:t>
      </w:r>
      <w:r>
        <w:rPr>
          <w:rFonts w:ascii="Arial" w:eastAsia="Arial" w:hAnsi="Arial" w:cs="Arial"/>
          <w:i/>
          <w:color w:val="202020"/>
        </w:rPr>
        <w:t>ediante la comparación de las solicitudes presentadas dentro de un plazo limitado, a fin de establecer una prelación entre las mismas, de acuerdo con los criterios de valoración previamente fijados en las bases reguladoras y en la convocatoria, y adjudicar</w:t>
      </w:r>
      <w:r>
        <w:rPr>
          <w:rFonts w:ascii="Arial" w:eastAsia="Arial" w:hAnsi="Arial" w:cs="Arial"/>
          <w:i/>
          <w:color w:val="202020"/>
        </w:rPr>
        <w:t>, con el límite fijado en las respectivas convocatorias o bases reguladoras dentro del crédito disponible, aquellas que hayan obtenido mayor valoración en aplicación de los citados criterios. La Valoración de los proyectos deberá ser realizada por cada Con</w:t>
      </w:r>
      <w:r>
        <w:rPr>
          <w:rFonts w:ascii="Arial" w:eastAsia="Arial" w:hAnsi="Arial" w:cs="Arial"/>
          <w:i/>
          <w:color w:val="202020"/>
        </w:rPr>
        <w:t xml:space="preserve">cejalía, que elevará su propuesta al órgano concedente a través del instructor.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7248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5539" name="Group 44553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445" name="Picture 17445"/>
                          <pic:cNvPicPr/>
                        </pic:nvPicPr>
                        <pic:blipFill>
                          <a:blip r:embed="rId62"/>
                          <a:stretch>
                            <a:fillRect/>
                          </a:stretch>
                        </pic:blipFill>
                        <pic:spPr>
                          <a:xfrm rot="-5399999">
                            <a:off x="-1720849" y="1720849"/>
                            <a:ext cx="3797300" cy="355601"/>
                          </a:xfrm>
                          <a:prstGeom prst="rect">
                            <a:avLst/>
                          </a:prstGeom>
                        </pic:spPr>
                      </pic:pic>
                      <wps:wsp>
                        <wps:cNvPr id="17446" name="Rectangle 1744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447" name="Rectangle 1744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5539" style="width:41.2715pt;height:299pt;position:absolute;mso-position-horizontal-relative:page;mso-position-horizontal:absolute;margin-left:653.71pt;mso-position-vertical-relative:page;margin-top:512.92pt;" coordsize="5241,37973">
                <v:shape id="Picture 17445" style="position:absolute;width:37973;height:3556;left:-17208;top:17208;rotation:-89;" filled="f">
                  <v:imagedata r:id="rId63"/>
                </v:shape>
                <v:rect id="Rectangle 1744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44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353 </w:t>
                        </w:r>
                      </w:p>
                    </w:txbxContent>
                  </v:textbox>
                </v:rect>
                <w10:wrap type="square"/>
              </v:group>
            </w:pict>
          </mc:Fallback>
        </mc:AlternateContent>
      </w:r>
      <w:r>
        <w:rPr>
          <w:rFonts w:ascii="Arial" w:eastAsia="Arial" w:hAnsi="Arial" w:cs="Arial"/>
          <w:i/>
          <w:color w:val="202020"/>
        </w:rPr>
        <w:t xml:space="preserve">No obstante lo dispuesto en el apartado anterior, en la convocatoria podrán establecer un procedimiento simplificado de concurrencia competitiva. </w:t>
      </w:r>
    </w:p>
    <w:p w:rsidR="00FF384B" w:rsidRDefault="003E3BA9">
      <w:pPr>
        <w:numPr>
          <w:ilvl w:val="0"/>
          <w:numId w:val="38"/>
        </w:numPr>
        <w:spacing w:after="143" w:line="248" w:lineRule="auto"/>
        <w:ind w:right="244" w:hanging="10"/>
        <w:jc w:val="both"/>
      </w:pPr>
      <w:r>
        <w:rPr>
          <w:rFonts w:ascii="Arial" w:eastAsia="Arial" w:hAnsi="Arial" w:cs="Arial"/>
          <w:i/>
          <w:color w:val="202020"/>
        </w:rPr>
        <w:t>Excepcionalment</w:t>
      </w:r>
      <w:r>
        <w:rPr>
          <w:rFonts w:ascii="Arial" w:eastAsia="Arial" w:hAnsi="Arial" w:cs="Arial"/>
          <w:i/>
          <w:color w:val="202020"/>
        </w:rPr>
        <w:t xml:space="preserve">e, en función del objeto de la convocatoria o base reguladora, siempre que así se prevea en la misma, el órgano competente procederá al prorrateo, entre los beneficiarios de la subvención, del importe global máximo destinado a las subvenciones. </w:t>
      </w:r>
    </w:p>
    <w:p w:rsidR="00FF384B" w:rsidRDefault="003E3BA9">
      <w:pPr>
        <w:numPr>
          <w:ilvl w:val="0"/>
          <w:numId w:val="38"/>
        </w:numPr>
        <w:spacing w:after="143" w:line="248" w:lineRule="auto"/>
        <w:ind w:right="244" w:hanging="10"/>
        <w:jc w:val="both"/>
      </w:pPr>
      <w:r>
        <w:rPr>
          <w:rFonts w:ascii="Arial" w:eastAsia="Arial" w:hAnsi="Arial" w:cs="Arial"/>
          <w:i/>
          <w:color w:val="202020"/>
        </w:rPr>
        <w:t>Podrán con</w:t>
      </w:r>
      <w:r>
        <w:rPr>
          <w:rFonts w:ascii="Arial" w:eastAsia="Arial" w:hAnsi="Arial" w:cs="Arial"/>
          <w:i/>
          <w:color w:val="202020"/>
        </w:rPr>
        <w:t xml:space="preserve">cederse de forma directa las previstas nominativamente en el presupuesto general municipal, de acuerdo con el procedimiento regulado en la presente normativa. </w:t>
      </w:r>
    </w:p>
    <w:p w:rsidR="00FF384B" w:rsidRDefault="003E3BA9">
      <w:pPr>
        <w:spacing w:after="142" w:line="248" w:lineRule="auto"/>
        <w:ind w:left="278" w:right="244" w:hanging="10"/>
        <w:jc w:val="both"/>
      </w:pPr>
      <w:r>
        <w:rPr>
          <w:rFonts w:ascii="Arial" w:eastAsia="Arial" w:hAnsi="Arial" w:cs="Arial"/>
          <w:color w:val="202020"/>
        </w:rPr>
        <w:t xml:space="preserve">Artículo 16. Subvenciones plurianuales. </w:t>
      </w:r>
    </w:p>
    <w:p w:rsidR="00FF384B" w:rsidRDefault="003E3BA9">
      <w:pPr>
        <w:numPr>
          <w:ilvl w:val="0"/>
          <w:numId w:val="39"/>
        </w:numPr>
        <w:spacing w:after="143" w:line="248" w:lineRule="auto"/>
        <w:ind w:right="244" w:hanging="10"/>
        <w:jc w:val="both"/>
      </w:pPr>
      <w:r>
        <w:rPr>
          <w:rFonts w:ascii="Arial" w:eastAsia="Arial" w:hAnsi="Arial" w:cs="Arial"/>
          <w:i/>
          <w:color w:val="202020"/>
        </w:rPr>
        <w:t xml:space="preserve">Podrá autorizarse la convocatoria de subvenciones cuyo </w:t>
      </w:r>
      <w:r>
        <w:rPr>
          <w:rFonts w:ascii="Arial" w:eastAsia="Arial" w:hAnsi="Arial" w:cs="Arial"/>
          <w:i/>
          <w:color w:val="202020"/>
        </w:rPr>
        <w:t xml:space="preserve">gasto sea imputable a ejercicios posteriores a aquél en que recaiga resolución de concesión. </w:t>
      </w:r>
    </w:p>
    <w:p w:rsidR="00FF384B" w:rsidRDefault="003E3BA9">
      <w:pPr>
        <w:numPr>
          <w:ilvl w:val="0"/>
          <w:numId w:val="39"/>
        </w:numPr>
        <w:spacing w:after="143" w:line="248" w:lineRule="auto"/>
        <w:ind w:right="244" w:hanging="10"/>
        <w:jc w:val="both"/>
      </w:pPr>
      <w:r>
        <w:rPr>
          <w:rFonts w:ascii="Arial" w:eastAsia="Arial" w:hAnsi="Arial" w:cs="Arial"/>
          <w:i/>
          <w:color w:val="202020"/>
        </w:rPr>
        <w:t>En la convocatoria deberá indicarse la cuantía total máxima a conceder, así como su distribución por anualidades, dentro de los límites fijados en la normativa pr</w:t>
      </w:r>
      <w:r>
        <w:rPr>
          <w:rFonts w:ascii="Arial" w:eastAsia="Arial" w:hAnsi="Arial" w:cs="Arial"/>
          <w:i/>
          <w:color w:val="202020"/>
        </w:rPr>
        <w:t>esupuestaria, atendiendo al momento en que se prevea realizar el gasto derivado de las subvenciones que se concedan. Dicha distribución tendrá carácter estimado cuando las normas reguladoras hayan contemplado la posibilidad de los solicitantes de optar por</w:t>
      </w:r>
      <w:r>
        <w:rPr>
          <w:rFonts w:ascii="Arial" w:eastAsia="Arial" w:hAnsi="Arial" w:cs="Arial"/>
          <w:i/>
          <w:color w:val="202020"/>
        </w:rPr>
        <w:t xml:space="preserve"> el pago anticipado. La modificación de la distribución inicialmente aprobada requerirá la tramitación del correspondiente expediente de reajuste de anualidades. </w:t>
      </w:r>
    </w:p>
    <w:p w:rsidR="00FF384B" w:rsidRDefault="003E3BA9">
      <w:pPr>
        <w:numPr>
          <w:ilvl w:val="0"/>
          <w:numId w:val="39"/>
        </w:numPr>
        <w:spacing w:after="143" w:line="248" w:lineRule="auto"/>
        <w:ind w:right="244" w:hanging="10"/>
        <w:jc w:val="both"/>
      </w:pPr>
      <w:r>
        <w:rPr>
          <w:rFonts w:ascii="Arial" w:eastAsia="Arial" w:hAnsi="Arial" w:cs="Arial"/>
          <w:i/>
          <w:color w:val="202020"/>
        </w:rPr>
        <w:t>Cuando se haya previsto expresamente en la normativa reguladora la posibilidad de efectuar pa</w:t>
      </w:r>
      <w:r>
        <w:rPr>
          <w:rFonts w:ascii="Arial" w:eastAsia="Arial" w:hAnsi="Arial" w:cs="Arial"/>
          <w:i/>
          <w:color w:val="202020"/>
        </w:rPr>
        <w:t>gos a cuenta, en la resolución de concesión de una subvención plurianual se señalará la distribución por anualidades de la cuantía atendiendo al ritmo de ejecución de la acción subvencionada. La imputación a cada ejercicio se realizará previa aportación de</w:t>
      </w:r>
      <w:r>
        <w:rPr>
          <w:rFonts w:ascii="Arial" w:eastAsia="Arial" w:hAnsi="Arial" w:cs="Arial"/>
          <w:i/>
          <w:color w:val="202020"/>
        </w:rPr>
        <w:t xml:space="preserve"> la justificación equivalente a la cuantía que corresponda. La alteración del calendario de ejecución requerirá acuerdo al efecto. </w:t>
      </w:r>
    </w:p>
    <w:p w:rsidR="00FF384B" w:rsidRDefault="003E3BA9">
      <w:pPr>
        <w:numPr>
          <w:ilvl w:val="0"/>
          <w:numId w:val="39"/>
        </w:numPr>
        <w:spacing w:after="143" w:line="248" w:lineRule="auto"/>
        <w:ind w:right="244" w:hanging="10"/>
        <w:jc w:val="both"/>
      </w:pPr>
      <w:r>
        <w:rPr>
          <w:rFonts w:ascii="Arial" w:eastAsia="Arial" w:hAnsi="Arial" w:cs="Arial"/>
          <w:i/>
          <w:color w:val="202020"/>
        </w:rPr>
        <w:t>Las convocatorias en lo relativo a ejercicios posteriores, quedarán en todo caso condicionadas a la existencia de consignaci</w:t>
      </w:r>
      <w:r>
        <w:rPr>
          <w:rFonts w:ascii="Arial" w:eastAsia="Arial" w:hAnsi="Arial" w:cs="Arial"/>
          <w:i/>
          <w:color w:val="202020"/>
        </w:rPr>
        <w:t xml:space="preserve">ón adecuada y suficiente en cada uno de los ejercicios presupuestarios. </w:t>
      </w:r>
    </w:p>
    <w:p w:rsidR="00FF384B" w:rsidRDefault="003E3BA9">
      <w:pPr>
        <w:numPr>
          <w:ilvl w:val="0"/>
          <w:numId w:val="39"/>
        </w:numPr>
        <w:spacing w:after="294" w:line="248" w:lineRule="auto"/>
        <w:ind w:right="244" w:hanging="10"/>
        <w:jc w:val="both"/>
      </w:pPr>
      <w:r>
        <w:rPr>
          <w:rFonts w:ascii="Arial" w:eastAsia="Arial" w:hAnsi="Arial" w:cs="Arial"/>
          <w:i/>
          <w:color w:val="202020"/>
        </w:rPr>
        <w:t xml:space="preserve">En todo caso la duración de la convocatoria de subvenciones no podrá superar el plazo de vigencia del correspondiente Plan Estratégico de Subvenciones </w:t>
      </w:r>
    </w:p>
    <w:p w:rsidR="00FF384B" w:rsidRDefault="003E3BA9">
      <w:pPr>
        <w:spacing w:after="93" w:line="248" w:lineRule="auto"/>
        <w:ind w:left="278" w:right="244" w:hanging="10"/>
        <w:jc w:val="both"/>
      </w:pPr>
      <w:r>
        <w:rPr>
          <w:rFonts w:ascii="Arial" w:eastAsia="Arial" w:hAnsi="Arial" w:cs="Arial"/>
          <w:i/>
          <w:color w:val="202020"/>
        </w:rPr>
        <w:t xml:space="preserve">CAPÍTULO II. Del procedimiento </w:t>
      </w:r>
      <w:r>
        <w:rPr>
          <w:rFonts w:ascii="Arial" w:eastAsia="Arial" w:hAnsi="Arial" w:cs="Arial"/>
          <w:i/>
          <w:color w:val="202020"/>
        </w:rPr>
        <w:t>de concesión en régimen de concurrencia competitiva.</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17. Iniciación. </w:t>
      </w:r>
    </w:p>
    <w:p w:rsidR="00FF384B" w:rsidRDefault="003E3BA9">
      <w:pPr>
        <w:numPr>
          <w:ilvl w:val="0"/>
          <w:numId w:val="40"/>
        </w:numPr>
        <w:spacing w:after="143" w:line="248" w:lineRule="auto"/>
        <w:ind w:right="244" w:hanging="247"/>
        <w:jc w:val="both"/>
      </w:pPr>
      <w:r>
        <w:rPr>
          <w:rFonts w:ascii="Arial" w:eastAsia="Arial" w:hAnsi="Arial" w:cs="Arial"/>
          <w:i/>
          <w:color w:val="202020"/>
        </w:rPr>
        <w:t xml:space="preserve">El procedimiento para la concesión de subvenciones se inicia siempre de oficio. </w:t>
      </w:r>
    </w:p>
    <w:p w:rsidR="00FF384B" w:rsidRDefault="003E3BA9">
      <w:pPr>
        <w:numPr>
          <w:ilvl w:val="0"/>
          <w:numId w:val="40"/>
        </w:numPr>
        <w:spacing w:after="143" w:line="248" w:lineRule="auto"/>
        <w:ind w:right="244" w:hanging="247"/>
        <w:jc w:val="both"/>
      </w:pPr>
      <w:r>
        <w:rPr>
          <w:rFonts w:ascii="Arial" w:eastAsia="Arial" w:hAnsi="Arial" w:cs="Arial"/>
          <w:i/>
          <w:color w:val="202020"/>
        </w:rPr>
        <w:t>La iniciación de oficio se realizará siempre mediante convocatoria aprobada por la Alcaldía, que desarrollará el procedimiento para la concesión de las subvenciones convocadas según lo establecido en la presente Ordenanza, y de acuerdo con los principios d</w:t>
      </w:r>
      <w:r>
        <w:rPr>
          <w:rFonts w:ascii="Arial" w:eastAsia="Arial" w:hAnsi="Arial" w:cs="Arial"/>
          <w:i/>
          <w:color w:val="202020"/>
        </w:rPr>
        <w:t xml:space="preserve">e la legislación vigente en materia de procedimiento administrativo y de las bases de ejecución del presupuesto y demás disposiciones aplicables. </w:t>
      </w:r>
    </w:p>
    <w:p w:rsidR="00FF384B" w:rsidRDefault="003E3BA9">
      <w:pPr>
        <w:numPr>
          <w:ilvl w:val="0"/>
          <w:numId w:val="40"/>
        </w:numPr>
        <w:spacing w:after="143" w:line="248" w:lineRule="auto"/>
        <w:ind w:right="244" w:hanging="247"/>
        <w:jc w:val="both"/>
      </w:pPr>
      <w:r>
        <w:rPr>
          <w:noProof/>
        </w:rPr>
        <mc:AlternateContent>
          <mc:Choice Requires="wpg">
            <w:drawing>
              <wp:anchor distT="0" distB="0" distL="114300" distR="114300" simplePos="0" relativeHeight="2517258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5867" name="Group 44586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589" name="Picture 17589"/>
                          <pic:cNvPicPr/>
                        </pic:nvPicPr>
                        <pic:blipFill>
                          <a:blip r:embed="rId62"/>
                          <a:stretch>
                            <a:fillRect/>
                          </a:stretch>
                        </pic:blipFill>
                        <pic:spPr>
                          <a:xfrm rot="-5399999">
                            <a:off x="-1720849" y="1720849"/>
                            <a:ext cx="3797300" cy="355601"/>
                          </a:xfrm>
                          <a:prstGeom prst="rect">
                            <a:avLst/>
                          </a:prstGeom>
                        </pic:spPr>
                      </pic:pic>
                      <wps:wsp>
                        <wps:cNvPr id="17590" name="Rectangle 1759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591" name="Rectangle 1759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w:t>
                              </w:r>
                              <w:r>
                                <w:rPr>
                                  <w:rFonts w:ascii="Arial" w:eastAsia="Arial" w:hAnsi="Arial" w:cs="Arial"/>
                                  <w:sz w:val="12"/>
                                </w:rPr>
                                <w:t xml:space="preserve">nto firmado electrónicamente desde la plataforma esPublico Gestiona | Página 65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5867" style="width:41.2715pt;height:299pt;position:absolute;mso-position-horizontal-relative:page;mso-position-horizontal:absolute;margin-left:653.71pt;mso-position-vertical-relative:page;margin-top:512.92pt;" coordsize="5241,37973">
                <v:shape id="Picture 17589" style="position:absolute;width:37973;height:3556;left:-17208;top:17208;rotation:-89;" filled="f">
                  <v:imagedata r:id="rId63"/>
                </v:shape>
                <v:rect id="Rectangle 1759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59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353 </w:t>
                        </w:r>
                      </w:p>
                    </w:txbxContent>
                  </v:textbox>
                </v:rect>
                <w10:wrap type="square"/>
              </v:group>
            </w:pict>
          </mc:Fallback>
        </mc:AlternateContent>
      </w:r>
      <w:r>
        <w:rPr>
          <w:rFonts w:ascii="Arial" w:eastAsia="Arial" w:hAnsi="Arial" w:cs="Arial"/>
          <w:i/>
          <w:color w:val="202020"/>
        </w:rPr>
        <w:t>El órgano municipal responsable, en función de la materia, una vez recabado el documento contable de retención de gasto, dentro de los créditos disponibles en el presup</w:t>
      </w:r>
      <w:r>
        <w:rPr>
          <w:rFonts w:ascii="Arial" w:eastAsia="Arial" w:hAnsi="Arial" w:cs="Arial"/>
          <w:i/>
          <w:color w:val="202020"/>
        </w:rPr>
        <w:t xml:space="preserve">uesto, y previo el informe preceptivo de la Intervención municipal, someterá la propuesta de la convocatoria al órgano competente para su aprobación. Aprobación que deberá publicarse de acuerdo con la normativa vigente, así como en la sede electrónica del </w:t>
      </w:r>
      <w:r>
        <w:rPr>
          <w:rFonts w:ascii="Arial" w:eastAsia="Arial" w:hAnsi="Arial" w:cs="Arial"/>
          <w:i/>
          <w:color w:val="202020"/>
        </w:rPr>
        <w:t xml:space="preserve">Ayuntamiento de Candelaria. </w:t>
      </w:r>
    </w:p>
    <w:p w:rsidR="00FF384B" w:rsidRDefault="003E3BA9">
      <w:pPr>
        <w:spacing w:after="143" w:line="248" w:lineRule="auto"/>
        <w:ind w:left="268" w:right="244" w:firstLine="708"/>
        <w:jc w:val="both"/>
      </w:pPr>
      <w:r>
        <w:rPr>
          <w:rFonts w:ascii="Arial" w:eastAsia="Arial" w:hAnsi="Arial" w:cs="Arial"/>
          <w:i/>
          <w:color w:val="202020"/>
        </w:rPr>
        <w:t xml:space="preserve">Si la convocatoria así lo establece, podrá realizarse la tramitación anticipada en las condiciones prevista en esta misma Ordenanza. </w:t>
      </w:r>
    </w:p>
    <w:p w:rsidR="00FF384B" w:rsidRDefault="003E3BA9">
      <w:pPr>
        <w:numPr>
          <w:ilvl w:val="0"/>
          <w:numId w:val="40"/>
        </w:numPr>
        <w:spacing w:after="143" w:line="248" w:lineRule="auto"/>
        <w:ind w:right="244" w:hanging="247"/>
        <w:jc w:val="both"/>
      </w:pPr>
      <w:r>
        <w:rPr>
          <w:rFonts w:ascii="Arial" w:eastAsia="Arial" w:hAnsi="Arial" w:cs="Arial"/>
          <w:i/>
          <w:color w:val="202020"/>
        </w:rPr>
        <w:t>La convocatoria incluirá, además de los requisitos previstos en la legislación vigente, los e</w:t>
      </w:r>
      <w:r>
        <w:rPr>
          <w:rFonts w:ascii="Arial" w:eastAsia="Arial" w:hAnsi="Arial" w:cs="Arial"/>
          <w:i/>
          <w:color w:val="202020"/>
        </w:rPr>
        <w:t xml:space="preserve">stablecidos en el Anexo 1 de esta Ordenanza. </w:t>
      </w:r>
    </w:p>
    <w:p w:rsidR="00FF384B" w:rsidRDefault="003E3BA9">
      <w:pPr>
        <w:numPr>
          <w:ilvl w:val="0"/>
          <w:numId w:val="40"/>
        </w:numPr>
        <w:spacing w:after="143" w:line="248" w:lineRule="auto"/>
        <w:ind w:right="244" w:hanging="247"/>
        <w:jc w:val="both"/>
      </w:pPr>
      <w:r>
        <w:rPr>
          <w:rFonts w:ascii="Arial" w:eastAsia="Arial" w:hAnsi="Arial" w:cs="Arial"/>
          <w:i/>
          <w:color w:val="202020"/>
        </w:rPr>
        <w:t xml:space="preserve">Las solicitudes de subvención se presentarán en la forma y plazo que se establezcan en la convocatoria. </w:t>
      </w:r>
    </w:p>
    <w:p w:rsidR="00FF384B" w:rsidRDefault="003E3BA9">
      <w:pPr>
        <w:numPr>
          <w:ilvl w:val="0"/>
          <w:numId w:val="40"/>
        </w:numPr>
        <w:spacing w:after="143" w:line="248" w:lineRule="auto"/>
        <w:ind w:right="244" w:hanging="247"/>
        <w:jc w:val="both"/>
      </w:pPr>
      <w:r>
        <w:rPr>
          <w:rFonts w:ascii="Arial" w:eastAsia="Arial" w:hAnsi="Arial" w:cs="Arial"/>
          <w:i/>
          <w:color w:val="202020"/>
        </w:rPr>
        <w:t>Las solicitudes y la documentación requerida se presentarán conforme a los modelos normalizados, que se m</w:t>
      </w:r>
      <w:r>
        <w:rPr>
          <w:rFonts w:ascii="Arial" w:eastAsia="Arial" w:hAnsi="Arial" w:cs="Arial"/>
          <w:i/>
          <w:color w:val="202020"/>
        </w:rPr>
        <w:t xml:space="preserve">antendrán actualizados en el portal de subvenciones de la sede electrónica del Ayuntamiento de Candelaria. </w:t>
      </w:r>
    </w:p>
    <w:p w:rsidR="00FF384B" w:rsidRDefault="003E3BA9">
      <w:pPr>
        <w:numPr>
          <w:ilvl w:val="0"/>
          <w:numId w:val="40"/>
        </w:numPr>
        <w:spacing w:after="143" w:line="248" w:lineRule="auto"/>
        <w:ind w:right="244" w:hanging="247"/>
        <w:jc w:val="both"/>
      </w:pPr>
      <w:r>
        <w:rPr>
          <w:rFonts w:ascii="Arial" w:eastAsia="Arial" w:hAnsi="Arial" w:cs="Arial"/>
          <w:i/>
          <w:color w:val="202020"/>
        </w:rPr>
        <w:t>La convocatoria podrá prever la sustitución de la presentación de determinados documentos por una declaración responsable del solicitante. En este c</w:t>
      </w:r>
      <w:r>
        <w:rPr>
          <w:rFonts w:ascii="Arial" w:eastAsia="Arial" w:hAnsi="Arial" w:cs="Arial"/>
          <w:i/>
          <w:color w:val="202020"/>
        </w:rPr>
        <w:t>aso, con anterioridad a la propuesta de resolución de concesión de la subvención, se deberá requerir por el órgano instructor la presentación de la documentación que acredite la realidad de los datos contenidos en la citada declaración, en un plazo no supe</w:t>
      </w:r>
      <w:r>
        <w:rPr>
          <w:rFonts w:ascii="Arial" w:eastAsia="Arial" w:hAnsi="Arial" w:cs="Arial"/>
          <w:i/>
          <w:color w:val="202020"/>
        </w:rPr>
        <w:t xml:space="preserve">rior a diez días. El incumplimiento de dicha condición implicará el desistimiento de la solicitud, previa resolución del órgano competente. No se podrá requerir la aportación de documentos que ya obren en poder del Ayuntamiento. </w:t>
      </w:r>
    </w:p>
    <w:p w:rsidR="00FF384B" w:rsidRDefault="003E3BA9">
      <w:pPr>
        <w:numPr>
          <w:ilvl w:val="0"/>
          <w:numId w:val="40"/>
        </w:numPr>
        <w:spacing w:after="143" w:line="248" w:lineRule="auto"/>
        <w:ind w:right="244" w:hanging="247"/>
        <w:jc w:val="both"/>
      </w:pPr>
      <w:r>
        <w:rPr>
          <w:rFonts w:ascii="Arial" w:eastAsia="Arial" w:hAnsi="Arial" w:cs="Arial"/>
          <w:i/>
          <w:color w:val="202020"/>
        </w:rPr>
        <w:t>La presentación de la docu</w:t>
      </w:r>
      <w:r>
        <w:rPr>
          <w:rFonts w:ascii="Arial" w:eastAsia="Arial" w:hAnsi="Arial" w:cs="Arial"/>
          <w:i/>
          <w:color w:val="202020"/>
        </w:rPr>
        <w:t xml:space="preserve">mentación en formato electrónico será obligatoria si así se establece en la convocatoria. </w:t>
      </w:r>
    </w:p>
    <w:p w:rsidR="00FF384B" w:rsidRDefault="003E3BA9">
      <w:pPr>
        <w:numPr>
          <w:ilvl w:val="0"/>
          <w:numId w:val="40"/>
        </w:numPr>
        <w:spacing w:after="143" w:line="248" w:lineRule="auto"/>
        <w:ind w:right="244" w:hanging="247"/>
        <w:jc w:val="both"/>
      </w:pPr>
      <w:r>
        <w:rPr>
          <w:rFonts w:ascii="Arial" w:eastAsia="Arial" w:hAnsi="Arial" w:cs="Arial"/>
          <w:i/>
          <w:color w:val="202020"/>
        </w:rPr>
        <w:t xml:space="preserve">La presentación de la solicitud supone la autorización al órgano gestor municipal o de las entidades, para la solicitud telemática de los correspondientes certificados de la Agencia Tributaria, la Seguridad Social y Ayuntamiento de Candelaria. </w:t>
      </w:r>
    </w:p>
    <w:p w:rsidR="00FF384B" w:rsidRDefault="003E3BA9">
      <w:pPr>
        <w:spacing w:after="143" w:line="248" w:lineRule="auto"/>
        <w:ind w:left="278" w:right="244" w:hanging="10"/>
        <w:jc w:val="both"/>
      </w:pPr>
      <w:r>
        <w:rPr>
          <w:rFonts w:ascii="Arial" w:eastAsia="Arial" w:hAnsi="Arial" w:cs="Arial"/>
          <w:i/>
          <w:color w:val="202020"/>
        </w:rPr>
        <w:t>10.La prese</w:t>
      </w:r>
      <w:r>
        <w:rPr>
          <w:rFonts w:ascii="Arial" w:eastAsia="Arial" w:hAnsi="Arial" w:cs="Arial"/>
          <w:i/>
          <w:color w:val="202020"/>
        </w:rPr>
        <w:t xml:space="preserve">ntación de la solicitud supone la autorización al órgano gestor municipal o de las entidades, para la comprobación de los datos de identificación, residencia, nivel y origen de renta y situación de Seguridad Social que se requieran. </w:t>
      </w:r>
    </w:p>
    <w:p w:rsidR="00FF384B" w:rsidRDefault="003E3BA9">
      <w:pPr>
        <w:spacing w:after="142" w:line="248" w:lineRule="auto"/>
        <w:ind w:left="278" w:right="244" w:hanging="10"/>
        <w:jc w:val="both"/>
      </w:pPr>
      <w:r>
        <w:rPr>
          <w:rFonts w:ascii="Arial" w:eastAsia="Arial" w:hAnsi="Arial" w:cs="Arial"/>
          <w:color w:val="202020"/>
        </w:rPr>
        <w:t>Artículo 18. Tramitaci</w:t>
      </w:r>
      <w:r>
        <w:rPr>
          <w:rFonts w:ascii="Arial" w:eastAsia="Arial" w:hAnsi="Arial" w:cs="Arial"/>
          <w:color w:val="202020"/>
        </w:rPr>
        <w:t xml:space="preserve">ón anticipada. </w:t>
      </w:r>
    </w:p>
    <w:p w:rsidR="00FF384B" w:rsidRDefault="003E3BA9">
      <w:pPr>
        <w:numPr>
          <w:ilvl w:val="0"/>
          <w:numId w:val="41"/>
        </w:numPr>
        <w:spacing w:after="143" w:line="248" w:lineRule="auto"/>
        <w:ind w:right="244" w:hanging="10"/>
        <w:jc w:val="both"/>
      </w:pPr>
      <w:r>
        <w:rPr>
          <w:rFonts w:ascii="Arial" w:eastAsia="Arial" w:hAnsi="Arial" w:cs="Arial"/>
          <w:i/>
          <w:color w:val="202020"/>
        </w:rPr>
        <w:t>La convocatoria podrá aprobarse en un ejercicio presupuestario anterior a aquél en el que vaya a tener lugar la resolución de la misma, siempre que la ejecución del gasto se realice en la misma anualidad en que se produce la concesión y se cumpla alguna de</w:t>
      </w:r>
      <w:r>
        <w:rPr>
          <w:rFonts w:ascii="Arial" w:eastAsia="Arial" w:hAnsi="Arial" w:cs="Arial"/>
          <w:i/>
          <w:color w:val="202020"/>
        </w:rPr>
        <w:t xml:space="preserve"> las siguientes circunstancias: </w:t>
      </w:r>
    </w:p>
    <w:p w:rsidR="00FF384B" w:rsidRDefault="003E3BA9">
      <w:pPr>
        <w:numPr>
          <w:ilvl w:val="1"/>
          <w:numId w:val="41"/>
        </w:numPr>
        <w:spacing w:after="95" w:line="248" w:lineRule="auto"/>
        <w:ind w:right="244" w:hanging="10"/>
        <w:jc w:val="both"/>
      </w:pPr>
      <w:r>
        <w:rPr>
          <w:rFonts w:ascii="Arial" w:eastAsia="Arial" w:hAnsi="Arial" w:cs="Arial"/>
          <w:i/>
          <w:color w:val="202020"/>
        </w:rPr>
        <w:t xml:space="preserve">Exista habitualmente crédito adecuado y suficiente para la cobertura presupuestaria del gasto de que se trate en los Presupuestos Municipales. </w:t>
      </w:r>
    </w:p>
    <w:p w:rsidR="00FF384B" w:rsidRDefault="003E3BA9">
      <w:pPr>
        <w:numPr>
          <w:ilvl w:val="1"/>
          <w:numId w:val="41"/>
        </w:numPr>
        <w:spacing w:after="93" w:line="248" w:lineRule="auto"/>
        <w:ind w:right="244" w:hanging="10"/>
        <w:jc w:val="both"/>
      </w:pPr>
      <w:r>
        <w:rPr>
          <w:rFonts w:ascii="Arial" w:eastAsia="Arial" w:hAnsi="Arial" w:cs="Arial"/>
          <w:i/>
          <w:color w:val="202020"/>
        </w:rPr>
        <w:t>Exista crédito adecuado y suficiente en el proyecto de Presupuestos Municipales</w:t>
      </w:r>
      <w:r>
        <w:rPr>
          <w:rFonts w:ascii="Arial" w:eastAsia="Arial" w:hAnsi="Arial" w:cs="Arial"/>
          <w:i/>
          <w:color w:val="202020"/>
        </w:rPr>
        <w:t xml:space="preserve"> para el ejercicio siguiente. </w:t>
      </w:r>
    </w:p>
    <w:p w:rsidR="00FF384B" w:rsidRDefault="003E3BA9">
      <w:pPr>
        <w:numPr>
          <w:ilvl w:val="0"/>
          <w:numId w:val="41"/>
        </w:numPr>
        <w:spacing w:after="143" w:line="248" w:lineRule="auto"/>
        <w:ind w:right="244" w:hanging="10"/>
        <w:jc w:val="both"/>
      </w:pPr>
      <w:r>
        <w:rPr>
          <w:noProof/>
        </w:rPr>
        <mc:AlternateContent>
          <mc:Choice Requires="wpg">
            <w:drawing>
              <wp:anchor distT="0" distB="0" distL="114300" distR="114300" simplePos="0" relativeHeight="2517268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5947" name="Group 4459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738" name="Picture 17738"/>
                          <pic:cNvPicPr/>
                        </pic:nvPicPr>
                        <pic:blipFill>
                          <a:blip r:embed="rId62"/>
                          <a:stretch>
                            <a:fillRect/>
                          </a:stretch>
                        </pic:blipFill>
                        <pic:spPr>
                          <a:xfrm rot="-5399999">
                            <a:off x="-1720849" y="1720849"/>
                            <a:ext cx="3797300" cy="355601"/>
                          </a:xfrm>
                          <a:prstGeom prst="rect">
                            <a:avLst/>
                          </a:prstGeom>
                        </pic:spPr>
                      </pic:pic>
                      <wps:wsp>
                        <wps:cNvPr id="17739" name="Rectangle 1773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740" name="Rectangle 1774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5947" style="width:41.2715pt;height:299pt;position:absolute;mso-position-horizontal-relative:page;mso-position-horizontal:absolute;margin-left:653.71pt;mso-position-vertical-relative:page;margin-top:512.92pt;" coordsize="5241,37973">
                <v:shape id="Picture 17738" style="position:absolute;width:37973;height:3556;left:-17208;top:17208;rotation:-89;" filled="f">
                  <v:imagedata r:id="rId63"/>
                </v:shape>
                <v:rect id="Rectangle 1773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74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353 </w:t>
                        </w:r>
                      </w:p>
                    </w:txbxContent>
                  </v:textbox>
                </v:rect>
                <w10:wrap type="square"/>
              </v:group>
            </w:pict>
          </mc:Fallback>
        </mc:AlternateContent>
      </w:r>
      <w:r>
        <w:rPr>
          <w:rFonts w:ascii="Arial" w:eastAsia="Arial" w:hAnsi="Arial" w:cs="Arial"/>
          <w:i/>
          <w:color w:val="202020"/>
        </w:rPr>
        <w:t>En estos casos, la cuantía t</w:t>
      </w:r>
      <w:r>
        <w:rPr>
          <w:rFonts w:ascii="Arial" w:eastAsia="Arial" w:hAnsi="Arial" w:cs="Arial"/>
          <w:i/>
          <w:color w:val="202020"/>
        </w:rPr>
        <w:t>otal máxima que figure en la convocatoria tendrá carácter estimado, por lo que deberá hacerse constar expresamente en la misma que la concesión de las subvenciones queda condicionada a la existencia de crédito adecuado y suficiente en el momento de la reso</w:t>
      </w:r>
      <w:r>
        <w:rPr>
          <w:rFonts w:ascii="Arial" w:eastAsia="Arial" w:hAnsi="Arial" w:cs="Arial"/>
          <w:i/>
          <w:color w:val="202020"/>
        </w:rPr>
        <w:t>lución de concesión. En los supuestos en los que el crédito presupuestario que resulte aprobado en el presupuesto Municipal fuera superior a la cuantía inicialmente estimada, el órgano gestor podrá decidir su aplicación o no a la convocatoria, previa trami</w:t>
      </w:r>
      <w:r>
        <w:rPr>
          <w:rFonts w:ascii="Arial" w:eastAsia="Arial" w:hAnsi="Arial" w:cs="Arial"/>
          <w:i/>
          <w:color w:val="202020"/>
        </w:rPr>
        <w:t xml:space="preserve">tación del correspondiente expediente de gasto antes de la resolución, sin necesidad de nueva convocatoria. </w:t>
      </w:r>
    </w:p>
    <w:p w:rsidR="00FF384B" w:rsidRDefault="003E3BA9">
      <w:pPr>
        <w:numPr>
          <w:ilvl w:val="0"/>
          <w:numId w:val="41"/>
        </w:numPr>
        <w:spacing w:after="143" w:line="248" w:lineRule="auto"/>
        <w:ind w:right="244" w:hanging="10"/>
        <w:jc w:val="both"/>
      </w:pPr>
      <w:r>
        <w:rPr>
          <w:rFonts w:ascii="Arial" w:eastAsia="Arial" w:hAnsi="Arial" w:cs="Arial"/>
          <w:i/>
          <w:color w:val="202020"/>
        </w:rPr>
        <w:t>En el expediente de gasto que se tramite con carácter previo a la convocatoria, el certificado de existencia de crédito será sustituido por un cert</w:t>
      </w:r>
      <w:r>
        <w:rPr>
          <w:rFonts w:ascii="Arial" w:eastAsia="Arial" w:hAnsi="Arial" w:cs="Arial"/>
          <w:i/>
          <w:color w:val="202020"/>
        </w:rPr>
        <w:t xml:space="preserve">ificado expedido por el Servicio Gestor en el que se haga constar que concurre alguna de las circunstancias previstas en el apartado 1. </w:t>
      </w:r>
    </w:p>
    <w:p w:rsidR="00FF384B" w:rsidRDefault="003E3BA9">
      <w:pPr>
        <w:spacing w:after="142" w:line="248" w:lineRule="auto"/>
        <w:ind w:left="278" w:right="244" w:hanging="10"/>
        <w:jc w:val="both"/>
      </w:pPr>
      <w:r>
        <w:rPr>
          <w:rFonts w:ascii="Arial" w:eastAsia="Arial" w:hAnsi="Arial" w:cs="Arial"/>
          <w:color w:val="202020"/>
        </w:rPr>
        <w:t xml:space="preserve">Artículo 19. Instrucción. </w:t>
      </w:r>
    </w:p>
    <w:p w:rsidR="00FF384B" w:rsidRDefault="003E3BA9">
      <w:pPr>
        <w:numPr>
          <w:ilvl w:val="0"/>
          <w:numId w:val="42"/>
        </w:numPr>
        <w:spacing w:after="143" w:line="248" w:lineRule="auto"/>
        <w:ind w:right="244" w:hanging="247"/>
        <w:jc w:val="both"/>
      </w:pPr>
      <w:r>
        <w:rPr>
          <w:rFonts w:ascii="Arial" w:eastAsia="Arial" w:hAnsi="Arial" w:cs="Arial"/>
          <w:i/>
          <w:color w:val="202020"/>
        </w:rPr>
        <w:t>La instrucción del procedimiento de concesión de subvenciones corresponde al órgano que se d</w:t>
      </w:r>
      <w:r>
        <w:rPr>
          <w:rFonts w:ascii="Arial" w:eastAsia="Arial" w:hAnsi="Arial" w:cs="Arial"/>
          <w:i/>
          <w:color w:val="202020"/>
        </w:rPr>
        <w:t xml:space="preserve">esigne en la convocatoria. </w:t>
      </w:r>
    </w:p>
    <w:p w:rsidR="00FF384B" w:rsidRDefault="003E3BA9">
      <w:pPr>
        <w:numPr>
          <w:ilvl w:val="0"/>
          <w:numId w:val="42"/>
        </w:numPr>
        <w:spacing w:after="143" w:line="248" w:lineRule="auto"/>
        <w:ind w:right="244" w:hanging="247"/>
        <w:jc w:val="both"/>
      </w:pPr>
      <w:r>
        <w:rPr>
          <w:rFonts w:ascii="Arial" w:eastAsia="Arial" w:hAnsi="Arial" w:cs="Arial"/>
          <w:i/>
          <w:color w:val="202020"/>
        </w:rPr>
        <w:t>El órgano gestor realizará de oficio cuantas actuaciones estime necesarias para la determinación, conocimiento y comprobación de los datos relativos a la actuación subvencionable y del cumplimiento de las condiciones del solicit</w:t>
      </w:r>
      <w:r>
        <w:rPr>
          <w:rFonts w:ascii="Arial" w:eastAsia="Arial" w:hAnsi="Arial" w:cs="Arial"/>
          <w:i/>
          <w:color w:val="202020"/>
        </w:rPr>
        <w:t xml:space="preserve">ante para ser beneficiario de la subvención. </w:t>
      </w:r>
    </w:p>
    <w:p w:rsidR="00FF384B" w:rsidRDefault="003E3BA9">
      <w:pPr>
        <w:numPr>
          <w:ilvl w:val="0"/>
          <w:numId w:val="42"/>
        </w:numPr>
        <w:spacing w:after="143" w:line="248" w:lineRule="auto"/>
        <w:ind w:right="244" w:hanging="247"/>
        <w:jc w:val="both"/>
      </w:pPr>
      <w:r>
        <w:rPr>
          <w:rFonts w:ascii="Arial" w:eastAsia="Arial" w:hAnsi="Arial" w:cs="Arial"/>
          <w:i/>
          <w:color w:val="202020"/>
        </w:rPr>
        <w:t xml:space="preserve">Las actividades de instrucción comprenderán necesariamente: </w:t>
      </w:r>
    </w:p>
    <w:p w:rsidR="00FF384B" w:rsidRDefault="003E3BA9">
      <w:pPr>
        <w:numPr>
          <w:ilvl w:val="1"/>
          <w:numId w:val="42"/>
        </w:numPr>
        <w:spacing w:after="91" w:line="248" w:lineRule="auto"/>
        <w:ind w:right="244" w:hanging="10"/>
        <w:jc w:val="both"/>
      </w:pPr>
      <w:r>
        <w:rPr>
          <w:rFonts w:ascii="Arial" w:eastAsia="Arial" w:hAnsi="Arial" w:cs="Arial"/>
          <w:i/>
          <w:color w:val="202020"/>
        </w:rPr>
        <w:t xml:space="preserve">Estudio y análisis de las solicitudes, efectuados conforme a los criterios objetivos, formas y prioridades de valoración de las solicitudes, recogidos en las convocatorias, desglose y puntuación otorgada a los mismos, establecidos en la convocatoria. Esta </w:t>
      </w:r>
      <w:r>
        <w:rPr>
          <w:rFonts w:ascii="Arial" w:eastAsia="Arial" w:hAnsi="Arial" w:cs="Arial"/>
          <w:i/>
          <w:color w:val="202020"/>
        </w:rPr>
        <w:t xml:space="preserve">podrá prever una fase de preevaluación, en la que se verificará el cumplimiento de las condiciones impuestas para adquirir la condición de beneficiario de la subvención. </w:t>
      </w:r>
    </w:p>
    <w:p w:rsidR="00FF384B" w:rsidRDefault="003E3BA9">
      <w:pPr>
        <w:numPr>
          <w:ilvl w:val="1"/>
          <w:numId w:val="42"/>
        </w:numPr>
        <w:spacing w:after="92" w:line="248" w:lineRule="auto"/>
        <w:ind w:right="244" w:hanging="10"/>
        <w:jc w:val="both"/>
      </w:pPr>
      <w:r>
        <w:rPr>
          <w:rFonts w:ascii="Arial" w:eastAsia="Arial" w:hAnsi="Arial" w:cs="Arial"/>
          <w:i/>
          <w:color w:val="202020"/>
        </w:rPr>
        <w:t>Informe del gestor en el que conste que de la información que obra en su poder se des</w:t>
      </w:r>
      <w:r>
        <w:rPr>
          <w:rFonts w:ascii="Arial" w:eastAsia="Arial" w:hAnsi="Arial" w:cs="Arial"/>
          <w:i/>
          <w:color w:val="202020"/>
        </w:rPr>
        <w:t xml:space="preserve">prende que los beneficiarios cumplen todos los requisitos necesarios para acceder a las mismas. </w:t>
      </w:r>
    </w:p>
    <w:p w:rsidR="00FF384B" w:rsidRDefault="003E3BA9">
      <w:pPr>
        <w:numPr>
          <w:ilvl w:val="0"/>
          <w:numId w:val="42"/>
        </w:numPr>
        <w:spacing w:after="143" w:line="248" w:lineRule="auto"/>
        <w:ind w:right="244" w:hanging="247"/>
        <w:jc w:val="both"/>
      </w:pPr>
      <w:r>
        <w:rPr>
          <w:rFonts w:ascii="Arial" w:eastAsia="Arial" w:hAnsi="Arial" w:cs="Arial"/>
          <w:i/>
          <w:color w:val="202020"/>
        </w:rPr>
        <w:t>Una vez estudiadas y analizadas las solicitudes, el órgano gestor elaborará un informe que elevará a dictamen de una Comisión de Valoración, como órgano colegi</w:t>
      </w:r>
      <w:r>
        <w:rPr>
          <w:rFonts w:ascii="Arial" w:eastAsia="Arial" w:hAnsi="Arial" w:cs="Arial"/>
          <w:i/>
          <w:color w:val="202020"/>
        </w:rPr>
        <w:t xml:space="preserve">ado al que corresponde evaluar las solicitudes presentadas, de acuerdo con los criterios de valoración establecidos en la convocatoria. </w:t>
      </w:r>
    </w:p>
    <w:p w:rsidR="00FF384B" w:rsidRDefault="003E3BA9">
      <w:pPr>
        <w:numPr>
          <w:ilvl w:val="0"/>
          <w:numId w:val="42"/>
        </w:numPr>
        <w:spacing w:after="143" w:line="248" w:lineRule="auto"/>
        <w:ind w:right="244" w:hanging="247"/>
        <w:jc w:val="both"/>
      </w:pPr>
      <w:r>
        <w:rPr>
          <w:rFonts w:ascii="Arial" w:eastAsia="Arial" w:hAnsi="Arial" w:cs="Arial"/>
          <w:i/>
          <w:color w:val="202020"/>
        </w:rPr>
        <w:t>La Comisión de Valoración, formada por al menos tres miembros, a la vista del informe presentado, realizará el examen d</w:t>
      </w:r>
      <w:r>
        <w:rPr>
          <w:rFonts w:ascii="Arial" w:eastAsia="Arial" w:hAnsi="Arial" w:cs="Arial"/>
          <w:i/>
          <w:color w:val="202020"/>
        </w:rPr>
        <w:t xml:space="preserve">e las solicitudes y elaborará un dictamen, en el que figurará la aplicación de los criterios de valoración y el orden preferente resultante, que será la base de la propuesta de resolución del órgano instructor. </w:t>
      </w:r>
    </w:p>
    <w:p w:rsidR="00FF384B" w:rsidRDefault="003E3BA9">
      <w:pPr>
        <w:spacing w:after="142" w:line="248" w:lineRule="auto"/>
        <w:ind w:left="278" w:right="244" w:hanging="10"/>
        <w:jc w:val="both"/>
      </w:pPr>
      <w:r>
        <w:rPr>
          <w:rFonts w:ascii="Arial" w:eastAsia="Arial" w:hAnsi="Arial" w:cs="Arial"/>
          <w:color w:val="202020"/>
        </w:rPr>
        <w:t xml:space="preserve">Artículo 20. Propuesta de resolución. </w:t>
      </w:r>
    </w:p>
    <w:p w:rsidR="00FF384B" w:rsidRDefault="003E3BA9">
      <w:pPr>
        <w:numPr>
          <w:ilvl w:val="0"/>
          <w:numId w:val="43"/>
        </w:numPr>
        <w:spacing w:after="143" w:line="248" w:lineRule="auto"/>
        <w:ind w:right="244" w:hanging="10"/>
        <w:jc w:val="both"/>
      </w:pPr>
      <w:r>
        <w:rPr>
          <w:rFonts w:ascii="Arial" w:eastAsia="Arial" w:hAnsi="Arial" w:cs="Arial"/>
          <w:i/>
          <w:color w:val="202020"/>
        </w:rPr>
        <w:t>El ór</w:t>
      </w:r>
      <w:r>
        <w:rPr>
          <w:rFonts w:ascii="Arial" w:eastAsia="Arial" w:hAnsi="Arial" w:cs="Arial"/>
          <w:i/>
          <w:color w:val="202020"/>
        </w:rPr>
        <w:t xml:space="preserve">gano instructor, a la vista del contenido del expediente y del informe de la Comisión de Valoración, formulará la propuesta de resolución provisional.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7278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124" name="Group 4461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7889" name="Picture 17889"/>
                          <pic:cNvPicPr/>
                        </pic:nvPicPr>
                        <pic:blipFill>
                          <a:blip r:embed="rId62"/>
                          <a:stretch>
                            <a:fillRect/>
                          </a:stretch>
                        </pic:blipFill>
                        <pic:spPr>
                          <a:xfrm rot="-5399999">
                            <a:off x="-1720849" y="1720849"/>
                            <a:ext cx="3797300" cy="355601"/>
                          </a:xfrm>
                          <a:prstGeom prst="rect">
                            <a:avLst/>
                          </a:prstGeom>
                        </pic:spPr>
                      </pic:pic>
                      <wps:wsp>
                        <wps:cNvPr id="17890" name="Rectangle 1789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7891" name="Rectangle 1789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w:t>
                              </w:r>
                              <w:r>
                                <w:rPr>
                                  <w:rFonts w:ascii="Arial" w:eastAsia="Arial" w:hAnsi="Arial" w:cs="Arial"/>
                                  <w:sz w:val="12"/>
                                </w:rPr>
                                <w:t xml:space="preserve">ocumento firmado electrónicamente desde la plataforma esPublico Gestiona | Página 67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124" style="width:41.2715pt;height:299pt;position:absolute;mso-position-horizontal-relative:page;mso-position-horizontal:absolute;margin-left:653.71pt;mso-position-vertical-relative:page;margin-top:512.92pt;" coordsize="5241,37973">
                <v:shape id="Picture 17889" style="position:absolute;width:37973;height:3556;left:-17208;top:17208;rotation:-89;" filled="f">
                  <v:imagedata r:id="rId63"/>
                </v:shape>
                <v:rect id="Rectangle 1789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789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353 </w:t>
                        </w:r>
                      </w:p>
                    </w:txbxContent>
                  </v:textbox>
                </v:rect>
                <w10:wrap type="square"/>
              </v:group>
            </w:pict>
          </mc:Fallback>
        </mc:AlternateContent>
      </w:r>
      <w:r>
        <w:rPr>
          <w:rFonts w:ascii="Arial" w:eastAsia="Arial" w:hAnsi="Arial" w:cs="Arial"/>
          <w:i/>
          <w:color w:val="202020"/>
        </w:rPr>
        <w:t>Dicha propuesta se formulará en un acto único, salvo que, conforme a la previsión contemplada en el procedimiento simplificado de concurrencia competitiva para los</w:t>
      </w:r>
      <w:r>
        <w:rPr>
          <w:rFonts w:ascii="Arial" w:eastAsia="Arial" w:hAnsi="Arial" w:cs="Arial"/>
          <w:i/>
          <w:color w:val="202020"/>
        </w:rPr>
        <w:t xml:space="preserve"> supuestos previstos en el artículo 25.1.a) b) de esta Ordenanza, se resuelva de forma individualizada, en cuyo caso se podrán formular propuestas de resolución en actos individuales. </w:t>
      </w:r>
    </w:p>
    <w:p w:rsidR="00FF384B" w:rsidRDefault="003E3BA9">
      <w:pPr>
        <w:spacing w:after="143" w:line="248" w:lineRule="auto"/>
        <w:ind w:left="278" w:right="244" w:hanging="10"/>
        <w:jc w:val="both"/>
      </w:pPr>
      <w:r>
        <w:rPr>
          <w:rFonts w:ascii="Arial" w:eastAsia="Arial" w:hAnsi="Arial" w:cs="Arial"/>
          <w:i/>
          <w:color w:val="202020"/>
        </w:rPr>
        <w:t xml:space="preserve">La propuesta de resolución deberá expresar la relación de solicitantes </w:t>
      </w:r>
      <w:r>
        <w:rPr>
          <w:rFonts w:ascii="Arial" w:eastAsia="Arial" w:hAnsi="Arial" w:cs="Arial"/>
          <w:i/>
          <w:color w:val="202020"/>
        </w:rPr>
        <w:t xml:space="preserve">para los que se propone la concesión de la subvención y su cuantía, especificando la puntuación obtenida y los criterios de valoración seguidos para efectuarla, así como la propuesta de desestimación fundamentada del resto de solicitudes. </w:t>
      </w:r>
    </w:p>
    <w:p w:rsidR="00FF384B" w:rsidRDefault="003E3BA9">
      <w:pPr>
        <w:numPr>
          <w:ilvl w:val="0"/>
          <w:numId w:val="43"/>
        </w:numPr>
        <w:spacing w:after="143" w:line="248" w:lineRule="auto"/>
        <w:ind w:right="244" w:hanging="10"/>
        <w:jc w:val="both"/>
      </w:pPr>
      <w:r>
        <w:rPr>
          <w:rFonts w:ascii="Arial" w:eastAsia="Arial" w:hAnsi="Arial" w:cs="Arial"/>
          <w:i/>
          <w:color w:val="202020"/>
        </w:rPr>
        <w:t xml:space="preserve">Emitida la propuesta de resolución provisional, se dará traslado al interesado para cumplir con el trámite de audiencia. El interesado, en el plazo de diez días, podrá presentar las alegaciones que considere oportunas. </w:t>
      </w:r>
    </w:p>
    <w:p w:rsidR="00FF384B" w:rsidRDefault="003E3BA9">
      <w:pPr>
        <w:spacing w:after="143" w:line="248" w:lineRule="auto"/>
        <w:ind w:left="278" w:right="244" w:hanging="10"/>
        <w:jc w:val="both"/>
      </w:pPr>
      <w:r>
        <w:rPr>
          <w:rFonts w:ascii="Arial" w:eastAsia="Arial" w:hAnsi="Arial" w:cs="Arial"/>
          <w:i/>
          <w:color w:val="202020"/>
        </w:rPr>
        <w:t>Sin perjuicio de lo establecido en l</w:t>
      </w:r>
      <w:r>
        <w:rPr>
          <w:rFonts w:ascii="Arial" w:eastAsia="Arial" w:hAnsi="Arial" w:cs="Arial"/>
          <w:i/>
          <w:color w:val="202020"/>
        </w:rPr>
        <w:t xml:space="preserve">a legislación vigente de Procedimiento Administrativo Común, las convocatorias podrán prever que las comunicaciones a los interesados puedan efectuarse mediante notificación electrónica. </w:t>
      </w:r>
    </w:p>
    <w:p w:rsidR="00FF384B" w:rsidRDefault="003E3BA9">
      <w:pPr>
        <w:numPr>
          <w:ilvl w:val="0"/>
          <w:numId w:val="43"/>
        </w:numPr>
        <w:spacing w:after="143" w:line="248" w:lineRule="auto"/>
        <w:ind w:right="244" w:hanging="10"/>
        <w:jc w:val="both"/>
      </w:pPr>
      <w:r>
        <w:rPr>
          <w:rFonts w:ascii="Arial" w:eastAsia="Arial" w:hAnsi="Arial" w:cs="Arial"/>
          <w:i/>
          <w:color w:val="202020"/>
        </w:rPr>
        <w:t>Se podrá prescindir del trámite de audiencia, cuando no figuren en e</w:t>
      </w:r>
      <w:r>
        <w:rPr>
          <w:rFonts w:ascii="Arial" w:eastAsia="Arial" w:hAnsi="Arial" w:cs="Arial"/>
          <w:i/>
          <w:color w:val="202020"/>
        </w:rPr>
        <w:t xml:space="preserve">l procedimiento ni sean tenidos en cuenta en la resolución otros hechos ni otras alegaciones y pruebas que las aducidas por el interesado. En este caso, la propuesta de resolución tendrá el carácter de definitiva. </w:t>
      </w:r>
    </w:p>
    <w:p w:rsidR="00FF384B" w:rsidRDefault="003E3BA9">
      <w:pPr>
        <w:numPr>
          <w:ilvl w:val="0"/>
          <w:numId w:val="43"/>
        </w:numPr>
        <w:spacing w:after="143" w:line="248" w:lineRule="auto"/>
        <w:ind w:right="244" w:hanging="10"/>
        <w:jc w:val="both"/>
      </w:pPr>
      <w:r>
        <w:rPr>
          <w:rFonts w:ascii="Arial" w:eastAsia="Arial" w:hAnsi="Arial" w:cs="Arial"/>
          <w:i/>
          <w:color w:val="202020"/>
        </w:rPr>
        <w:t>Instruido el procedimiento, el órgano ins</w:t>
      </w:r>
      <w:r>
        <w:rPr>
          <w:rFonts w:ascii="Arial" w:eastAsia="Arial" w:hAnsi="Arial" w:cs="Arial"/>
          <w:i/>
          <w:color w:val="202020"/>
        </w:rPr>
        <w:t xml:space="preserve">tructor formulará la propuesta de resolución definitiva, que se notificará a los interesados propuestos como beneficiarios, en la forma que establezca la convocatoria. </w:t>
      </w:r>
    </w:p>
    <w:p w:rsidR="00FF384B" w:rsidRDefault="003E3BA9">
      <w:pPr>
        <w:spacing w:after="143" w:line="248" w:lineRule="auto"/>
        <w:ind w:left="278" w:right="244" w:hanging="10"/>
        <w:jc w:val="both"/>
      </w:pPr>
      <w:r>
        <w:rPr>
          <w:rFonts w:ascii="Arial" w:eastAsia="Arial" w:hAnsi="Arial" w:cs="Arial"/>
          <w:i/>
          <w:color w:val="202020"/>
        </w:rPr>
        <w:t xml:space="preserve">La convocatoria recogerá si la aceptación debe ser expresa o tácita. </w:t>
      </w:r>
    </w:p>
    <w:p w:rsidR="00FF384B" w:rsidRDefault="003E3BA9">
      <w:pPr>
        <w:spacing w:after="143" w:line="248" w:lineRule="auto"/>
        <w:ind w:left="278" w:right="244" w:hanging="10"/>
        <w:jc w:val="both"/>
      </w:pPr>
      <w:r>
        <w:rPr>
          <w:rFonts w:ascii="Arial" w:eastAsia="Arial" w:hAnsi="Arial" w:cs="Arial"/>
          <w:i/>
          <w:color w:val="202020"/>
        </w:rPr>
        <w:t>En el caso, de qu</w:t>
      </w:r>
      <w:r>
        <w:rPr>
          <w:rFonts w:ascii="Arial" w:eastAsia="Arial" w:hAnsi="Arial" w:cs="Arial"/>
          <w:i/>
          <w:color w:val="202020"/>
        </w:rPr>
        <w:t xml:space="preserve">e se haya previsto la aceptación expresa, si ésta no se comunica, se considerará que el propuesto como beneficiario desiste de su solicitud. </w:t>
      </w:r>
    </w:p>
    <w:p w:rsidR="00FF384B" w:rsidRDefault="003E3BA9">
      <w:pPr>
        <w:spacing w:after="143" w:line="248" w:lineRule="auto"/>
        <w:ind w:left="278" w:right="244" w:hanging="10"/>
        <w:jc w:val="both"/>
      </w:pPr>
      <w:r>
        <w:rPr>
          <w:rFonts w:ascii="Arial" w:eastAsia="Arial" w:hAnsi="Arial" w:cs="Arial"/>
          <w:i/>
          <w:color w:val="202020"/>
        </w:rPr>
        <w:t xml:space="preserve">No obstante, se podrá prever que la aceptación se lleve a cabo con posterioridad a la concesión de la subvención. </w:t>
      </w:r>
    </w:p>
    <w:p w:rsidR="00FF384B" w:rsidRDefault="003E3BA9">
      <w:pPr>
        <w:numPr>
          <w:ilvl w:val="0"/>
          <w:numId w:val="43"/>
        </w:numPr>
        <w:spacing w:after="143" w:line="248" w:lineRule="auto"/>
        <w:ind w:right="244" w:hanging="10"/>
        <w:jc w:val="both"/>
      </w:pPr>
      <w:r>
        <w:rPr>
          <w:rFonts w:ascii="Arial" w:eastAsia="Arial" w:hAnsi="Arial" w:cs="Arial"/>
          <w:i/>
          <w:color w:val="202020"/>
        </w:rPr>
        <w:t xml:space="preserve">Las propuestas de resolución, en ningún caso suponen la creación de derecho alguno a favor del beneficiario, mientras no se haya notificado la resolución definitiva de la concesión. </w:t>
      </w:r>
    </w:p>
    <w:p w:rsidR="00FF384B" w:rsidRDefault="003E3BA9">
      <w:pPr>
        <w:spacing w:after="142" w:line="248" w:lineRule="auto"/>
        <w:ind w:left="278" w:right="244" w:hanging="10"/>
        <w:jc w:val="both"/>
      </w:pPr>
      <w:r>
        <w:rPr>
          <w:rFonts w:ascii="Arial" w:eastAsia="Arial" w:hAnsi="Arial" w:cs="Arial"/>
          <w:color w:val="202020"/>
        </w:rPr>
        <w:t xml:space="preserve">Artículo 21. Resolución. </w:t>
      </w:r>
    </w:p>
    <w:p w:rsidR="00FF384B" w:rsidRDefault="003E3BA9">
      <w:pPr>
        <w:numPr>
          <w:ilvl w:val="0"/>
          <w:numId w:val="44"/>
        </w:numPr>
        <w:spacing w:after="143" w:line="248" w:lineRule="auto"/>
        <w:ind w:right="244" w:hanging="10"/>
        <w:jc w:val="both"/>
      </w:pPr>
      <w:r>
        <w:rPr>
          <w:rFonts w:ascii="Arial" w:eastAsia="Arial" w:hAnsi="Arial" w:cs="Arial"/>
          <w:i/>
          <w:color w:val="202020"/>
        </w:rPr>
        <w:t>Una vez aprobada la propuesta de resolución, e</w:t>
      </w:r>
      <w:r>
        <w:rPr>
          <w:rFonts w:ascii="Arial" w:eastAsia="Arial" w:hAnsi="Arial" w:cs="Arial"/>
          <w:i/>
          <w:color w:val="202020"/>
        </w:rPr>
        <w:t xml:space="preserve">l órgano competente resolverá la concesión de las subvenciones. </w:t>
      </w:r>
    </w:p>
    <w:p w:rsidR="00FF384B" w:rsidRDefault="003E3BA9">
      <w:pPr>
        <w:numPr>
          <w:ilvl w:val="0"/>
          <w:numId w:val="44"/>
        </w:numPr>
        <w:spacing w:after="143" w:line="248" w:lineRule="auto"/>
        <w:ind w:right="244" w:hanging="10"/>
        <w:jc w:val="both"/>
      </w:pPr>
      <w:r>
        <w:rPr>
          <w:rFonts w:ascii="Arial" w:eastAsia="Arial" w:hAnsi="Arial" w:cs="Arial"/>
          <w:i/>
          <w:color w:val="202020"/>
        </w:rPr>
        <w:t xml:space="preserve">La resolución se motivará de conformidad con lo dispuesto en la presente ordenanza y en la convocatoria por la que se rige, debiendo quedar acreditados en el procedimiento los fundamentos de </w:t>
      </w:r>
      <w:r>
        <w:rPr>
          <w:rFonts w:ascii="Arial" w:eastAsia="Arial" w:hAnsi="Arial" w:cs="Arial"/>
          <w:i/>
          <w:color w:val="202020"/>
        </w:rPr>
        <w:t xml:space="preserve">la resolución que se adopte. </w:t>
      </w:r>
    </w:p>
    <w:p w:rsidR="00FF384B" w:rsidRDefault="003E3BA9">
      <w:pPr>
        <w:numPr>
          <w:ilvl w:val="0"/>
          <w:numId w:val="44"/>
        </w:numPr>
        <w:spacing w:after="143" w:line="248" w:lineRule="auto"/>
        <w:ind w:right="244" w:hanging="10"/>
        <w:jc w:val="both"/>
      </w:pPr>
      <w:r>
        <w:rPr>
          <w:rFonts w:ascii="Arial" w:eastAsia="Arial" w:hAnsi="Arial" w:cs="Arial"/>
          <w:i/>
          <w:color w:val="202020"/>
        </w:rPr>
        <w:t>En la resolución constará, en todo caso, el objeto de la subvención, el beneficiario o beneficiarios, la puntuación obtenida en la valoración, el importe de la subvención, con indicación del porcentaje, cuando la cuantificació</w:t>
      </w:r>
      <w:r>
        <w:rPr>
          <w:rFonts w:ascii="Arial" w:eastAsia="Arial" w:hAnsi="Arial" w:cs="Arial"/>
          <w:i/>
          <w:color w:val="202020"/>
        </w:rPr>
        <w:t xml:space="preserve">n se haya basado en este criterio, así como, de forma fundamentada, la desestimación y la no concesión de ayuda por inadmisión de la petición, desistimiento, renuncia o imposibilidad material sobrevenida del resto de solicitudes. </w:t>
      </w:r>
    </w:p>
    <w:p w:rsidR="00FF384B" w:rsidRDefault="003E3BA9">
      <w:pPr>
        <w:numPr>
          <w:ilvl w:val="0"/>
          <w:numId w:val="44"/>
        </w:numPr>
        <w:spacing w:after="143" w:line="248" w:lineRule="auto"/>
        <w:ind w:right="244" w:hanging="10"/>
        <w:jc w:val="both"/>
      </w:pPr>
      <w:r>
        <w:rPr>
          <w:noProof/>
        </w:rPr>
        <mc:AlternateContent>
          <mc:Choice Requires="wpg">
            <w:drawing>
              <wp:anchor distT="0" distB="0" distL="114300" distR="114300" simplePos="0" relativeHeight="2517288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352" name="Group 44635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027" name="Picture 18027"/>
                          <pic:cNvPicPr/>
                        </pic:nvPicPr>
                        <pic:blipFill>
                          <a:blip r:embed="rId62"/>
                          <a:stretch>
                            <a:fillRect/>
                          </a:stretch>
                        </pic:blipFill>
                        <pic:spPr>
                          <a:xfrm rot="-5399999">
                            <a:off x="-1720849" y="1720849"/>
                            <a:ext cx="3797300" cy="355601"/>
                          </a:xfrm>
                          <a:prstGeom prst="rect">
                            <a:avLst/>
                          </a:prstGeom>
                        </pic:spPr>
                      </pic:pic>
                      <wps:wsp>
                        <wps:cNvPr id="18028" name="Rectangle 1802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029" name="Rectangle 1802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352" style="width:41.2715pt;height:299pt;position:absolute;mso-position-horizontal-relative:page;mso-position-horizontal:absolute;margin-left:653.71pt;mso-position-vertical-relative:page;margin-top:512.92pt;" coordsize="5241,37973">
                <v:shape id="Picture 18027" style="position:absolute;width:37973;height:3556;left:-17208;top:17208;rotation:-89;" filled="f">
                  <v:imagedata r:id="rId63"/>
                </v:shape>
                <v:rect id="Rectangle 1802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02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353 </w:t>
                        </w:r>
                      </w:p>
                    </w:txbxContent>
                  </v:textbox>
                </v:rect>
                <w10:wrap type="square"/>
              </v:group>
            </w:pict>
          </mc:Fallback>
        </mc:AlternateContent>
      </w:r>
      <w:r>
        <w:rPr>
          <w:rFonts w:ascii="Arial" w:eastAsia="Arial" w:hAnsi="Arial" w:cs="Arial"/>
          <w:i/>
          <w:color w:val="202020"/>
        </w:rPr>
        <w:t>La resolución deberá contener los recursos que contra la misma</w:t>
      </w:r>
      <w:r>
        <w:rPr>
          <w:rFonts w:ascii="Arial" w:eastAsia="Arial" w:hAnsi="Arial" w:cs="Arial"/>
          <w:i/>
          <w:color w:val="202020"/>
        </w:rPr>
        <w:t xml:space="preserve"> procedan, órgano administrativo o judicial ante el que hubieran de presentarse y plazo para interponerlos, sin perjuicio de que los interesados puedan ejercitar cualquier otro que estimen oportuno. </w:t>
      </w:r>
    </w:p>
    <w:p w:rsidR="00FF384B" w:rsidRDefault="003E3BA9">
      <w:pPr>
        <w:numPr>
          <w:ilvl w:val="0"/>
          <w:numId w:val="44"/>
        </w:numPr>
        <w:spacing w:after="143" w:line="248" w:lineRule="auto"/>
        <w:ind w:right="244" w:hanging="10"/>
        <w:jc w:val="both"/>
      </w:pPr>
      <w:r>
        <w:rPr>
          <w:rFonts w:ascii="Arial" w:eastAsia="Arial" w:hAnsi="Arial" w:cs="Arial"/>
          <w:i/>
          <w:color w:val="202020"/>
        </w:rPr>
        <w:t xml:space="preserve">El plazo máximo para </w:t>
      </w:r>
      <w:r>
        <w:rPr>
          <w:rFonts w:ascii="Arial" w:eastAsia="Arial" w:hAnsi="Arial" w:cs="Arial"/>
          <w:i/>
          <w:color w:val="202020"/>
        </w:rPr>
        <w:t xml:space="preserve">resolver y notificar no podrá exceder de seis meses. El plazo se computará a partir de la publicación de la correspondiente convocatoria, o desde la fecha de finalización del plazo de presentación de las solicitudes. Cada convocatoria determinará la fecha </w:t>
      </w:r>
      <w:r>
        <w:rPr>
          <w:rFonts w:ascii="Arial" w:eastAsia="Arial" w:hAnsi="Arial" w:cs="Arial"/>
          <w:i/>
          <w:color w:val="202020"/>
        </w:rPr>
        <w:t xml:space="preserve">de cómputo. </w:t>
      </w:r>
    </w:p>
    <w:p w:rsidR="00FF384B" w:rsidRDefault="003E3BA9">
      <w:pPr>
        <w:numPr>
          <w:ilvl w:val="0"/>
          <w:numId w:val="44"/>
        </w:numPr>
        <w:spacing w:after="143" w:line="248" w:lineRule="auto"/>
        <w:ind w:right="244" w:hanging="10"/>
        <w:jc w:val="both"/>
      </w:pPr>
      <w:r>
        <w:rPr>
          <w:rFonts w:ascii="Arial" w:eastAsia="Arial" w:hAnsi="Arial" w:cs="Arial"/>
          <w:i/>
          <w:color w:val="202020"/>
        </w:rPr>
        <w:t xml:space="preserve">La resolución será notificada a los solicitantes de conformidad con lo prescrito en la regulación del Procedimiento Administrativo Común. </w:t>
      </w:r>
    </w:p>
    <w:p w:rsidR="00FF384B" w:rsidRDefault="003E3BA9">
      <w:pPr>
        <w:numPr>
          <w:ilvl w:val="0"/>
          <w:numId w:val="44"/>
        </w:numPr>
        <w:spacing w:after="143" w:line="248" w:lineRule="auto"/>
        <w:ind w:right="244" w:hanging="10"/>
        <w:jc w:val="both"/>
      </w:pPr>
      <w:r>
        <w:rPr>
          <w:rFonts w:ascii="Arial" w:eastAsia="Arial" w:hAnsi="Arial" w:cs="Arial"/>
          <w:i/>
          <w:color w:val="202020"/>
        </w:rPr>
        <w:t>Se entenderá que la subvención es aceptada por el beneficiario si transcurridos diez días desde la recep</w:t>
      </w:r>
      <w:r>
        <w:rPr>
          <w:rFonts w:ascii="Arial" w:eastAsia="Arial" w:hAnsi="Arial" w:cs="Arial"/>
          <w:i/>
          <w:color w:val="202020"/>
        </w:rPr>
        <w:t xml:space="preserve">ción de la notificación el interesado no ejercita acto en contrario, salvo que en la convocatoria no se diga otra cosa. </w:t>
      </w:r>
    </w:p>
    <w:p w:rsidR="00FF384B" w:rsidRDefault="003E3BA9">
      <w:pPr>
        <w:numPr>
          <w:ilvl w:val="0"/>
          <w:numId w:val="44"/>
        </w:numPr>
        <w:spacing w:after="152" w:line="240" w:lineRule="auto"/>
        <w:ind w:right="244" w:hanging="10"/>
        <w:jc w:val="both"/>
      </w:pPr>
      <w:r>
        <w:rPr>
          <w:rFonts w:ascii="Arial" w:eastAsia="Arial" w:hAnsi="Arial" w:cs="Arial"/>
          <w:i/>
          <w:color w:val="202020"/>
        </w:rPr>
        <w:t>La resolución se publicará en el Boletín Oficial de la Provincia, en la sede electrónica del Ayuntamiento de Candelaria, y será notific</w:t>
      </w:r>
      <w:r>
        <w:rPr>
          <w:rFonts w:ascii="Arial" w:eastAsia="Arial" w:hAnsi="Arial" w:cs="Arial"/>
          <w:i/>
          <w:color w:val="202020"/>
        </w:rPr>
        <w:t xml:space="preserve">ada a la Base de Datos Nacional de Subvenciones. </w:t>
      </w:r>
    </w:p>
    <w:p w:rsidR="00FF384B" w:rsidRDefault="003E3BA9">
      <w:pPr>
        <w:spacing w:after="143" w:line="248" w:lineRule="auto"/>
        <w:ind w:left="278" w:right="244" w:hanging="10"/>
        <w:jc w:val="both"/>
      </w:pPr>
      <w:r>
        <w:rPr>
          <w:rFonts w:ascii="Arial" w:eastAsia="Arial" w:hAnsi="Arial" w:cs="Arial"/>
          <w:i/>
          <w:color w:val="202020"/>
        </w:rPr>
        <w:t xml:space="preserve">No será necesaria la publicación de los datos del beneficiario, cuando en razón del objeto de la subvención, pueda ser contraria al respeto y salvaguarda del honor, la intimidad personal, y familiar de las </w:t>
      </w:r>
      <w:r>
        <w:rPr>
          <w:rFonts w:ascii="Arial" w:eastAsia="Arial" w:hAnsi="Arial" w:cs="Arial"/>
          <w:i/>
          <w:color w:val="202020"/>
        </w:rPr>
        <w:t xml:space="preserve">personas físicas en virtud de lo establecido en la Ley Orgánica 1/1982, de 5 de mayo, de Protección Civil del Derecho al Honor, a la Intimidad Personal y Familiar y a la Propia Imagen, y haya sido previsto en su normativa reguladora. </w:t>
      </w:r>
    </w:p>
    <w:p w:rsidR="00FF384B" w:rsidRDefault="003E3BA9">
      <w:pPr>
        <w:numPr>
          <w:ilvl w:val="0"/>
          <w:numId w:val="44"/>
        </w:numPr>
        <w:spacing w:after="143" w:line="248" w:lineRule="auto"/>
        <w:ind w:right="244" w:hanging="10"/>
        <w:jc w:val="both"/>
      </w:pPr>
      <w:r>
        <w:rPr>
          <w:rFonts w:ascii="Arial" w:eastAsia="Arial" w:hAnsi="Arial" w:cs="Arial"/>
          <w:i/>
          <w:color w:val="202020"/>
        </w:rPr>
        <w:t>Transcurrido el plazo</w:t>
      </w:r>
      <w:r>
        <w:rPr>
          <w:rFonts w:ascii="Arial" w:eastAsia="Arial" w:hAnsi="Arial" w:cs="Arial"/>
          <w:i/>
          <w:color w:val="202020"/>
        </w:rPr>
        <w:t xml:space="preserve"> máximo sin que se haya notificado resolución expresa, el solicitante podrá entender desestimada, por silencio administrativo, su solicitud de subvención. </w:t>
      </w:r>
    </w:p>
    <w:p w:rsidR="00FF384B" w:rsidRDefault="003E3BA9">
      <w:pPr>
        <w:spacing w:after="142" w:line="248" w:lineRule="auto"/>
        <w:ind w:left="278" w:right="244" w:hanging="10"/>
        <w:jc w:val="both"/>
      </w:pPr>
      <w:r>
        <w:rPr>
          <w:rFonts w:ascii="Arial" w:eastAsia="Arial" w:hAnsi="Arial" w:cs="Arial"/>
          <w:color w:val="202020"/>
        </w:rPr>
        <w:t xml:space="preserve">Artículo 22. Reformulación de solicitudes. </w:t>
      </w:r>
    </w:p>
    <w:p w:rsidR="00FF384B" w:rsidRDefault="003E3BA9">
      <w:pPr>
        <w:numPr>
          <w:ilvl w:val="0"/>
          <w:numId w:val="45"/>
        </w:numPr>
        <w:spacing w:after="143" w:line="248" w:lineRule="auto"/>
        <w:ind w:right="244" w:hanging="10"/>
        <w:jc w:val="both"/>
      </w:pPr>
      <w:r>
        <w:rPr>
          <w:rFonts w:ascii="Arial" w:eastAsia="Arial" w:hAnsi="Arial" w:cs="Arial"/>
          <w:i/>
          <w:color w:val="202020"/>
        </w:rPr>
        <w:t>Cuando la subvención tenga por objeto la financiación de</w:t>
      </w:r>
      <w:r>
        <w:rPr>
          <w:rFonts w:ascii="Arial" w:eastAsia="Arial" w:hAnsi="Arial" w:cs="Arial"/>
          <w:i/>
          <w:color w:val="202020"/>
        </w:rPr>
        <w:t xml:space="preserve"> actividades a desarrollar por el solicitante y el importe a conceder sea inferior al importe solicitado, a través de la resolución provisional señalada en el artículo 21 de la presente Ordenanza, se podrá instar al solicitante, si así se ha previsto en la</w:t>
      </w:r>
      <w:r>
        <w:rPr>
          <w:rFonts w:ascii="Arial" w:eastAsia="Arial" w:hAnsi="Arial" w:cs="Arial"/>
          <w:i/>
          <w:color w:val="202020"/>
        </w:rPr>
        <w:t xml:space="preserve"> convocatoria, a reformular su petición para ajustar los compromisos y condiciones a la subvención otorgable. </w:t>
      </w:r>
    </w:p>
    <w:p w:rsidR="00FF384B" w:rsidRDefault="003E3BA9">
      <w:pPr>
        <w:numPr>
          <w:ilvl w:val="0"/>
          <w:numId w:val="45"/>
        </w:numPr>
        <w:spacing w:after="143" w:line="248" w:lineRule="auto"/>
        <w:ind w:right="244" w:hanging="10"/>
        <w:jc w:val="both"/>
      </w:pPr>
      <w:r>
        <w:rPr>
          <w:rFonts w:ascii="Arial" w:eastAsia="Arial" w:hAnsi="Arial" w:cs="Arial"/>
          <w:i/>
          <w:color w:val="202020"/>
        </w:rPr>
        <w:t xml:space="preserve">La Concejalía responsable de la tramitación, deberá informar previamente a la nueva propuesta de resolución. </w:t>
      </w:r>
    </w:p>
    <w:p w:rsidR="00FF384B" w:rsidRDefault="003E3BA9">
      <w:pPr>
        <w:numPr>
          <w:ilvl w:val="0"/>
          <w:numId w:val="45"/>
        </w:numPr>
        <w:spacing w:after="143" w:line="248" w:lineRule="auto"/>
        <w:ind w:right="244" w:hanging="10"/>
        <w:jc w:val="both"/>
      </w:pPr>
      <w:r>
        <w:rPr>
          <w:rFonts w:ascii="Arial" w:eastAsia="Arial" w:hAnsi="Arial" w:cs="Arial"/>
          <w:i/>
          <w:color w:val="202020"/>
        </w:rPr>
        <w:t>En todo caso, la reformulación de s</w:t>
      </w:r>
      <w:r>
        <w:rPr>
          <w:rFonts w:ascii="Arial" w:eastAsia="Arial" w:hAnsi="Arial" w:cs="Arial"/>
          <w:i/>
          <w:color w:val="202020"/>
        </w:rPr>
        <w:t xml:space="preserve">olicitudes deberá respetar el objeto, condiciones y finalidad de la subvención, así como los criterios de valoración establecidos. </w:t>
      </w:r>
    </w:p>
    <w:p w:rsidR="00FF384B" w:rsidRDefault="003E3BA9">
      <w:pPr>
        <w:numPr>
          <w:ilvl w:val="0"/>
          <w:numId w:val="45"/>
        </w:numPr>
        <w:spacing w:after="143" w:line="248" w:lineRule="auto"/>
        <w:ind w:right="244" w:hanging="10"/>
        <w:jc w:val="both"/>
      </w:pPr>
      <w:r>
        <w:rPr>
          <w:rFonts w:ascii="Arial" w:eastAsia="Arial" w:hAnsi="Arial" w:cs="Arial"/>
          <w:i/>
          <w:color w:val="202020"/>
        </w:rPr>
        <w:t>Si se hubiese instado la reformulación y el solicitante de la ayuda no contesta en el plazo otorgado, se mantendrá el conten</w:t>
      </w:r>
      <w:r>
        <w:rPr>
          <w:rFonts w:ascii="Arial" w:eastAsia="Arial" w:hAnsi="Arial" w:cs="Arial"/>
          <w:i/>
          <w:color w:val="202020"/>
        </w:rPr>
        <w:t xml:space="preserve">ido de la solicitud inicial. </w:t>
      </w:r>
    </w:p>
    <w:p w:rsidR="00FF384B" w:rsidRDefault="003E3BA9">
      <w:pPr>
        <w:spacing w:after="142" w:line="248" w:lineRule="auto"/>
        <w:ind w:left="278" w:right="244" w:hanging="10"/>
        <w:jc w:val="both"/>
      </w:pPr>
      <w:r>
        <w:rPr>
          <w:rFonts w:ascii="Arial" w:eastAsia="Arial" w:hAnsi="Arial" w:cs="Arial"/>
          <w:color w:val="202020"/>
        </w:rPr>
        <w:t xml:space="preserve">Artículo 23. Convocatoria abierta. </w:t>
      </w:r>
    </w:p>
    <w:p w:rsidR="00FF384B" w:rsidRDefault="003E3BA9">
      <w:pPr>
        <w:numPr>
          <w:ilvl w:val="0"/>
          <w:numId w:val="46"/>
        </w:numPr>
        <w:spacing w:after="143" w:line="248" w:lineRule="auto"/>
        <w:ind w:right="244" w:hanging="10"/>
        <w:jc w:val="both"/>
      </w:pPr>
      <w:r>
        <w:rPr>
          <w:rFonts w:ascii="Arial" w:eastAsia="Arial" w:hAnsi="Arial" w:cs="Arial"/>
          <w:i/>
          <w:color w:val="202020"/>
        </w:rPr>
        <w:t>Se denomina convocatoria abierta al acto administrativo por el que se acuerda, de forma simultánea, la realización de varios procedimientos de selección sucesivos, a lo largo de un ejercicio</w:t>
      </w:r>
      <w:r>
        <w:rPr>
          <w:rFonts w:ascii="Arial" w:eastAsia="Arial" w:hAnsi="Arial" w:cs="Arial"/>
          <w:i/>
          <w:color w:val="202020"/>
        </w:rPr>
        <w:t xml:space="preserve"> presupuestario, para una misma línea de subvención. </w:t>
      </w:r>
    </w:p>
    <w:p w:rsidR="00FF384B" w:rsidRDefault="003E3BA9">
      <w:pPr>
        <w:numPr>
          <w:ilvl w:val="0"/>
          <w:numId w:val="46"/>
        </w:numPr>
        <w:spacing w:after="143" w:line="248" w:lineRule="auto"/>
        <w:ind w:right="244" w:hanging="10"/>
        <w:jc w:val="both"/>
      </w:pPr>
      <w:r>
        <w:rPr>
          <w:noProof/>
        </w:rPr>
        <mc:AlternateContent>
          <mc:Choice Requires="wpg">
            <w:drawing>
              <wp:anchor distT="0" distB="0" distL="114300" distR="114300" simplePos="0" relativeHeight="2517299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633" name="Group 44663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175" name="Picture 18175"/>
                          <pic:cNvPicPr/>
                        </pic:nvPicPr>
                        <pic:blipFill>
                          <a:blip r:embed="rId62"/>
                          <a:stretch>
                            <a:fillRect/>
                          </a:stretch>
                        </pic:blipFill>
                        <pic:spPr>
                          <a:xfrm rot="-5399999">
                            <a:off x="-1720849" y="1720849"/>
                            <a:ext cx="3797300" cy="355601"/>
                          </a:xfrm>
                          <a:prstGeom prst="rect">
                            <a:avLst/>
                          </a:prstGeom>
                        </pic:spPr>
                      </pic:pic>
                      <wps:wsp>
                        <wps:cNvPr id="18176" name="Rectangle 1817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177" name="Rectangle 1817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69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633" style="width:41.2715pt;height:299pt;position:absolute;mso-position-horizontal-relative:page;mso-position-horizontal:absolute;margin-left:653.71pt;mso-position-vertical-relative:page;margin-top:512.92pt;" coordsize="5241,37973">
                <v:shape id="Picture 18175" style="position:absolute;width:37973;height:3556;left:-17208;top:17208;rotation:-89;" filled="f">
                  <v:imagedata r:id="rId63"/>
                </v:shape>
                <v:rect id="Rectangle 1817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17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353 </w:t>
                        </w:r>
                      </w:p>
                    </w:txbxContent>
                  </v:textbox>
                </v:rect>
                <w10:wrap type="square"/>
              </v:group>
            </w:pict>
          </mc:Fallback>
        </mc:AlternateContent>
      </w:r>
      <w:r>
        <w:rPr>
          <w:rFonts w:ascii="Arial" w:eastAsia="Arial" w:hAnsi="Arial" w:cs="Arial"/>
          <w:i/>
          <w:color w:val="202020"/>
        </w:rPr>
        <w:t xml:space="preserve">En la convocatoria abierta deberá concretarse el número de procedimientos sucesivos que se realizarán y, para cada uno de ellos: </w:t>
      </w:r>
    </w:p>
    <w:p w:rsidR="00FF384B" w:rsidRDefault="003E3BA9">
      <w:pPr>
        <w:numPr>
          <w:ilvl w:val="1"/>
          <w:numId w:val="46"/>
        </w:numPr>
        <w:spacing w:after="89" w:line="248" w:lineRule="auto"/>
        <w:ind w:right="244" w:hanging="259"/>
        <w:jc w:val="both"/>
      </w:pPr>
      <w:r>
        <w:rPr>
          <w:rFonts w:ascii="Arial" w:eastAsia="Arial" w:hAnsi="Arial" w:cs="Arial"/>
          <w:i/>
          <w:color w:val="202020"/>
        </w:rPr>
        <w:t xml:space="preserve">El importe máximo a otorgar. </w:t>
      </w:r>
    </w:p>
    <w:p w:rsidR="00FF384B" w:rsidRDefault="003E3BA9">
      <w:pPr>
        <w:numPr>
          <w:ilvl w:val="1"/>
          <w:numId w:val="46"/>
        </w:numPr>
        <w:spacing w:after="89" w:line="248" w:lineRule="auto"/>
        <w:ind w:right="244" w:hanging="259"/>
        <w:jc w:val="both"/>
      </w:pPr>
      <w:r>
        <w:rPr>
          <w:rFonts w:ascii="Arial" w:eastAsia="Arial" w:hAnsi="Arial" w:cs="Arial"/>
          <w:i/>
          <w:color w:val="202020"/>
        </w:rPr>
        <w:t xml:space="preserve">El plazo máximo de resolución de cada uno de los procedimientos. </w:t>
      </w:r>
    </w:p>
    <w:p w:rsidR="00FF384B" w:rsidRDefault="003E3BA9">
      <w:pPr>
        <w:numPr>
          <w:ilvl w:val="1"/>
          <w:numId w:val="46"/>
        </w:numPr>
        <w:spacing w:after="92" w:line="248" w:lineRule="auto"/>
        <w:ind w:right="244" w:hanging="259"/>
        <w:jc w:val="both"/>
      </w:pPr>
      <w:r>
        <w:rPr>
          <w:rFonts w:ascii="Arial" w:eastAsia="Arial" w:hAnsi="Arial" w:cs="Arial"/>
          <w:i/>
          <w:color w:val="202020"/>
        </w:rPr>
        <w:t>El plazo en que, para cada uno</w:t>
      </w:r>
      <w:r>
        <w:rPr>
          <w:rFonts w:ascii="Arial" w:eastAsia="Arial" w:hAnsi="Arial" w:cs="Arial"/>
          <w:i/>
          <w:color w:val="202020"/>
        </w:rPr>
        <w:t xml:space="preserve"> de ellos, podrán presentarse las solicitudes. </w:t>
      </w:r>
    </w:p>
    <w:p w:rsidR="00FF384B" w:rsidRDefault="003E3BA9">
      <w:pPr>
        <w:numPr>
          <w:ilvl w:val="0"/>
          <w:numId w:val="46"/>
        </w:numPr>
        <w:spacing w:after="143" w:line="248" w:lineRule="auto"/>
        <w:ind w:right="244" w:hanging="10"/>
        <w:jc w:val="both"/>
      </w:pPr>
      <w:r>
        <w:rPr>
          <w:rFonts w:ascii="Arial" w:eastAsia="Arial" w:hAnsi="Arial" w:cs="Arial"/>
          <w:i/>
          <w:color w:val="202020"/>
        </w:rPr>
        <w:t>En cada uno de los procedimientos deberán compararse las solicitudes presentadas en el correspondiente periodo de tiempo y acordar el otorgamiento sin superar la cuantía que para cada procedimiento se haya es</w:t>
      </w:r>
      <w:r>
        <w:rPr>
          <w:rFonts w:ascii="Arial" w:eastAsia="Arial" w:hAnsi="Arial" w:cs="Arial"/>
          <w:i/>
          <w:color w:val="202020"/>
        </w:rPr>
        <w:t xml:space="preserve">tablecido en la convocatoria abierta. </w:t>
      </w:r>
    </w:p>
    <w:p w:rsidR="00FF384B" w:rsidRDefault="003E3BA9">
      <w:pPr>
        <w:spacing w:after="143" w:line="248" w:lineRule="auto"/>
        <w:ind w:left="278" w:right="244" w:hanging="10"/>
        <w:jc w:val="both"/>
      </w:pPr>
      <w:r>
        <w:rPr>
          <w:rFonts w:ascii="Arial" w:eastAsia="Arial" w:hAnsi="Arial" w:cs="Arial"/>
          <w:i/>
          <w:color w:val="202020"/>
        </w:rPr>
        <w:t>En los supuestos del artículo 25.1 a) de esta Ordenanza, las solicitudes que cumpliendo los requisitos exigidos no hayan podido atenderse por falta de disponibilidad presupuestaria para ese procedimiento, podrán ser a</w:t>
      </w:r>
      <w:r>
        <w:rPr>
          <w:rFonts w:ascii="Arial" w:eastAsia="Arial" w:hAnsi="Arial" w:cs="Arial"/>
          <w:i/>
          <w:color w:val="202020"/>
        </w:rPr>
        <w:t>tendidas con cargo a los créditos del procedimiento siguiente, otorgándoseles prioridad sobre las peticiones que se presenten dentro de dicho procedimiento, siempre que continúen cumpliendo los requisitos exigibles para su obtención. La convocatoria establ</w:t>
      </w:r>
      <w:r>
        <w:rPr>
          <w:rFonts w:ascii="Arial" w:eastAsia="Arial" w:hAnsi="Arial" w:cs="Arial"/>
          <w:i/>
          <w:color w:val="202020"/>
        </w:rPr>
        <w:t xml:space="preserve">ecerá, si fuese necesario, la forma de acreditar el mantenimiento de los requisitos exigibles. </w:t>
      </w:r>
    </w:p>
    <w:p w:rsidR="00FF384B" w:rsidRDefault="003E3BA9">
      <w:pPr>
        <w:numPr>
          <w:ilvl w:val="0"/>
          <w:numId w:val="46"/>
        </w:numPr>
        <w:spacing w:after="143" w:line="248" w:lineRule="auto"/>
        <w:ind w:right="244" w:hanging="10"/>
        <w:jc w:val="both"/>
      </w:pPr>
      <w:r>
        <w:rPr>
          <w:rFonts w:ascii="Arial" w:eastAsia="Arial" w:hAnsi="Arial" w:cs="Arial"/>
          <w:i/>
          <w:color w:val="202020"/>
        </w:rPr>
        <w:t>Cuando a la finalización de un procedimiento se hayan concedido las subvenciones correspondientes y no se haya agotado el importe máximo a otorgar, se podrá tra</w:t>
      </w:r>
      <w:r>
        <w:rPr>
          <w:rFonts w:ascii="Arial" w:eastAsia="Arial" w:hAnsi="Arial" w:cs="Arial"/>
          <w:i/>
          <w:color w:val="202020"/>
        </w:rPr>
        <w:t xml:space="preserve">sladar la cantidad no aplicada a los posteriores procedimientos. </w:t>
      </w:r>
    </w:p>
    <w:p w:rsidR="00FF384B" w:rsidRDefault="003E3BA9">
      <w:pPr>
        <w:spacing w:after="143" w:line="248" w:lineRule="auto"/>
        <w:ind w:left="278" w:right="244" w:hanging="10"/>
        <w:jc w:val="both"/>
      </w:pPr>
      <w:r>
        <w:rPr>
          <w:rFonts w:ascii="Arial" w:eastAsia="Arial" w:hAnsi="Arial" w:cs="Arial"/>
          <w:i/>
          <w:color w:val="202020"/>
        </w:rPr>
        <w:t xml:space="preserve">Para poder hacer uso de esta posibilidad deberán cumplirse los siguientes requisitos: </w:t>
      </w:r>
    </w:p>
    <w:p w:rsidR="00FF384B" w:rsidRDefault="003E3BA9">
      <w:pPr>
        <w:numPr>
          <w:ilvl w:val="1"/>
          <w:numId w:val="46"/>
        </w:numPr>
        <w:spacing w:after="90" w:line="249" w:lineRule="auto"/>
        <w:ind w:right="244" w:hanging="259"/>
        <w:jc w:val="both"/>
      </w:pPr>
      <w:r>
        <w:rPr>
          <w:rFonts w:ascii="Arial" w:eastAsia="Arial" w:hAnsi="Arial" w:cs="Arial"/>
          <w:i/>
          <w:color w:val="202020"/>
        </w:rPr>
        <w:t xml:space="preserve">Deberá estar expresamente previsto en la convocatoria, donde se recogerán además los criterios para la </w:t>
      </w:r>
      <w:r>
        <w:rPr>
          <w:rFonts w:ascii="Arial" w:eastAsia="Arial" w:hAnsi="Arial" w:cs="Arial"/>
          <w:i/>
          <w:color w:val="202020"/>
        </w:rPr>
        <w:t xml:space="preserve">asignación de los fondos no empleados entre los periodos restantes. </w:t>
      </w:r>
    </w:p>
    <w:p w:rsidR="00FF384B" w:rsidRDefault="003E3BA9">
      <w:pPr>
        <w:numPr>
          <w:ilvl w:val="1"/>
          <w:numId w:val="46"/>
        </w:numPr>
        <w:spacing w:after="143" w:line="248" w:lineRule="auto"/>
        <w:ind w:right="244" w:hanging="259"/>
        <w:jc w:val="both"/>
      </w:pPr>
      <w:r>
        <w:rPr>
          <w:rFonts w:ascii="Arial" w:eastAsia="Arial" w:hAnsi="Arial" w:cs="Arial"/>
          <w:i/>
          <w:color w:val="202020"/>
        </w:rPr>
        <w:t xml:space="preserve">Una vez recaída la resolución del procedimiento, el órgano concedente deberá acordar expresamente las cuantías a trasladar y el periodo en el que se aplicarán. </w:t>
      </w:r>
      <w:r>
        <w:rPr>
          <w:rFonts w:ascii="Arial" w:eastAsia="Arial" w:hAnsi="Arial" w:cs="Arial"/>
          <w:i/>
          <w:color w:val="202020"/>
        </w:rPr>
        <w:t xml:space="preserve">c) El empleo de esta posibilidad no podrá suponer en ningún caso menoscabo de los derechos de los solicitantes del periodo de origen. </w:t>
      </w:r>
    </w:p>
    <w:p w:rsidR="00FF384B" w:rsidRDefault="003E3BA9">
      <w:pPr>
        <w:spacing w:after="142" w:line="248" w:lineRule="auto"/>
        <w:ind w:left="278" w:right="244" w:hanging="10"/>
        <w:jc w:val="both"/>
      </w:pPr>
      <w:r>
        <w:rPr>
          <w:rFonts w:ascii="Arial" w:eastAsia="Arial" w:hAnsi="Arial" w:cs="Arial"/>
          <w:color w:val="202020"/>
        </w:rPr>
        <w:t xml:space="preserve">CAPÍTULO III. De régimen y procedimiento simplificado de concesión de subvenciones en concurrencia competitiva. </w:t>
      </w:r>
    </w:p>
    <w:p w:rsidR="00FF384B" w:rsidRDefault="003E3BA9">
      <w:pPr>
        <w:spacing w:after="142" w:line="248" w:lineRule="auto"/>
        <w:ind w:left="278" w:right="244" w:hanging="10"/>
        <w:jc w:val="both"/>
      </w:pPr>
      <w:r>
        <w:rPr>
          <w:rFonts w:ascii="Arial" w:eastAsia="Arial" w:hAnsi="Arial" w:cs="Arial"/>
          <w:color w:val="202020"/>
        </w:rPr>
        <w:t>Artículo</w:t>
      </w:r>
      <w:r>
        <w:rPr>
          <w:rFonts w:ascii="Arial" w:eastAsia="Arial" w:hAnsi="Arial" w:cs="Arial"/>
          <w:color w:val="202020"/>
        </w:rPr>
        <w:t xml:space="preserve"> 24. Procedimiento simplificado en concurrencia competitiva. </w:t>
      </w:r>
    </w:p>
    <w:p w:rsidR="00FF384B" w:rsidRDefault="003E3BA9">
      <w:pPr>
        <w:numPr>
          <w:ilvl w:val="0"/>
          <w:numId w:val="47"/>
        </w:numPr>
        <w:spacing w:after="143" w:line="248" w:lineRule="auto"/>
        <w:ind w:right="244" w:hanging="245"/>
        <w:jc w:val="both"/>
      </w:pPr>
      <w:r>
        <w:rPr>
          <w:rFonts w:ascii="Arial" w:eastAsia="Arial" w:hAnsi="Arial" w:cs="Arial"/>
          <w:i/>
          <w:color w:val="202020"/>
        </w:rPr>
        <w:t>No obstante lo dispuesto en los artículos anteriores, en las convocatorias podrá aplicarse el procedimiento simplificado de concurrencia competitiva, regulado en esta ordenanza, en caso de uno l</w:t>
      </w:r>
      <w:r>
        <w:rPr>
          <w:rFonts w:ascii="Arial" w:eastAsia="Arial" w:hAnsi="Arial" w:cs="Arial"/>
          <w:i/>
          <w:color w:val="202020"/>
        </w:rPr>
        <w:t xml:space="preserve">os siguientes supuestos: </w:t>
      </w:r>
    </w:p>
    <w:p w:rsidR="00FF384B" w:rsidRDefault="003E3BA9">
      <w:pPr>
        <w:numPr>
          <w:ilvl w:val="1"/>
          <w:numId w:val="47"/>
        </w:numPr>
        <w:spacing w:after="92" w:line="248" w:lineRule="auto"/>
        <w:ind w:right="244" w:hanging="261"/>
        <w:jc w:val="both"/>
      </w:pPr>
      <w:r>
        <w:rPr>
          <w:rFonts w:ascii="Arial" w:eastAsia="Arial" w:hAnsi="Arial" w:cs="Arial"/>
          <w:i/>
          <w:color w:val="202020"/>
        </w:rPr>
        <w:t>Cuando el objeto y finalidad de la ayuda justifiquen que la prelación de las solicitudes, válidamente presentadas y que cumplan los requisitos que se establezcan, se fije únicamente en función de su fecha de presentación, dentro d</w:t>
      </w:r>
      <w:r>
        <w:rPr>
          <w:rFonts w:ascii="Arial" w:eastAsia="Arial" w:hAnsi="Arial" w:cs="Arial"/>
          <w:i/>
          <w:color w:val="202020"/>
        </w:rPr>
        <w:t xml:space="preserve">e un plazo limitado, con el fin de adjudicar las subvenciones dentro del crédito disponible. Dicha justificación deberá quedar debidamente motivada en el procedimiento de aprobación de la convocatoria. </w:t>
      </w:r>
    </w:p>
    <w:p w:rsidR="00FF384B" w:rsidRDefault="003E3BA9">
      <w:pPr>
        <w:numPr>
          <w:ilvl w:val="1"/>
          <w:numId w:val="47"/>
        </w:numPr>
        <w:spacing w:after="92" w:line="248" w:lineRule="auto"/>
        <w:ind w:right="244" w:hanging="261"/>
        <w:jc w:val="both"/>
      </w:pPr>
      <w:r>
        <w:rPr>
          <w:noProof/>
        </w:rPr>
        <mc:AlternateContent>
          <mc:Choice Requires="wpg">
            <w:drawing>
              <wp:anchor distT="0" distB="0" distL="114300" distR="114300" simplePos="0" relativeHeight="2517309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792" name="Group 44679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325" name="Picture 18325"/>
                          <pic:cNvPicPr/>
                        </pic:nvPicPr>
                        <pic:blipFill>
                          <a:blip r:embed="rId62"/>
                          <a:stretch>
                            <a:fillRect/>
                          </a:stretch>
                        </pic:blipFill>
                        <pic:spPr>
                          <a:xfrm rot="-5399999">
                            <a:off x="-1720849" y="1720849"/>
                            <a:ext cx="3797300" cy="355601"/>
                          </a:xfrm>
                          <a:prstGeom prst="rect">
                            <a:avLst/>
                          </a:prstGeom>
                        </pic:spPr>
                      </pic:pic>
                      <wps:wsp>
                        <wps:cNvPr id="18326" name="Rectangle 183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18327" name="Rectangle 1832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792" style="width:41.2715pt;height:299pt;position:absolute;mso-position-horizontal-relative:page;mso-position-horizontal:absolute;margin-left:653.71pt;mso-position-vertical-relative:page;margin-top:512.92pt;" coordsize="5241,37973">
                <v:shape id="Picture 18325" style="position:absolute;width:37973;height:3556;left:-17208;top:17208;rotation:-89;" filled="f">
                  <v:imagedata r:id="rId63"/>
                </v:shape>
                <v:rect id="Rectangle 183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32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353 </w:t>
                        </w:r>
                      </w:p>
                    </w:txbxContent>
                  </v:textbox>
                </v:rect>
                <w10:wrap type="square"/>
              </v:group>
            </w:pict>
          </mc:Fallback>
        </mc:AlternateContent>
      </w:r>
      <w:r>
        <w:rPr>
          <w:rFonts w:ascii="Arial" w:eastAsia="Arial" w:hAnsi="Arial" w:cs="Arial"/>
          <w:i/>
          <w:color w:val="202020"/>
        </w:rPr>
        <w:t>Cuando las convocatorias prevean que la subvención se concederá a todos los que reúnan los requisitos para su otorgamiento y solo se aplicarán criterios de evaluación para cuantificar, dentro del crédito consignado en la convocatoria, el importe de dicha s</w:t>
      </w:r>
      <w:r>
        <w:rPr>
          <w:rFonts w:ascii="Arial" w:eastAsia="Arial" w:hAnsi="Arial" w:cs="Arial"/>
          <w:i/>
          <w:color w:val="202020"/>
        </w:rPr>
        <w:t xml:space="preserve">ubvención. </w:t>
      </w:r>
    </w:p>
    <w:p w:rsidR="00FF384B" w:rsidRDefault="003E3BA9">
      <w:pPr>
        <w:numPr>
          <w:ilvl w:val="1"/>
          <w:numId w:val="47"/>
        </w:numPr>
        <w:spacing w:after="98" w:line="240" w:lineRule="auto"/>
        <w:ind w:right="244" w:hanging="261"/>
        <w:jc w:val="both"/>
      </w:pPr>
      <w:r>
        <w:rPr>
          <w:rFonts w:ascii="Arial" w:eastAsia="Arial" w:hAnsi="Arial" w:cs="Arial"/>
          <w:i/>
          <w:color w:val="202020"/>
        </w:rPr>
        <w:t>Cuando el crédito consignado en la convocatoria fuera suficiente para atender a todas las solicitudes que reúnan los requisitos establecidos, una vez finalizado el plazo de presentación, no siendo necesario establecer una prelación entre las mi</w:t>
      </w:r>
      <w:r>
        <w:rPr>
          <w:rFonts w:ascii="Arial" w:eastAsia="Arial" w:hAnsi="Arial" w:cs="Arial"/>
          <w:i/>
          <w:color w:val="202020"/>
        </w:rPr>
        <w:t xml:space="preserve">smas. </w:t>
      </w:r>
    </w:p>
    <w:p w:rsidR="00FF384B" w:rsidRDefault="003E3BA9">
      <w:pPr>
        <w:numPr>
          <w:ilvl w:val="0"/>
          <w:numId w:val="47"/>
        </w:numPr>
        <w:spacing w:after="143" w:line="248" w:lineRule="auto"/>
        <w:ind w:right="244" w:hanging="245"/>
        <w:jc w:val="both"/>
      </w:pPr>
      <w:r>
        <w:rPr>
          <w:rFonts w:ascii="Arial" w:eastAsia="Arial" w:hAnsi="Arial" w:cs="Arial"/>
          <w:i/>
          <w:color w:val="202020"/>
        </w:rPr>
        <w:t xml:space="preserve">En los supuestos a) y b) las solicitudes de ayuda se podrán resolver individualmente. </w:t>
      </w:r>
    </w:p>
    <w:p w:rsidR="00FF384B" w:rsidRDefault="003E3BA9">
      <w:pPr>
        <w:numPr>
          <w:ilvl w:val="0"/>
          <w:numId w:val="47"/>
        </w:numPr>
        <w:spacing w:after="143" w:line="248" w:lineRule="auto"/>
        <w:ind w:right="244" w:hanging="245"/>
        <w:jc w:val="both"/>
      </w:pPr>
      <w:r>
        <w:rPr>
          <w:rFonts w:ascii="Arial" w:eastAsia="Arial" w:hAnsi="Arial" w:cs="Arial"/>
          <w:i/>
          <w:color w:val="202020"/>
        </w:rPr>
        <w:t xml:space="preserve">En todos los supuestos del procedimiento simplificado de concurrencia competitiva, la convocatoria también podrá realizarse como convocatoria abierta. </w:t>
      </w:r>
    </w:p>
    <w:p w:rsidR="00FF384B" w:rsidRDefault="003E3BA9">
      <w:pPr>
        <w:spacing w:after="142" w:line="248" w:lineRule="auto"/>
        <w:ind w:left="278" w:right="244" w:hanging="10"/>
        <w:jc w:val="both"/>
      </w:pPr>
      <w:r>
        <w:rPr>
          <w:rFonts w:ascii="Arial" w:eastAsia="Arial" w:hAnsi="Arial" w:cs="Arial"/>
          <w:color w:val="202020"/>
        </w:rPr>
        <w:t>Artículo 2</w:t>
      </w:r>
      <w:r>
        <w:rPr>
          <w:rFonts w:ascii="Arial" w:eastAsia="Arial" w:hAnsi="Arial" w:cs="Arial"/>
          <w:color w:val="202020"/>
        </w:rPr>
        <w:t xml:space="preserve">5. Aspectos específicos del procedimiento simplificado. </w:t>
      </w:r>
    </w:p>
    <w:p w:rsidR="00FF384B" w:rsidRDefault="003E3BA9">
      <w:pPr>
        <w:spacing w:after="143" w:line="248" w:lineRule="auto"/>
        <w:ind w:left="278" w:right="244" w:hanging="10"/>
        <w:jc w:val="both"/>
      </w:pPr>
      <w:r>
        <w:rPr>
          <w:rFonts w:ascii="Arial" w:eastAsia="Arial" w:hAnsi="Arial" w:cs="Arial"/>
          <w:i/>
          <w:color w:val="202020"/>
        </w:rPr>
        <w:t xml:space="preserve">Son aspectos específicos a incluir en el citado procedimiento: </w:t>
      </w:r>
    </w:p>
    <w:p w:rsidR="00FF384B" w:rsidRDefault="003E3BA9">
      <w:pPr>
        <w:numPr>
          <w:ilvl w:val="1"/>
          <w:numId w:val="47"/>
        </w:numPr>
        <w:spacing w:after="92" w:line="248" w:lineRule="auto"/>
        <w:ind w:right="244" w:hanging="261"/>
        <w:jc w:val="both"/>
      </w:pPr>
      <w:r>
        <w:rPr>
          <w:rFonts w:ascii="Arial" w:eastAsia="Arial" w:hAnsi="Arial" w:cs="Arial"/>
          <w:i/>
          <w:color w:val="202020"/>
        </w:rPr>
        <w:t xml:space="preserve">La convocatoria, recogerá, que la concesión se efectúa por el procedimiento simplificado. Asimismo, se deberá indicar si se trata de una convocatoria abierta. </w:t>
      </w:r>
    </w:p>
    <w:p w:rsidR="00FF384B" w:rsidRDefault="003E3BA9">
      <w:pPr>
        <w:numPr>
          <w:ilvl w:val="1"/>
          <w:numId w:val="47"/>
        </w:numPr>
        <w:spacing w:after="92" w:line="248" w:lineRule="auto"/>
        <w:ind w:right="244" w:hanging="261"/>
        <w:jc w:val="both"/>
      </w:pPr>
      <w:r>
        <w:rPr>
          <w:rFonts w:ascii="Arial" w:eastAsia="Arial" w:hAnsi="Arial" w:cs="Arial"/>
          <w:i/>
          <w:color w:val="202020"/>
        </w:rPr>
        <w:t>Posibilidad de realizar pagos anticipados, y porcentajes del mismo, que podrá alcanzar el 100% d</w:t>
      </w:r>
      <w:r>
        <w:rPr>
          <w:rFonts w:ascii="Arial" w:eastAsia="Arial" w:hAnsi="Arial" w:cs="Arial"/>
          <w:i/>
          <w:color w:val="202020"/>
        </w:rPr>
        <w:t xml:space="preserve">e la subvención concedida </w:t>
      </w:r>
    </w:p>
    <w:p w:rsidR="00FF384B" w:rsidRDefault="003E3BA9">
      <w:pPr>
        <w:numPr>
          <w:ilvl w:val="1"/>
          <w:numId w:val="47"/>
        </w:numPr>
        <w:spacing w:after="92" w:line="248" w:lineRule="auto"/>
        <w:ind w:right="244" w:hanging="261"/>
        <w:jc w:val="both"/>
      </w:pPr>
      <w:r>
        <w:rPr>
          <w:rFonts w:ascii="Arial" w:eastAsia="Arial" w:hAnsi="Arial" w:cs="Arial"/>
          <w:i/>
          <w:color w:val="202020"/>
        </w:rPr>
        <w:t xml:space="preserve">Aceptación por los solicitantes, de la reformulación automática de la subvención, en función de la subvención concedida. </w:t>
      </w:r>
    </w:p>
    <w:p w:rsidR="00FF384B" w:rsidRDefault="003E3BA9">
      <w:pPr>
        <w:numPr>
          <w:ilvl w:val="1"/>
          <w:numId w:val="47"/>
        </w:numPr>
        <w:spacing w:after="92" w:line="248" w:lineRule="auto"/>
        <w:ind w:right="244" w:hanging="261"/>
        <w:jc w:val="both"/>
      </w:pPr>
      <w:r>
        <w:rPr>
          <w:rFonts w:ascii="Arial" w:eastAsia="Arial" w:hAnsi="Arial" w:cs="Arial"/>
          <w:i/>
          <w:color w:val="202020"/>
        </w:rPr>
        <w:t>La notificación, si así se recoge en las convocatorias, podrá efectuarse por publicación en la sede electró</w:t>
      </w:r>
      <w:r>
        <w:rPr>
          <w:rFonts w:ascii="Arial" w:eastAsia="Arial" w:hAnsi="Arial" w:cs="Arial"/>
          <w:i/>
          <w:color w:val="202020"/>
        </w:rPr>
        <w:t xml:space="preserve">nica o en el tablón municipal. </w:t>
      </w:r>
    </w:p>
    <w:p w:rsidR="00FF384B" w:rsidRDefault="003E3BA9">
      <w:pPr>
        <w:numPr>
          <w:ilvl w:val="1"/>
          <w:numId w:val="47"/>
        </w:numPr>
        <w:spacing w:after="143" w:line="248" w:lineRule="auto"/>
        <w:ind w:right="244" w:hanging="261"/>
        <w:jc w:val="both"/>
      </w:pPr>
      <w:r>
        <w:rPr>
          <w:rFonts w:ascii="Arial" w:eastAsia="Arial" w:hAnsi="Arial" w:cs="Arial"/>
          <w:i/>
          <w:color w:val="202020"/>
        </w:rPr>
        <w:t xml:space="preserve">La forma de acreditar el Trámite de audiencia, que se entenderá cumplido, si </w:t>
      </w:r>
    </w:p>
    <w:p w:rsidR="00FF384B" w:rsidRDefault="003E3BA9">
      <w:pPr>
        <w:spacing w:after="92" w:line="248" w:lineRule="auto"/>
        <w:ind w:left="1013" w:right="244" w:hanging="10"/>
        <w:jc w:val="both"/>
      </w:pPr>
      <w:r>
        <w:rPr>
          <w:rFonts w:ascii="Arial" w:eastAsia="Arial" w:hAnsi="Arial" w:cs="Arial"/>
          <w:i/>
          <w:color w:val="202020"/>
        </w:rPr>
        <w:t xml:space="preserve">en la propuesta de resolución se recoge junto con el importe de la subvención el importe a justificar. </w:t>
      </w:r>
    </w:p>
    <w:p w:rsidR="00FF384B" w:rsidRDefault="003E3BA9">
      <w:pPr>
        <w:numPr>
          <w:ilvl w:val="1"/>
          <w:numId w:val="47"/>
        </w:numPr>
        <w:spacing w:after="92" w:line="248" w:lineRule="auto"/>
        <w:ind w:right="244" w:hanging="261"/>
        <w:jc w:val="both"/>
      </w:pPr>
      <w:r>
        <w:rPr>
          <w:rFonts w:ascii="Arial" w:eastAsia="Arial" w:hAnsi="Arial" w:cs="Arial"/>
          <w:i/>
          <w:color w:val="202020"/>
        </w:rPr>
        <w:t>La resolución provisional, que tendrá cará</w:t>
      </w:r>
      <w:r>
        <w:rPr>
          <w:rFonts w:ascii="Arial" w:eastAsia="Arial" w:hAnsi="Arial" w:cs="Arial"/>
          <w:i/>
          <w:color w:val="202020"/>
        </w:rPr>
        <w:t xml:space="preserve">cter definitivo, en el caso de no presentar reclamaciones en el plazo de 10 días. </w:t>
      </w:r>
    </w:p>
    <w:p w:rsidR="00FF384B" w:rsidRDefault="003E3BA9">
      <w:pPr>
        <w:numPr>
          <w:ilvl w:val="1"/>
          <w:numId w:val="47"/>
        </w:numPr>
        <w:spacing w:after="93" w:line="248" w:lineRule="auto"/>
        <w:ind w:right="244" w:hanging="261"/>
        <w:jc w:val="both"/>
      </w:pPr>
      <w:r>
        <w:rPr>
          <w:rFonts w:ascii="Arial" w:eastAsia="Arial" w:hAnsi="Arial" w:cs="Arial"/>
          <w:i/>
          <w:color w:val="202020"/>
        </w:rPr>
        <w:t>En la resolución de adjudicación se indicará, junto con la subvención concedida, el porcentaje que ésta supone sobre el importe de la actividad, que tendrá carácter de refor</w:t>
      </w:r>
      <w:r>
        <w:rPr>
          <w:rFonts w:ascii="Arial" w:eastAsia="Arial" w:hAnsi="Arial" w:cs="Arial"/>
          <w:i/>
          <w:color w:val="202020"/>
        </w:rPr>
        <w:t xml:space="preserve">mulación. </w:t>
      </w:r>
    </w:p>
    <w:p w:rsidR="00FF384B" w:rsidRDefault="003E3BA9">
      <w:pPr>
        <w:numPr>
          <w:ilvl w:val="1"/>
          <w:numId w:val="47"/>
        </w:numPr>
        <w:spacing w:after="85" w:line="248" w:lineRule="auto"/>
        <w:ind w:right="244" w:hanging="261"/>
        <w:jc w:val="both"/>
      </w:pPr>
      <w:r>
        <w:rPr>
          <w:rFonts w:ascii="Arial" w:eastAsia="Arial" w:hAnsi="Arial" w:cs="Arial"/>
          <w:i/>
          <w:color w:val="202020"/>
        </w:rPr>
        <w:t xml:space="preserve">Aceptación de la subvención, que se producirá con carácter automático si el interesado no manifiesta oposición en su contra en el plazo de 10 días. i) La justificación se realizará mediante cuenta justificativa simplificada. </w:t>
      </w:r>
    </w:p>
    <w:p w:rsidR="00FF384B" w:rsidRDefault="003E3BA9">
      <w:pPr>
        <w:spacing w:after="79"/>
        <w:ind w:left="283"/>
      </w:pPr>
      <w:r>
        <w:rPr>
          <w:rFonts w:ascii="Arial" w:eastAsia="Arial" w:hAnsi="Arial" w:cs="Arial"/>
          <w:i/>
          <w:color w:val="202020"/>
        </w:rPr>
        <w:t xml:space="preserve"> </w:t>
      </w:r>
    </w:p>
    <w:p w:rsidR="00FF384B" w:rsidRDefault="003E3BA9">
      <w:pPr>
        <w:spacing w:after="13" w:line="247" w:lineRule="auto"/>
        <w:ind w:left="268" w:right="239"/>
        <w:jc w:val="both"/>
      </w:pPr>
      <w:r>
        <w:rPr>
          <w:rFonts w:ascii="Arial" w:eastAsia="Arial" w:hAnsi="Arial" w:cs="Arial"/>
          <w:b/>
          <w:i/>
        </w:rPr>
        <w:t xml:space="preserve">CAPÍTULO IV. Del régimen y procedimiento de concesión directa de las subvenciones.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Artículo 26. Subvenciones previstas nominativamente en el presupuesto general municipal. </w:t>
      </w:r>
    </w:p>
    <w:p w:rsidR="00FF384B" w:rsidRDefault="003E3BA9">
      <w:pPr>
        <w:spacing w:after="0"/>
        <w:ind w:left="283"/>
      </w:pPr>
      <w:r>
        <w:rPr>
          <w:rFonts w:ascii="Arial" w:eastAsia="Arial" w:hAnsi="Arial" w:cs="Arial"/>
          <w:b/>
          <w:i/>
        </w:rPr>
        <w:t xml:space="preserve"> </w:t>
      </w:r>
    </w:p>
    <w:p w:rsidR="00FF384B" w:rsidRDefault="003E3BA9">
      <w:pPr>
        <w:numPr>
          <w:ilvl w:val="0"/>
          <w:numId w:val="48"/>
        </w:numPr>
        <w:spacing w:after="4" w:line="247" w:lineRule="auto"/>
        <w:ind w:right="244" w:hanging="10"/>
        <w:jc w:val="both"/>
      </w:pPr>
      <w:r>
        <w:rPr>
          <w:noProof/>
        </w:rPr>
        <mc:AlternateContent>
          <mc:Choice Requires="wpg">
            <w:drawing>
              <wp:anchor distT="0" distB="0" distL="114300" distR="114300" simplePos="0" relativeHeight="2517319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947" name="Group 4469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434" name="Picture 18434"/>
                          <pic:cNvPicPr/>
                        </pic:nvPicPr>
                        <pic:blipFill>
                          <a:blip r:embed="rId62"/>
                          <a:stretch>
                            <a:fillRect/>
                          </a:stretch>
                        </pic:blipFill>
                        <pic:spPr>
                          <a:xfrm rot="-5399999">
                            <a:off x="-1720849" y="1720849"/>
                            <a:ext cx="3797300" cy="355601"/>
                          </a:xfrm>
                          <a:prstGeom prst="rect">
                            <a:avLst/>
                          </a:prstGeom>
                        </pic:spPr>
                      </pic:pic>
                      <wps:wsp>
                        <wps:cNvPr id="18435" name="Rectangle 1843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18436" name="Rectangle 1843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947" style="width:41.2715pt;height:299pt;position:absolute;mso-position-horizontal-relative:page;mso-position-horizontal:absolute;margin-left:653.71pt;mso-position-vertical-relative:page;margin-top:512.92pt;" coordsize="5241,37973">
                <v:shape id="Picture 18434" style="position:absolute;width:37973;height:3556;left:-17208;top:17208;rotation:-89;" filled="f">
                  <v:imagedata r:id="rId63"/>
                </v:shape>
                <v:rect id="Rectangle 1843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43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353 </w:t>
                        </w:r>
                      </w:p>
                    </w:txbxContent>
                  </v:textbox>
                </v:rect>
                <w10:wrap type="square"/>
              </v:group>
            </w:pict>
          </mc:Fallback>
        </mc:AlternateContent>
      </w:r>
      <w:r>
        <w:rPr>
          <w:rFonts w:ascii="Arial" w:eastAsia="Arial" w:hAnsi="Arial" w:cs="Arial"/>
          <w:i/>
        </w:rPr>
        <w:t>La concesión de las subvenciones previstas nominativamente en el presupuesto general municipal, se regirán por las bases de ejecución del</w:t>
      </w:r>
      <w:r>
        <w:rPr>
          <w:rFonts w:ascii="Arial" w:eastAsia="Arial" w:hAnsi="Arial" w:cs="Arial"/>
          <w:i/>
        </w:rPr>
        <w:t xml:space="preserve"> presupuesto, por el presente capítulo, por las disposiciones de esta Ordenanza y en la normativa de subvenciones vigentes que les son aplicables en cuanto a requisitos de los beneficiarios, obligaciones de los mismos, pagos, gastos subvencionables, justif</w:t>
      </w:r>
      <w:r>
        <w:rPr>
          <w:rFonts w:ascii="Arial" w:eastAsia="Arial" w:hAnsi="Arial" w:cs="Arial"/>
          <w:i/>
        </w:rPr>
        <w:t xml:space="preserve">icación de la subvención, incumplimiento y formas de reintegro, control financiero, sanciones, etc., y por la resolución o el convenio a </w:t>
      </w:r>
    </w:p>
    <w:p w:rsidR="00FF384B" w:rsidRDefault="003E3BA9">
      <w:pPr>
        <w:spacing w:after="4" w:line="247" w:lineRule="auto"/>
        <w:ind w:left="278" w:right="244" w:hanging="10"/>
        <w:jc w:val="both"/>
      </w:pPr>
      <w:r>
        <w:rPr>
          <w:rFonts w:ascii="Arial" w:eastAsia="Arial" w:hAnsi="Arial" w:cs="Arial"/>
          <w:i/>
        </w:rPr>
        <w:t>través del cual se canalizan, salvo excepciones justificadas, que establecerán las condiciones y los compromisos espec</w:t>
      </w:r>
      <w:r>
        <w:rPr>
          <w:rFonts w:ascii="Arial" w:eastAsia="Arial" w:hAnsi="Arial" w:cs="Arial"/>
          <w:i/>
        </w:rPr>
        <w:t xml:space="preserve">íficos. </w:t>
      </w:r>
    </w:p>
    <w:p w:rsidR="00FF384B" w:rsidRDefault="003E3BA9">
      <w:pPr>
        <w:spacing w:after="0"/>
        <w:ind w:left="283"/>
      </w:pPr>
      <w:r>
        <w:rPr>
          <w:rFonts w:ascii="Arial" w:eastAsia="Arial" w:hAnsi="Arial" w:cs="Arial"/>
          <w:i/>
        </w:rPr>
        <w:t xml:space="preserve"> </w:t>
      </w:r>
    </w:p>
    <w:p w:rsidR="00FF384B" w:rsidRDefault="003E3BA9">
      <w:pPr>
        <w:numPr>
          <w:ilvl w:val="0"/>
          <w:numId w:val="48"/>
        </w:numPr>
        <w:spacing w:after="352" w:line="247" w:lineRule="auto"/>
        <w:ind w:right="244" w:hanging="10"/>
        <w:jc w:val="both"/>
      </w:pPr>
      <w:r>
        <w:rPr>
          <w:rFonts w:ascii="Arial" w:eastAsia="Arial" w:hAnsi="Arial" w:cs="Arial"/>
          <w:i/>
        </w:rPr>
        <w:t xml:space="preserve">La resolución, o en su caso el convenio, deberá contener necesariamente los elementos siguientes: </w:t>
      </w:r>
    </w:p>
    <w:p w:rsidR="00FF384B" w:rsidRDefault="003E3BA9">
      <w:pPr>
        <w:numPr>
          <w:ilvl w:val="1"/>
          <w:numId w:val="48"/>
        </w:numPr>
        <w:spacing w:after="169" w:line="247" w:lineRule="auto"/>
        <w:ind w:right="244" w:hanging="273"/>
        <w:jc w:val="both"/>
      </w:pPr>
      <w:r>
        <w:rPr>
          <w:rFonts w:ascii="Arial" w:eastAsia="Arial" w:hAnsi="Arial" w:cs="Arial"/>
          <w:i/>
        </w:rPr>
        <w:t xml:space="preserve">Determinación del objeto de la subvención. </w:t>
      </w:r>
    </w:p>
    <w:p w:rsidR="00FF384B" w:rsidRDefault="003E3BA9">
      <w:pPr>
        <w:numPr>
          <w:ilvl w:val="1"/>
          <w:numId w:val="48"/>
        </w:numPr>
        <w:spacing w:after="171" w:line="247" w:lineRule="auto"/>
        <w:ind w:right="244" w:hanging="273"/>
        <w:jc w:val="both"/>
      </w:pPr>
      <w:r>
        <w:rPr>
          <w:rFonts w:ascii="Arial" w:eastAsia="Arial" w:hAnsi="Arial" w:cs="Arial"/>
          <w:i/>
        </w:rPr>
        <w:t xml:space="preserve">Cuantía de la subvención. </w:t>
      </w:r>
    </w:p>
    <w:p w:rsidR="00FF384B" w:rsidRDefault="003E3BA9">
      <w:pPr>
        <w:numPr>
          <w:ilvl w:val="1"/>
          <w:numId w:val="48"/>
        </w:numPr>
        <w:spacing w:after="169" w:line="247" w:lineRule="auto"/>
        <w:ind w:right="244" w:hanging="273"/>
        <w:jc w:val="both"/>
      </w:pPr>
      <w:r>
        <w:rPr>
          <w:rFonts w:ascii="Arial" w:eastAsia="Arial" w:hAnsi="Arial" w:cs="Arial"/>
          <w:i/>
        </w:rPr>
        <w:t xml:space="preserve">Condiciones y compromisos. </w:t>
      </w:r>
    </w:p>
    <w:p w:rsidR="00FF384B" w:rsidRDefault="003E3BA9">
      <w:pPr>
        <w:numPr>
          <w:ilvl w:val="1"/>
          <w:numId w:val="48"/>
        </w:numPr>
        <w:spacing w:after="171" w:line="247" w:lineRule="auto"/>
        <w:ind w:right="244" w:hanging="273"/>
        <w:jc w:val="both"/>
      </w:pPr>
      <w:r>
        <w:rPr>
          <w:rFonts w:ascii="Arial" w:eastAsia="Arial" w:hAnsi="Arial" w:cs="Arial"/>
          <w:i/>
        </w:rPr>
        <w:t xml:space="preserve">Crédito presupuestario. </w:t>
      </w:r>
    </w:p>
    <w:p w:rsidR="00FF384B" w:rsidRDefault="003E3BA9">
      <w:pPr>
        <w:numPr>
          <w:ilvl w:val="1"/>
          <w:numId w:val="48"/>
        </w:numPr>
        <w:spacing w:after="169" w:line="247" w:lineRule="auto"/>
        <w:ind w:right="244" w:hanging="273"/>
        <w:jc w:val="both"/>
      </w:pPr>
      <w:r>
        <w:rPr>
          <w:rFonts w:ascii="Arial" w:eastAsia="Arial" w:hAnsi="Arial" w:cs="Arial"/>
          <w:i/>
        </w:rPr>
        <w:t xml:space="preserve">Compatibilidad o incompatibilidad con otras subvenciones, ayudas e ingresos. </w:t>
      </w:r>
    </w:p>
    <w:p w:rsidR="00FF384B" w:rsidRDefault="003E3BA9">
      <w:pPr>
        <w:numPr>
          <w:ilvl w:val="1"/>
          <w:numId w:val="48"/>
        </w:numPr>
        <w:spacing w:after="171" w:line="247" w:lineRule="auto"/>
        <w:ind w:right="244" w:hanging="273"/>
        <w:jc w:val="both"/>
      </w:pPr>
      <w:r>
        <w:rPr>
          <w:rFonts w:ascii="Arial" w:eastAsia="Arial" w:hAnsi="Arial" w:cs="Arial"/>
          <w:i/>
        </w:rPr>
        <w:t xml:space="preserve">Plazos y modos de pago de la subvención así como las medidas de garantía. </w:t>
      </w:r>
    </w:p>
    <w:p w:rsidR="00FF384B" w:rsidRDefault="003E3BA9">
      <w:pPr>
        <w:numPr>
          <w:ilvl w:val="1"/>
          <w:numId w:val="48"/>
        </w:numPr>
        <w:spacing w:after="4" w:line="247" w:lineRule="auto"/>
        <w:ind w:right="244" w:hanging="273"/>
        <w:jc w:val="both"/>
      </w:pPr>
      <w:r>
        <w:rPr>
          <w:rFonts w:ascii="Arial" w:eastAsia="Arial" w:hAnsi="Arial" w:cs="Arial"/>
          <w:i/>
        </w:rPr>
        <w:t xml:space="preserve">Plazos y forma de justificación por parte del beneficiario del cumplimiento de la </w:t>
      </w:r>
    </w:p>
    <w:p w:rsidR="00FF384B" w:rsidRDefault="003E3BA9">
      <w:pPr>
        <w:spacing w:after="175" w:line="247" w:lineRule="auto"/>
        <w:ind w:left="278" w:right="244" w:hanging="10"/>
        <w:jc w:val="both"/>
      </w:pPr>
      <w:r>
        <w:rPr>
          <w:rFonts w:ascii="Arial" w:eastAsia="Arial" w:hAnsi="Arial" w:cs="Arial"/>
          <w:i/>
        </w:rPr>
        <w:t xml:space="preserve">finalidad para la que se concedió la subvención y de la aplicación de los fondos percibidos. </w:t>
      </w:r>
    </w:p>
    <w:p w:rsidR="00FF384B" w:rsidRDefault="003E3BA9">
      <w:pPr>
        <w:numPr>
          <w:ilvl w:val="0"/>
          <w:numId w:val="48"/>
        </w:numPr>
        <w:spacing w:after="4" w:line="247" w:lineRule="auto"/>
        <w:ind w:right="244" w:hanging="10"/>
        <w:jc w:val="both"/>
      </w:pPr>
      <w:r>
        <w:rPr>
          <w:rFonts w:ascii="Arial" w:eastAsia="Arial" w:hAnsi="Arial" w:cs="Arial"/>
          <w:i/>
        </w:rPr>
        <w:t>El procedimiento para su concesión se inicia de oficio por el órgano gestor, o a instancia del interesado, siendo requisito imprescindible la existencia de consig</w:t>
      </w:r>
      <w:r>
        <w:rPr>
          <w:rFonts w:ascii="Arial" w:eastAsia="Arial" w:hAnsi="Arial" w:cs="Arial"/>
          <w:i/>
        </w:rPr>
        <w:t xml:space="preserve">nación específica y crédito suficiente en el presupuesto general municipal a favor de la persona pública o privada a la que va destinada la subvención, y terminará con la resolución de concesión, y en su caso, con la suscripción de un convenio. </w:t>
      </w:r>
    </w:p>
    <w:p w:rsidR="00FF384B" w:rsidRDefault="003E3BA9">
      <w:pPr>
        <w:spacing w:after="0"/>
        <w:ind w:left="283"/>
      </w:pPr>
      <w:r>
        <w:rPr>
          <w:rFonts w:ascii="Arial" w:eastAsia="Arial" w:hAnsi="Arial" w:cs="Arial"/>
          <w:i/>
        </w:rPr>
        <w:t xml:space="preserve"> </w:t>
      </w:r>
    </w:p>
    <w:p w:rsidR="00FF384B" w:rsidRDefault="003E3BA9">
      <w:pPr>
        <w:numPr>
          <w:ilvl w:val="0"/>
          <w:numId w:val="48"/>
        </w:numPr>
        <w:spacing w:after="4" w:line="247" w:lineRule="auto"/>
        <w:ind w:right="244" w:hanging="10"/>
        <w:jc w:val="both"/>
      </w:pPr>
      <w:r>
        <w:rPr>
          <w:rFonts w:ascii="Arial" w:eastAsia="Arial" w:hAnsi="Arial" w:cs="Arial"/>
          <w:i/>
        </w:rPr>
        <w:t xml:space="preserve">El acto </w:t>
      </w:r>
      <w:r>
        <w:rPr>
          <w:rFonts w:ascii="Arial" w:eastAsia="Arial" w:hAnsi="Arial" w:cs="Arial"/>
          <w:i/>
        </w:rPr>
        <w:t xml:space="preserve">de concesión o el convenio tendrán el carácter de bases reguladoras de la concesión.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27. Subvenciones concedidas de forma directa y excepcional, en que se acrediten razones de interés público, social, económico o humanitario. </w:t>
      </w:r>
    </w:p>
    <w:p w:rsidR="00FF384B" w:rsidRDefault="003E3BA9">
      <w:pPr>
        <w:spacing w:after="0"/>
        <w:ind w:left="283"/>
      </w:pPr>
      <w:r>
        <w:rPr>
          <w:rFonts w:ascii="Arial" w:eastAsia="Arial" w:hAnsi="Arial" w:cs="Arial"/>
          <w:b/>
          <w:i/>
        </w:rPr>
        <w:t xml:space="preserve"> </w:t>
      </w:r>
    </w:p>
    <w:p w:rsidR="00FF384B" w:rsidRDefault="003E3BA9">
      <w:pPr>
        <w:numPr>
          <w:ilvl w:val="0"/>
          <w:numId w:val="49"/>
        </w:numPr>
        <w:spacing w:after="4" w:line="247" w:lineRule="auto"/>
        <w:ind w:right="244" w:hanging="10"/>
        <w:jc w:val="both"/>
      </w:pPr>
      <w:r>
        <w:rPr>
          <w:rFonts w:ascii="Arial" w:eastAsia="Arial" w:hAnsi="Arial" w:cs="Arial"/>
          <w:i/>
        </w:rPr>
        <w:t xml:space="preserve">Podrán concederse de forma directa, con carácter excepcional, aquellas subvenciones en que se acrediten razones de interés público, social, económico o humanitario. </w:t>
      </w:r>
    </w:p>
    <w:p w:rsidR="00FF384B" w:rsidRDefault="003E3BA9">
      <w:pPr>
        <w:spacing w:after="0"/>
        <w:ind w:left="283"/>
      </w:pPr>
      <w:r>
        <w:rPr>
          <w:rFonts w:ascii="Arial" w:eastAsia="Arial" w:hAnsi="Arial" w:cs="Arial"/>
          <w:i/>
        </w:rPr>
        <w:t xml:space="preserve"> </w:t>
      </w:r>
    </w:p>
    <w:p w:rsidR="00FF384B" w:rsidRDefault="003E3BA9">
      <w:pPr>
        <w:numPr>
          <w:ilvl w:val="0"/>
          <w:numId w:val="49"/>
        </w:numPr>
        <w:spacing w:after="4" w:line="247" w:lineRule="auto"/>
        <w:ind w:right="244" w:hanging="10"/>
        <w:jc w:val="both"/>
      </w:pPr>
      <w:r>
        <w:rPr>
          <w:rFonts w:ascii="Arial" w:eastAsia="Arial" w:hAnsi="Arial" w:cs="Arial"/>
          <w:i/>
        </w:rPr>
        <w:t>Estas subvenciones se regirán por el presente capítulo, por las bases de ejecución del p</w:t>
      </w:r>
      <w:r>
        <w:rPr>
          <w:rFonts w:ascii="Arial" w:eastAsia="Arial" w:hAnsi="Arial" w:cs="Arial"/>
          <w:i/>
        </w:rPr>
        <w:t xml:space="preserve">resupuesto general municipal, de acuerdo con la normativa de Subvenciones vigente. </w:t>
      </w:r>
    </w:p>
    <w:p w:rsidR="00FF384B" w:rsidRDefault="003E3BA9">
      <w:pPr>
        <w:spacing w:after="0"/>
        <w:ind w:left="283"/>
      </w:pPr>
      <w:r>
        <w:rPr>
          <w:rFonts w:ascii="Arial" w:eastAsia="Arial" w:hAnsi="Arial" w:cs="Arial"/>
          <w:i/>
        </w:rPr>
        <w:t xml:space="preserve"> </w:t>
      </w:r>
    </w:p>
    <w:p w:rsidR="00FF384B" w:rsidRDefault="003E3BA9">
      <w:pPr>
        <w:numPr>
          <w:ilvl w:val="0"/>
          <w:numId w:val="49"/>
        </w:numPr>
        <w:spacing w:after="4" w:line="247" w:lineRule="auto"/>
        <w:ind w:right="244" w:hanging="10"/>
        <w:jc w:val="both"/>
      </w:pPr>
      <w:r>
        <w:rPr>
          <w:rFonts w:ascii="Arial" w:eastAsia="Arial" w:hAnsi="Arial" w:cs="Arial"/>
          <w:i/>
        </w:rPr>
        <w:t>El procedimiento para la concesión de las subvenciones de forma directa se iniciará de oficio o a solicitud del interesado y se instrumentará mediante resolución o median</w:t>
      </w:r>
      <w:r>
        <w:rPr>
          <w:rFonts w:ascii="Arial" w:eastAsia="Arial" w:hAnsi="Arial" w:cs="Arial"/>
          <w:i/>
        </w:rPr>
        <w:t xml:space="preserve">te convenio. </w:t>
      </w:r>
    </w:p>
    <w:p w:rsidR="00FF384B" w:rsidRDefault="003E3BA9">
      <w:pPr>
        <w:spacing w:after="0"/>
        <w:ind w:left="283"/>
      </w:pPr>
      <w:r>
        <w:rPr>
          <w:rFonts w:ascii="Arial" w:eastAsia="Arial" w:hAnsi="Arial" w:cs="Arial"/>
          <w:i/>
        </w:rPr>
        <w:t xml:space="preserve"> </w:t>
      </w:r>
    </w:p>
    <w:p w:rsidR="00FF384B" w:rsidRDefault="003E3BA9">
      <w:pPr>
        <w:numPr>
          <w:ilvl w:val="0"/>
          <w:numId w:val="49"/>
        </w:numPr>
        <w:spacing w:after="4" w:line="247" w:lineRule="auto"/>
        <w:ind w:right="244" w:hanging="10"/>
        <w:jc w:val="both"/>
      </w:pPr>
      <w:r>
        <w:rPr>
          <w:noProof/>
        </w:rPr>
        <mc:AlternateContent>
          <mc:Choice Requires="wpg">
            <w:drawing>
              <wp:anchor distT="0" distB="0" distL="114300" distR="114300" simplePos="0" relativeHeight="2517329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7476" name="Group 44747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537" name="Picture 18537"/>
                          <pic:cNvPicPr/>
                        </pic:nvPicPr>
                        <pic:blipFill>
                          <a:blip r:embed="rId62"/>
                          <a:stretch>
                            <a:fillRect/>
                          </a:stretch>
                        </pic:blipFill>
                        <pic:spPr>
                          <a:xfrm rot="-5399999">
                            <a:off x="-1720849" y="1720849"/>
                            <a:ext cx="3797300" cy="355601"/>
                          </a:xfrm>
                          <a:prstGeom prst="rect">
                            <a:avLst/>
                          </a:prstGeom>
                        </pic:spPr>
                      </pic:pic>
                      <wps:wsp>
                        <wps:cNvPr id="18538" name="Rectangle 1853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539" name="Rectangle 1853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7476" style="width:41.2715pt;height:299pt;position:absolute;mso-position-horizontal-relative:page;mso-position-horizontal:absolute;margin-left:653.71pt;mso-position-vertical-relative:page;margin-top:512.92pt;" coordsize="5241,37973">
                <v:shape id="Picture 18537" style="position:absolute;width:37973;height:3556;left:-17208;top:17208;rotation:-89;" filled="f">
                  <v:imagedata r:id="rId63"/>
                </v:shape>
                <v:rect id="Rectangle 1853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53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353 </w:t>
                        </w:r>
                      </w:p>
                    </w:txbxContent>
                  </v:textbox>
                </v:rect>
                <w10:wrap type="square"/>
              </v:group>
            </w:pict>
          </mc:Fallback>
        </mc:AlternateContent>
      </w:r>
      <w:r>
        <w:rPr>
          <w:rFonts w:ascii="Arial" w:eastAsia="Arial" w:hAnsi="Arial" w:cs="Arial"/>
          <w:i/>
        </w:rPr>
        <w:t>El órgano municipal responsable, en función</w:t>
      </w:r>
      <w:r>
        <w:rPr>
          <w:rFonts w:ascii="Arial" w:eastAsia="Arial" w:hAnsi="Arial" w:cs="Arial"/>
          <w:i/>
        </w:rPr>
        <w:t xml:space="preserve"> de la materia, una vez recabado el documento contable de retención de gasto, con el límite del importe consignado en el presupuesto, y previo el informe preceptivo de la Intervención municipal, someterá la propuesta de la concesión de las subvenciones al </w:t>
      </w:r>
      <w:r>
        <w:rPr>
          <w:rFonts w:ascii="Arial" w:eastAsia="Arial" w:hAnsi="Arial" w:cs="Arial"/>
          <w:i/>
        </w:rPr>
        <w:t xml:space="preserve">órgano competente para su aprobación. Dado el carácter excepcional del procedimiento la resolución deberá ser aprobada por el Ayuntamiento Pleno de Candelaria. </w:t>
      </w:r>
    </w:p>
    <w:p w:rsidR="00FF384B" w:rsidRDefault="003E3BA9">
      <w:pPr>
        <w:spacing w:after="158"/>
        <w:ind w:left="283"/>
      </w:pPr>
      <w:r>
        <w:rPr>
          <w:rFonts w:ascii="Arial" w:eastAsia="Arial" w:hAnsi="Arial" w:cs="Arial"/>
          <w:i/>
        </w:rPr>
        <w:t xml:space="preserve"> </w:t>
      </w:r>
    </w:p>
    <w:p w:rsidR="00FF384B" w:rsidRDefault="003E3BA9">
      <w:pPr>
        <w:numPr>
          <w:ilvl w:val="0"/>
          <w:numId w:val="49"/>
        </w:numPr>
        <w:spacing w:after="158" w:line="247" w:lineRule="auto"/>
        <w:ind w:right="244" w:hanging="10"/>
        <w:jc w:val="both"/>
      </w:pPr>
      <w:r>
        <w:rPr>
          <w:rFonts w:ascii="Arial" w:eastAsia="Arial" w:hAnsi="Arial" w:cs="Arial"/>
          <w:i/>
        </w:rPr>
        <w:t>En el expediente se incluirán los siguientes documentos elaborados por el órgano competente p</w:t>
      </w:r>
      <w:r>
        <w:rPr>
          <w:rFonts w:ascii="Arial" w:eastAsia="Arial" w:hAnsi="Arial" w:cs="Arial"/>
          <w:i/>
        </w:rPr>
        <w:t>ara la gestión de las subvenciones:</w:t>
      </w:r>
      <w:r>
        <w:rPr>
          <w:rFonts w:ascii="Times New Roman" w:eastAsia="Times New Roman" w:hAnsi="Times New Roman" w:cs="Times New Roman"/>
          <w:sz w:val="24"/>
        </w:rPr>
        <w:t xml:space="preserve"> </w:t>
      </w:r>
    </w:p>
    <w:p w:rsidR="00FF384B" w:rsidRDefault="003E3BA9">
      <w:pPr>
        <w:numPr>
          <w:ilvl w:val="1"/>
          <w:numId w:val="49"/>
        </w:numPr>
        <w:spacing w:after="4" w:line="247" w:lineRule="auto"/>
        <w:ind w:right="244" w:firstLine="360"/>
        <w:jc w:val="both"/>
      </w:pPr>
      <w:r>
        <w:rPr>
          <w:rFonts w:ascii="Arial" w:eastAsia="Arial" w:hAnsi="Arial" w:cs="Arial"/>
          <w:i/>
        </w:rPr>
        <w:t xml:space="preserve">Una memoria justificativa con el siguiente contenido mínimo: </w:t>
      </w:r>
    </w:p>
    <w:p w:rsidR="00FF384B" w:rsidRDefault="003E3BA9">
      <w:pPr>
        <w:spacing w:after="4" w:line="247" w:lineRule="auto"/>
        <w:ind w:left="653" w:right="244" w:hanging="10"/>
        <w:jc w:val="both"/>
      </w:pPr>
      <w:r>
        <w:rPr>
          <w:rFonts w:ascii="Arial" w:eastAsia="Arial" w:hAnsi="Arial" w:cs="Arial"/>
          <w:i/>
        </w:rPr>
        <w:t xml:space="preserve">Antecedentes. </w:t>
      </w:r>
    </w:p>
    <w:p w:rsidR="00FF384B" w:rsidRDefault="003E3BA9">
      <w:pPr>
        <w:spacing w:after="4" w:line="247" w:lineRule="auto"/>
        <w:ind w:left="653" w:right="244" w:hanging="10"/>
        <w:jc w:val="both"/>
      </w:pPr>
      <w:r>
        <w:rPr>
          <w:rFonts w:ascii="Arial" w:eastAsia="Arial" w:hAnsi="Arial" w:cs="Arial"/>
          <w:i/>
        </w:rPr>
        <w:t xml:space="preserve">Objetivos. </w:t>
      </w:r>
    </w:p>
    <w:p w:rsidR="00FF384B" w:rsidRDefault="003E3BA9">
      <w:pPr>
        <w:spacing w:after="4" w:line="247" w:lineRule="auto"/>
        <w:ind w:left="653" w:right="244" w:hanging="10"/>
        <w:jc w:val="both"/>
      </w:pPr>
      <w:r>
        <w:rPr>
          <w:rFonts w:ascii="Arial" w:eastAsia="Arial" w:hAnsi="Arial" w:cs="Arial"/>
          <w:i/>
        </w:rPr>
        <w:t xml:space="preserve">Compromisos que se adquieren. </w:t>
      </w:r>
    </w:p>
    <w:p w:rsidR="00FF384B" w:rsidRDefault="003E3BA9">
      <w:pPr>
        <w:spacing w:after="4" w:line="247" w:lineRule="auto"/>
        <w:ind w:left="653" w:right="244" w:hanging="10"/>
        <w:jc w:val="both"/>
      </w:pPr>
      <w:r>
        <w:rPr>
          <w:rFonts w:ascii="Arial" w:eastAsia="Arial" w:hAnsi="Arial" w:cs="Arial"/>
          <w:i/>
        </w:rPr>
        <w:t xml:space="preserve">Razones que motivan la concesión de la subvención. </w:t>
      </w:r>
    </w:p>
    <w:p w:rsidR="00FF384B" w:rsidRDefault="003E3BA9">
      <w:pPr>
        <w:spacing w:after="4" w:line="247" w:lineRule="auto"/>
        <w:ind w:left="268" w:right="244" w:firstLine="360"/>
        <w:jc w:val="both"/>
      </w:pPr>
      <w:r>
        <w:rPr>
          <w:rFonts w:ascii="Arial" w:eastAsia="Arial" w:hAnsi="Arial" w:cs="Arial"/>
          <w:i/>
        </w:rPr>
        <w:t xml:space="preserve">Justificación detallada de las razones que acreditan el interés público, social, económico o humanitario. </w:t>
      </w:r>
    </w:p>
    <w:p w:rsidR="00FF384B" w:rsidRDefault="003E3BA9">
      <w:pPr>
        <w:spacing w:after="0"/>
        <w:ind w:left="643"/>
      </w:pPr>
      <w:r>
        <w:rPr>
          <w:rFonts w:ascii="Arial" w:eastAsia="Arial" w:hAnsi="Arial" w:cs="Arial"/>
          <w:i/>
        </w:rPr>
        <w:t xml:space="preserve"> </w:t>
      </w:r>
    </w:p>
    <w:p w:rsidR="00FF384B" w:rsidRDefault="003E3BA9">
      <w:pPr>
        <w:numPr>
          <w:ilvl w:val="1"/>
          <w:numId w:val="49"/>
        </w:numPr>
        <w:spacing w:after="4" w:line="247" w:lineRule="auto"/>
        <w:ind w:right="244" w:firstLine="360"/>
        <w:jc w:val="both"/>
      </w:pPr>
      <w:r>
        <w:rPr>
          <w:rFonts w:ascii="Arial" w:eastAsia="Arial" w:hAnsi="Arial" w:cs="Arial"/>
          <w:i/>
        </w:rPr>
        <w:t>Una memoria económica en la que se detallen los efectos económicos y su forma de financiación, indicando el coste total de la actividad a subvencio</w:t>
      </w:r>
      <w:r>
        <w:rPr>
          <w:rFonts w:ascii="Arial" w:eastAsia="Arial" w:hAnsi="Arial" w:cs="Arial"/>
          <w:i/>
        </w:rPr>
        <w:t xml:space="preserve">nar, el importe de la subvención y aplicación presupuestaria a la que se imputa el gasto, así como, en su caso, el carácter plurianual y distribución temporal del mismo. </w:t>
      </w:r>
    </w:p>
    <w:p w:rsidR="00FF384B" w:rsidRDefault="003E3BA9">
      <w:pPr>
        <w:spacing w:after="0"/>
        <w:ind w:left="643"/>
      </w:pPr>
      <w:r>
        <w:rPr>
          <w:rFonts w:ascii="Arial" w:eastAsia="Arial" w:hAnsi="Arial" w:cs="Arial"/>
          <w:i/>
        </w:rPr>
        <w:t xml:space="preserve"> </w:t>
      </w:r>
    </w:p>
    <w:p w:rsidR="00FF384B" w:rsidRDefault="003E3BA9">
      <w:pPr>
        <w:numPr>
          <w:ilvl w:val="0"/>
          <w:numId w:val="49"/>
        </w:numPr>
        <w:spacing w:after="4" w:line="247" w:lineRule="auto"/>
        <w:ind w:right="244" w:hanging="10"/>
        <w:jc w:val="both"/>
      </w:pPr>
      <w:r>
        <w:rPr>
          <w:rFonts w:ascii="Arial" w:eastAsia="Arial" w:hAnsi="Arial" w:cs="Arial"/>
          <w:i/>
        </w:rPr>
        <w:t>La resolución o el convenio inicial, deberán contener, en todo caso, los datos requ</w:t>
      </w:r>
      <w:r>
        <w:rPr>
          <w:rFonts w:ascii="Arial" w:eastAsia="Arial" w:hAnsi="Arial" w:cs="Arial"/>
          <w:i/>
        </w:rPr>
        <w:t xml:space="preserve">eridos en el artículo citado anteriormente. </w:t>
      </w:r>
    </w:p>
    <w:p w:rsidR="00FF384B" w:rsidRDefault="003E3BA9">
      <w:pPr>
        <w:spacing w:after="0"/>
        <w:ind w:left="283"/>
      </w:pPr>
      <w:r>
        <w:rPr>
          <w:rFonts w:ascii="Arial" w:eastAsia="Arial" w:hAnsi="Arial" w:cs="Arial"/>
          <w:i/>
        </w:rPr>
        <w:t xml:space="preserve"> </w:t>
      </w:r>
    </w:p>
    <w:p w:rsidR="00FF384B" w:rsidRDefault="003E3BA9">
      <w:pPr>
        <w:spacing w:after="104" w:line="247" w:lineRule="auto"/>
        <w:ind w:left="278" w:right="244" w:hanging="10"/>
        <w:jc w:val="both"/>
      </w:pPr>
      <w:r>
        <w:rPr>
          <w:rFonts w:ascii="Arial" w:eastAsia="Arial" w:hAnsi="Arial" w:cs="Arial"/>
          <w:i/>
        </w:rPr>
        <w:t xml:space="preserve"> No obstante, las ayudas de emergencia social, se regirá por el actual Protocolo para la Concesión de Prestaciones Económicas de Servicios Sociales del Ilustre Ayuntamiento de Candelaria. </w:t>
      </w:r>
    </w:p>
    <w:p w:rsidR="00FF384B" w:rsidRDefault="003E3BA9">
      <w:pPr>
        <w:spacing w:after="71" w:line="247" w:lineRule="auto"/>
        <w:ind w:left="268" w:right="239"/>
        <w:jc w:val="both"/>
      </w:pPr>
      <w:r>
        <w:rPr>
          <w:rFonts w:ascii="Arial" w:eastAsia="Arial" w:hAnsi="Arial" w:cs="Arial"/>
          <w:b/>
          <w:i/>
        </w:rPr>
        <w:t>Artículo 28. Informa</w:t>
      </w:r>
      <w:r>
        <w:rPr>
          <w:rFonts w:ascii="Arial" w:eastAsia="Arial" w:hAnsi="Arial" w:cs="Arial"/>
          <w:b/>
          <w:i/>
        </w:rPr>
        <w:t>ción de las subvenciones concedidas de forma directa</w:t>
      </w:r>
      <w:r>
        <w:rPr>
          <w:rFonts w:ascii="Times New Roman" w:eastAsia="Times New Roman" w:hAnsi="Times New Roman" w:cs="Times New Roman"/>
          <w:sz w:val="24"/>
        </w:rPr>
        <w:t xml:space="preserve"> </w:t>
      </w:r>
    </w:p>
    <w:p w:rsidR="00FF384B" w:rsidRDefault="003E3BA9">
      <w:pPr>
        <w:numPr>
          <w:ilvl w:val="0"/>
          <w:numId w:val="50"/>
        </w:numPr>
        <w:spacing w:after="4" w:line="247" w:lineRule="auto"/>
        <w:ind w:right="244" w:hanging="10"/>
        <w:jc w:val="both"/>
      </w:pPr>
      <w:r>
        <w:rPr>
          <w:rFonts w:ascii="Arial" w:eastAsia="Arial" w:hAnsi="Arial" w:cs="Arial"/>
          <w:i/>
        </w:rPr>
        <w:t>Las Concejalías delegadas de la actividad municipal podrán remitir información, en su caso, sobre las subvenciones concedidas de forma directa con carácter semestral elaborando un informe que determine, como mínimo, las subvenciones concedidas, objeto, ben</w:t>
      </w:r>
      <w:r>
        <w:rPr>
          <w:rFonts w:ascii="Arial" w:eastAsia="Arial" w:hAnsi="Arial" w:cs="Arial"/>
          <w:i/>
        </w:rPr>
        <w:t xml:space="preserve">eficiario y cuantía. </w:t>
      </w:r>
    </w:p>
    <w:p w:rsidR="00FF384B" w:rsidRDefault="003E3BA9">
      <w:pPr>
        <w:spacing w:after="0"/>
        <w:ind w:left="283"/>
      </w:pPr>
      <w:r>
        <w:rPr>
          <w:rFonts w:ascii="Arial" w:eastAsia="Arial" w:hAnsi="Arial" w:cs="Arial"/>
          <w:i/>
        </w:rPr>
        <w:t xml:space="preserve"> </w:t>
      </w:r>
    </w:p>
    <w:p w:rsidR="00FF384B" w:rsidRDefault="003E3BA9">
      <w:pPr>
        <w:numPr>
          <w:ilvl w:val="0"/>
          <w:numId w:val="50"/>
        </w:numPr>
        <w:spacing w:after="4" w:line="247" w:lineRule="auto"/>
        <w:ind w:right="244" w:hanging="10"/>
        <w:jc w:val="both"/>
      </w:pPr>
      <w:r>
        <w:rPr>
          <w:rFonts w:ascii="Arial" w:eastAsia="Arial" w:hAnsi="Arial" w:cs="Arial"/>
          <w:i/>
        </w:rPr>
        <w:t xml:space="preserve">De dicho informe se dará cuenta, para su conocimiento, a la Comisión Informativa del Pleno.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29. Subvenciones establecidas por una norma de rango legal. </w:t>
      </w:r>
    </w:p>
    <w:p w:rsidR="00FF384B" w:rsidRDefault="003E3BA9">
      <w:pPr>
        <w:spacing w:after="0"/>
        <w:ind w:left="283"/>
      </w:pPr>
      <w:r>
        <w:rPr>
          <w:rFonts w:ascii="Arial" w:eastAsia="Arial" w:hAnsi="Arial" w:cs="Arial"/>
          <w:i/>
        </w:rPr>
        <w:t xml:space="preserve"> </w:t>
      </w:r>
    </w:p>
    <w:p w:rsidR="00FF384B" w:rsidRDefault="003E3BA9">
      <w:pPr>
        <w:numPr>
          <w:ilvl w:val="0"/>
          <w:numId w:val="51"/>
        </w:numPr>
        <w:spacing w:after="4" w:line="247" w:lineRule="auto"/>
        <w:ind w:right="244" w:hanging="10"/>
        <w:jc w:val="both"/>
      </w:pPr>
      <w:r>
        <w:rPr>
          <w:rFonts w:ascii="Arial" w:eastAsia="Arial" w:hAnsi="Arial" w:cs="Arial"/>
          <w:i/>
        </w:rPr>
        <w:t>Las subvenciones que vengan establecidas por una norma de rango legal, se otorgarán conforme al procedimiento que en ella se indique. No obstante, deberá tenerse en cuenta, en todo caso, lo establecido en esta Ordenanza de subvenciones vigentes, sobre inst</w:t>
      </w:r>
      <w:r>
        <w:rPr>
          <w:rFonts w:ascii="Arial" w:eastAsia="Arial" w:hAnsi="Arial" w:cs="Arial"/>
          <w:i/>
        </w:rPr>
        <w:t xml:space="preserve">rucción y resolución del procedimiento. </w:t>
      </w:r>
    </w:p>
    <w:p w:rsidR="00FF384B" w:rsidRDefault="003E3BA9">
      <w:pPr>
        <w:spacing w:after="0"/>
        <w:ind w:left="283"/>
      </w:pPr>
      <w:r>
        <w:rPr>
          <w:rFonts w:ascii="Arial" w:eastAsia="Arial" w:hAnsi="Arial" w:cs="Arial"/>
          <w:i/>
        </w:rPr>
        <w:t xml:space="preserve"> </w:t>
      </w:r>
    </w:p>
    <w:p w:rsidR="00FF384B" w:rsidRDefault="003E3BA9">
      <w:pPr>
        <w:numPr>
          <w:ilvl w:val="0"/>
          <w:numId w:val="51"/>
        </w:numPr>
        <w:spacing w:after="4" w:line="247" w:lineRule="auto"/>
        <w:ind w:right="244" w:hanging="10"/>
        <w:jc w:val="both"/>
      </w:pPr>
      <w:r>
        <w:rPr>
          <w:rFonts w:ascii="Arial" w:eastAsia="Arial" w:hAnsi="Arial" w:cs="Arial"/>
          <w:i/>
        </w:rPr>
        <w:t xml:space="preserve">Para que sea exigible el pago de las subvenciones a las que se refiere este artículo, será necesaria la existencia de crédito adecuado y suficiente en el correspondiente ejercicio presupuestario.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noProof/>
        </w:rPr>
        <mc:AlternateContent>
          <mc:Choice Requires="wpg">
            <w:drawing>
              <wp:anchor distT="0" distB="0" distL="114300" distR="114300" simplePos="0" relativeHeight="2517340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6957" name="Group 44695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662" name="Picture 18662"/>
                          <pic:cNvPicPr/>
                        </pic:nvPicPr>
                        <pic:blipFill>
                          <a:blip r:embed="rId62"/>
                          <a:stretch>
                            <a:fillRect/>
                          </a:stretch>
                        </pic:blipFill>
                        <pic:spPr>
                          <a:xfrm rot="-5399999">
                            <a:off x="-1720849" y="1720849"/>
                            <a:ext cx="3797300" cy="355601"/>
                          </a:xfrm>
                          <a:prstGeom prst="rect">
                            <a:avLst/>
                          </a:prstGeom>
                        </pic:spPr>
                      </pic:pic>
                      <wps:wsp>
                        <wps:cNvPr id="18663" name="Rectangle 1866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w:t>
                              </w:r>
                              <w:r>
                                <w:rPr>
                                  <w:rFonts w:ascii="Arial" w:eastAsia="Arial" w:hAnsi="Arial" w:cs="Arial"/>
                                  <w:sz w:val="12"/>
                                </w:rPr>
                                <w:t xml:space="preserve">ción: 9792ADAG9QWZ53RMHD5RCHL7K | Verificación: https://candelaria.sedelectronica.es/ </w:t>
                              </w:r>
                            </w:p>
                          </w:txbxContent>
                        </wps:txbx>
                        <wps:bodyPr horzOverflow="overflow" vert="horz" lIns="0" tIns="0" rIns="0" bIns="0" rtlCol="0">
                          <a:noAutofit/>
                        </wps:bodyPr>
                      </wps:wsp>
                      <wps:wsp>
                        <wps:cNvPr id="18664" name="Rectangle 1866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6957" style="width:41.2715pt;height:299pt;position:absolute;mso-position-horizontal-relative:page;mso-position-horizontal:absolute;margin-left:653.71pt;mso-position-vertical-relative:page;margin-top:512.92pt;" coordsize="5241,37973">
                <v:shape id="Picture 18662" style="position:absolute;width:37973;height:3556;left:-17208;top:17208;rotation:-89;" filled="f">
                  <v:imagedata r:id="rId63"/>
                </v:shape>
                <v:rect id="Rectangle 1866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66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353 </w:t>
                        </w:r>
                      </w:p>
                    </w:txbxContent>
                  </v:textbox>
                </v:rect>
                <w10:wrap type="square"/>
              </v:group>
            </w:pict>
          </mc:Fallback>
        </mc:AlternateContent>
      </w: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TÍTULO IV. GESTIÓN Y JUSTIFICACIÓN DE LAS SUBVENCIONES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CAPÍTULO I. G</w:t>
      </w:r>
      <w:r>
        <w:rPr>
          <w:rFonts w:ascii="Arial" w:eastAsia="Arial" w:hAnsi="Arial" w:cs="Arial"/>
          <w:b/>
          <w:i/>
        </w:rPr>
        <w:t xml:space="preserve">estión y justificación.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Artículo 30. Justificación de las Subvenciones, y sus plazos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b/>
          <w:i/>
        </w:rPr>
        <w:t>1.</w:t>
      </w:r>
      <w:r>
        <w:rPr>
          <w:rFonts w:ascii="Arial" w:eastAsia="Arial" w:hAnsi="Arial" w:cs="Arial"/>
          <w:i/>
        </w:rPr>
        <w:t xml:space="preserve"> </w:t>
      </w:r>
      <w:r>
        <w:rPr>
          <w:rFonts w:ascii="Arial" w:eastAsia="Arial" w:hAnsi="Arial" w:cs="Arial"/>
          <w:i/>
        </w:rPr>
        <w:t>La justificación del cumplimiento de las condiciones impuestas y de la consecución de los objetivos previstos en el acto de concesión de la subvención, se realizará en las condiciones prevista en los artículos 22 y 23 del Decreto 36/2009, de 31 de marzo, p</w:t>
      </w:r>
      <w:r>
        <w:rPr>
          <w:rFonts w:ascii="Arial" w:eastAsia="Arial" w:hAnsi="Arial" w:cs="Arial"/>
          <w:i/>
        </w:rPr>
        <w:t>or el que se establece el régimen general de subvenciones de la Comunidad Autónoma de Canarias, esto es:</w:t>
      </w:r>
      <w:r>
        <w:rPr>
          <w:rFonts w:ascii="Times New Roman" w:eastAsia="Times New Roman" w:hAnsi="Times New Roman" w:cs="Times New Roman"/>
          <w:sz w:val="24"/>
        </w:rPr>
        <w:t xml:space="preserve"> </w:t>
      </w:r>
    </w:p>
    <w:p w:rsidR="00FF384B" w:rsidRDefault="003E3BA9">
      <w:pPr>
        <w:spacing w:after="92"/>
        <w:ind w:left="283"/>
      </w:pPr>
      <w:r>
        <w:rPr>
          <w:rFonts w:ascii="Arial" w:eastAsia="Arial" w:hAnsi="Arial" w:cs="Arial"/>
          <w:i/>
        </w:rPr>
        <w:t xml:space="preserve"> </w:t>
      </w:r>
    </w:p>
    <w:p w:rsidR="00FF384B" w:rsidRDefault="003E3BA9">
      <w:pPr>
        <w:numPr>
          <w:ilvl w:val="0"/>
          <w:numId w:val="52"/>
        </w:numPr>
        <w:spacing w:after="83" w:line="247" w:lineRule="auto"/>
        <w:ind w:right="244" w:hanging="259"/>
        <w:jc w:val="both"/>
      </w:pPr>
      <w:r>
        <w:rPr>
          <w:rFonts w:ascii="Arial" w:eastAsia="Arial" w:hAnsi="Arial" w:cs="Arial"/>
          <w:i/>
        </w:rPr>
        <w:t>Cuenta justificativa, adoptando una de las formas previstas en este Decreto.</w:t>
      </w:r>
      <w:r>
        <w:rPr>
          <w:rFonts w:ascii="Times New Roman" w:eastAsia="Times New Roman" w:hAnsi="Times New Roman" w:cs="Times New Roman"/>
          <w:sz w:val="24"/>
        </w:rPr>
        <w:t xml:space="preserve"> </w:t>
      </w:r>
    </w:p>
    <w:p w:rsidR="00FF384B" w:rsidRDefault="003E3BA9">
      <w:pPr>
        <w:numPr>
          <w:ilvl w:val="0"/>
          <w:numId w:val="52"/>
        </w:numPr>
        <w:spacing w:after="4" w:line="247" w:lineRule="auto"/>
        <w:ind w:right="244" w:hanging="259"/>
        <w:jc w:val="both"/>
      </w:pPr>
      <w:r>
        <w:rPr>
          <w:rFonts w:ascii="Arial" w:eastAsia="Arial" w:hAnsi="Arial" w:cs="Arial"/>
          <w:i/>
        </w:rPr>
        <w:t>Presentación de estados contables.</w:t>
      </w:r>
      <w:r>
        <w:rPr>
          <w:rFonts w:ascii="Times New Roman" w:eastAsia="Times New Roman" w:hAnsi="Times New Roman" w:cs="Times New Roman"/>
          <w:sz w:val="24"/>
        </w:rPr>
        <w:t xml:space="preserve"> </w:t>
      </w:r>
    </w:p>
    <w:p w:rsidR="00FF384B" w:rsidRDefault="003E3BA9">
      <w:pPr>
        <w:spacing w:after="139"/>
        <w:ind w:left="283"/>
      </w:pPr>
      <w:r>
        <w:rPr>
          <w:rFonts w:ascii="Arial" w:eastAsia="Arial" w:hAnsi="Arial" w:cs="Arial"/>
          <w:b/>
          <w:i/>
        </w:rPr>
        <w:t xml:space="preserve"> </w:t>
      </w:r>
    </w:p>
    <w:p w:rsidR="00FF384B" w:rsidRDefault="003E3BA9">
      <w:pPr>
        <w:spacing w:after="150" w:line="247" w:lineRule="auto"/>
        <w:ind w:left="268" w:right="244" w:firstLine="708"/>
        <w:jc w:val="both"/>
      </w:pPr>
      <w:r>
        <w:rPr>
          <w:rFonts w:ascii="Arial" w:eastAsia="Arial" w:hAnsi="Arial" w:cs="Arial"/>
          <w:i/>
        </w:rPr>
        <w:t>La justificación de la subvenció</w:t>
      </w:r>
      <w:r>
        <w:rPr>
          <w:rFonts w:ascii="Arial" w:eastAsia="Arial" w:hAnsi="Arial" w:cs="Arial"/>
          <w:i/>
        </w:rPr>
        <w:t xml:space="preserve">n tendrá la estructura y el alcance que se determine en las correspondientes bases reguladoras. </w:t>
      </w:r>
    </w:p>
    <w:p w:rsidR="00FF384B" w:rsidRDefault="003E3BA9">
      <w:pPr>
        <w:spacing w:after="0"/>
        <w:ind w:left="283"/>
      </w:pPr>
      <w:r>
        <w:rPr>
          <w:rFonts w:ascii="Arial" w:eastAsia="Arial" w:hAnsi="Arial" w:cs="Arial"/>
          <w:i/>
        </w:rPr>
        <w:t xml:space="preserve"> </w:t>
      </w:r>
    </w:p>
    <w:p w:rsidR="00FF384B" w:rsidRDefault="003E3BA9">
      <w:pPr>
        <w:numPr>
          <w:ilvl w:val="0"/>
          <w:numId w:val="53"/>
        </w:numPr>
        <w:spacing w:after="4" w:line="247" w:lineRule="auto"/>
        <w:ind w:right="244" w:hanging="247"/>
        <w:jc w:val="both"/>
      </w:pPr>
      <w:r>
        <w:rPr>
          <w:rFonts w:ascii="Arial" w:eastAsia="Arial" w:hAnsi="Arial" w:cs="Arial"/>
          <w:i/>
        </w:rPr>
        <w:t xml:space="preserve">La realización y justificación del proyecto, de la actividad, o la adopción del comportamiento objeto de subvención, deberán producirse en los plazos que se </w:t>
      </w:r>
      <w:r>
        <w:rPr>
          <w:rFonts w:ascii="Arial" w:eastAsia="Arial" w:hAnsi="Arial" w:cs="Arial"/>
          <w:i/>
        </w:rPr>
        <w:t>establezcan en las bases reguladoras, en las convocatorias o en las resoluciones o convenios en los casos de concesión directa.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53"/>
        </w:numPr>
        <w:spacing w:after="4" w:line="247" w:lineRule="auto"/>
        <w:ind w:right="244" w:hanging="247"/>
        <w:jc w:val="both"/>
      </w:pPr>
      <w:r>
        <w:rPr>
          <w:rFonts w:ascii="Arial" w:eastAsia="Arial" w:hAnsi="Arial" w:cs="Arial"/>
          <w:i/>
        </w:rPr>
        <w:t>En las convocatorias se fijará el plazo de inicio del periodo de justificación y su final.</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53"/>
        </w:numPr>
        <w:spacing w:after="4" w:line="247" w:lineRule="auto"/>
        <w:ind w:right="244" w:hanging="247"/>
        <w:jc w:val="both"/>
      </w:pPr>
      <w:r>
        <w:rPr>
          <w:rFonts w:ascii="Arial" w:eastAsia="Arial" w:hAnsi="Arial" w:cs="Arial"/>
          <w:i/>
        </w:rPr>
        <w:t xml:space="preserve">Excepcionalmente, y si por razones justificadas debidamente motivadas no pudiera realizarse o justificarse en el plazo previsto, el órgano concedente podrá acordar, siempre con anterioridad a la finalización del plazo concedido, la prórroga del plazo, que </w:t>
      </w:r>
      <w:r>
        <w:rPr>
          <w:rFonts w:ascii="Arial" w:eastAsia="Arial" w:hAnsi="Arial" w:cs="Arial"/>
          <w:i/>
        </w:rPr>
        <w:t>no excederá de la mitad del previsto en el párrafo anterior, siempre que no se perjudiquen derechos de terceros.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31. Requisitos de los gastos subvencionables.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Se admitirán como gastos subvencionables, con carácter general, los que cumplan lo</w:t>
      </w:r>
      <w:r>
        <w:rPr>
          <w:rFonts w:ascii="Arial" w:eastAsia="Arial" w:hAnsi="Arial" w:cs="Arial"/>
          <w:i/>
        </w:rPr>
        <w:t xml:space="preserve">s siguientes requisitos: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rFonts w:ascii="Arial" w:eastAsia="Arial" w:hAnsi="Arial" w:cs="Arial"/>
          <w:i/>
        </w:rPr>
        <w:t xml:space="preserve">Desde un punto de vista cualitativo, aquellos gastos que indubitadamente respondan a la naturaleza de 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rFonts w:ascii="Arial" w:eastAsia="Arial" w:hAnsi="Arial" w:cs="Arial"/>
          <w:i/>
        </w:rPr>
        <w:t xml:space="preserve">Desde un punto de vista cuantitativo, aquellos gastos cuyo coste de adquisición no supere el valor de mercado.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noProof/>
        </w:rPr>
        <mc:AlternateContent>
          <mc:Choice Requires="wpg">
            <w:drawing>
              <wp:anchor distT="0" distB="0" distL="114300" distR="114300" simplePos="0" relativeHeight="2517350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8084" name="Group 44808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768" name="Picture 18768"/>
                          <pic:cNvPicPr/>
                        </pic:nvPicPr>
                        <pic:blipFill>
                          <a:blip r:embed="rId62"/>
                          <a:stretch>
                            <a:fillRect/>
                          </a:stretch>
                        </pic:blipFill>
                        <pic:spPr>
                          <a:xfrm rot="-5399999">
                            <a:off x="-1720849" y="1720849"/>
                            <a:ext cx="3797300" cy="355601"/>
                          </a:xfrm>
                          <a:prstGeom prst="rect">
                            <a:avLst/>
                          </a:prstGeom>
                        </pic:spPr>
                      </pic:pic>
                      <wps:wsp>
                        <wps:cNvPr id="18769" name="Rectangle 1876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770" name="Rectangle 1877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w:t>
                              </w:r>
                              <w:r>
                                <w:rPr>
                                  <w:rFonts w:ascii="Arial" w:eastAsia="Arial" w:hAnsi="Arial" w:cs="Arial"/>
                                  <w:sz w:val="12"/>
                                </w:rPr>
                                <w:t xml:space="preserve">e la plataforma esPublico Gestiona | Página 74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8084" style="width:41.2715pt;height:299pt;position:absolute;mso-position-horizontal-relative:page;mso-position-horizontal:absolute;margin-left:653.71pt;mso-position-vertical-relative:page;margin-top:512.92pt;" coordsize="5241,37973">
                <v:shape id="Picture 18768" style="position:absolute;width:37973;height:3556;left:-17208;top:17208;rotation:-89;" filled="f">
                  <v:imagedata r:id="rId63"/>
                </v:shape>
                <v:rect id="Rectangle 1876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77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353 </w:t>
                        </w:r>
                      </w:p>
                    </w:txbxContent>
                  </v:textbox>
                </v:rect>
                <w10:wrap type="square"/>
              </v:group>
            </w:pict>
          </mc:Fallback>
        </mc:AlternateContent>
      </w:r>
      <w:r>
        <w:rPr>
          <w:rFonts w:ascii="Arial" w:eastAsia="Arial" w:hAnsi="Arial" w:cs="Arial"/>
          <w:i/>
        </w:rPr>
        <w:t>Desde un punto de vista temporal, los gastos deberán corresponder al período marcado por la convocatoria de la subvención o por el convenio de colaboración. En general, si el período subvencionado corr</w:t>
      </w:r>
      <w:r>
        <w:rPr>
          <w:rFonts w:ascii="Arial" w:eastAsia="Arial" w:hAnsi="Arial" w:cs="Arial"/>
          <w:i/>
        </w:rPr>
        <w:t xml:space="preserve">esponde a un ejercicio presupuestario, se admitirán únicamente aquellos gastos que se devenguen en el año de concesión de la subvención o de aprobación del convenio, en cualquier momento del año.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rFonts w:ascii="Arial" w:eastAsia="Arial" w:hAnsi="Arial" w:cs="Arial"/>
          <w:i/>
        </w:rPr>
        <w:t xml:space="preserve">Se considerarán gastos realizados aquellos cuyo documento acreditativo corresponda al año en que fue aprobada la aportación pública y hayan sido abonados cuando se presente la justificación.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rFonts w:ascii="Arial" w:eastAsia="Arial" w:hAnsi="Arial" w:cs="Arial"/>
          <w:i/>
        </w:rPr>
        <w:t>Desde un punto de vista financiero, los gastos deberán acredit</w:t>
      </w:r>
      <w:r>
        <w:rPr>
          <w:rFonts w:ascii="Arial" w:eastAsia="Arial" w:hAnsi="Arial" w:cs="Arial"/>
          <w:i/>
        </w:rPr>
        <w:t xml:space="preserve">arse, mediante la oportuna acreditación de pago. </w:t>
      </w:r>
    </w:p>
    <w:p w:rsidR="00FF384B" w:rsidRDefault="003E3BA9">
      <w:pPr>
        <w:spacing w:after="0"/>
        <w:ind w:left="283"/>
      </w:pPr>
      <w:r>
        <w:rPr>
          <w:rFonts w:ascii="Arial" w:eastAsia="Arial" w:hAnsi="Arial" w:cs="Arial"/>
          <w:i/>
        </w:rPr>
        <w:t xml:space="preserve"> </w:t>
      </w:r>
    </w:p>
    <w:p w:rsidR="00FF384B" w:rsidRDefault="003E3BA9">
      <w:pPr>
        <w:numPr>
          <w:ilvl w:val="0"/>
          <w:numId w:val="54"/>
        </w:numPr>
        <w:spacing w:after="4" w:line="247" w:lineRule="auto"/>
        <w:ind w:right="244" w:hanging="10"/>
        <w:jc w:val="both"/>
      </w:pPr>
      <w:r>
        <w:rPr>
          <w:rFonts w:ascii="Arial" w:eastAsia="Arial" w:hAnsi="Arial" w:cs="Arial"/>
          <w:i/>
        </w:rPr>
        <w:t>Se consideran válidos aquellos gastos que correspondiendo al año en que fue aprobada la subvención y sean abonados en el ejercicio siguiente, siempre que el abono se realice antes de la fecha de presentac</w:t>
      </w:r>
      <w:r>
        <w:rPr>
          <w:rFonts w:ascii="Arial" w:eastAsia="Arial" w:hAnsi="Arial" w:cs="Arial"/>
          <w:i/>
        </w:rPr>
        <w:t xml:space="preserve">ión de la justificación.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32. Gastos directos y gastos indirectos.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Se consideran, con carácter general, como gastos subvencionables: </w:t>
      </w:r>
    </w:p>
    <w:p w:rsidR="00FF384B" w:rsidRDefault="003E3BA9">
      <w:pPr>
        <w:spacing w:after="0"/>
        <w:ind w:left="283"/>
      </w:pPr>
      <w:r>
        <w:rPr>
          <w:rFonts w:ascii="Arial" w:eastAsia="Arial" w:hAnsi="Arial" w:cs="Arial"/>
          <w:i/>
        </w:rPr>
        <w:t xml:space="preserve"> </w:t>
      </w:r>
    </w:p>
    <w:p w:rsidR="00FF384B" w:rsidRDefault="003E3BA9">
      <w:pPr>
        <w:numPr>
          <w:ilvl w:val="0"/>
          <w:numId w:val="55"/>
        </w:numPr>
        <w:spacing w:after="4" w:line="247" w:lineRule="auto"/>
        <w:ind w:right="244" w:hanging="10"/>
        <w:jc w:val="both"/>
      </w:pPr>
      <w:r>
        <w:rPr>
          <w:rFonts w:ascii="Arial" w:eastAsia="Arial" w:hAnsi="Arial" w:cs="Arial"/>
          <w:i/>
        </w:rPr>
        <w:t>Gastos directos, aquellos derivados específicamente del desarrollo de la actividad o programa subvencionad</w:t>
      </w:r>
      <w:r>
        <w:rPr>
          <w:rFonts w:ascii="Arial" w:eastAsia="Arial" w:hAnsi="Arial" w:cs="Arial"/>
          <w:i/>
        </w:rPr>
        <w:t xml:space="preserve">os. </w:t>
      </w:r>
    </w:p>
    <w:p w:rsidR="00FF384B" w:rsidRDefault="003E3BA9">
      <w:pPr>
        <w:spacing w:after="0"/>
        <w:ind w:left="283"/>
      </w:pPr>
      <w:r>
        <w:rPr>
          <w:rFonts w:ascii="Arial" w:eastAsia="Arial" w:hAnsi="Arial" w:cs="Arial"/>
          <w:i/>
        </w:rPr>
        <w:t xml:space="preserve"> </w:t>
      </w:r>
    </w:p>
    <w:p w:rsidR="00FF384B" w:rsidRDefault="003E3BA9">
      <w:pPr>
        <w:numPr>
          <w:ilvl w:val="0"/>
          <w:numId w:val="55"/>
        </w:numPr>
        <w:spacing w:after="4" w:line="247" w:lineRule="auto"/>
        <w:ind w:right="244" w:hanging="10"/>
        <w:jc w:val="both"/>
      </w:pPr>
      <w:r>
        <w:rPr>
          <w:rFonts w:ascii="Arial" w:eastAsia="Arial" w:hAnsi="Arial" w:cs="Arial"/>
          <w:i/>
        </w:rPr>
        <w:t xml:space="preserve">Gastos indirectos, aquellos costes variables imputables a varias de las actividades que el beneficiario desarrolla o bien costes de estructura, que sin ser directamente imputables a la actividad concreta subvencionada, sean necesarios para que ésta </w:t>
      </w:r>
      <w:r>
        <w:rPr>
          <w:rFonts w:ascii="Arial" w:eastAsia="Arial" w:hAnsi="Arial" w:cs="Arial"/>
          <w:i/>
        </w:rPr>
        <w:t xml:space="preserve">se lleve a cabo. Serán gastos subvencionables siempre y cuando la convocatoria de la subvención o el convenio de colaboración así lo prevean.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El criterio de imputación por el beneficiario a la actividad subvencionada se realizará en la proporción máxim</w:t>
      </w:r>
      <w:r>
        <w:rPr>
          <w:rFonts w:ascii="Arial" w:eastAsia="Arial" w:hAnsi="Arial" w:cs="Arial"/>
          <w:i/>
        </w:rPr>
        <w:t xml:space="preserve">a que recoja la convocatoria de acuerdo con principios y normas de contabilidad generalmente admitidas y, en todo caso, en la medida en que tales costes correspondan al período en que efectivamente se realice la actividad. </w:t>
      </w:r>
    </w:p>
    <w:p w:rsidR="00FF384B" w:rsidRDefault="003E3BA9">
      <w:pPr>
        <w:spacing w:after="0"/>
        <w:ind w:left="991"/>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33. Gastos subvencionables en bienes y servicios financiados con aplicaciones presupuestarias de gasto corriente.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1. Las subvenciones, tanto de concurrencia pública como de concesión directa, que estén recogidas en el capítulo IV del presupuest</w:t>
      </w:r>
      <w:r>
        <w:rPr>
          <w:rFonts w:ascii="Arial" w:eastAsia="Arial" w:hAnsi="Arial" w:cs="Arial"/>
          <w:i/>
        </w:rPr>
        <w:t xml:space="preserve">o municipal (-transferencias corrientes-), deben referirse a gastos en bienes y servicios necesarios para el ejercicio de actividades, debiendo tener alguna de estas cualidades:  </w:t>
      </w:r>
    </w:p>
    <w:p w:rsidR="00FF384B" w:rsidRDefault="003E3BA9">
      <w:pPr>
        <w:spacing w:after="0"/>
        <w:ind w:left="283"/>
      </w:pPr>
      <w:r>
        <w:rPr>
          <w:rFonts w:ascii="Arial" w:eastAsia="Arial" w:hAnsi="Arial" w:cs="Arial"/>
          <w:i/>
        </w:rPr>
        <w:t xml:space="preserve"> </w:t>
      </w:r>
    </w:p>
    <w:p w:rsidR="00FF384B" w:rsidRDefault="003E3BA9">
      <w:pPr>
        <w:numPr>
          <w:ilvl w:val="0"/>
          <w:numId w:val="56"/>
        </w:numPr>
        <w:spacing w:after="4" w:line="247" w:lineRule="auto"/>
        <w:ind w:right="244" w:hanging="259"/>
        <w:jc w:val="both"/>
      </w:pPr>
      <w:r>
        <w:rPr>
          <w:rFonts w:ascii="Arial" w:eastAsia="Arial" w:hAnsi="Arial" w:cs="Arial"/>
          <w:i/>
        </w:rPr>
        <w:t xml:space="preserve">Bienes fungibles </w:t>
      </w:r>
    </w:p>
    <w:p w:rsidR="00FF384B" w:rsidRDefault="003E3BA9">
      <w:pPr>
        <w:numPr>
          <w:ilvl w:val="0"/>
          <w:numId w:val="56"/>
        </w:numPr>
        <w:spacing w:after="4" w:line="247" w:lineRule="auto"/>
        <w:ind w:right="244" w:hanging="259"/>
        <w:jc w:val="both"/>
      </w:pPr>
      <w:r>
        <w:rPr>
          <w:rFonts w:ascii="Arial" w:eastAsia="Arial" w:hAnsi="Arial" w:cs="Arial"/>
          <w:i/>
        </w:rPr>
        <w:t>Duración previsiblemente inferior a un ejercicio presupu</w:t>
      </w:r>
      <w:r>
        <w:rPr>
          <w:rFonts w:ascii="Arial" w:eastAsia="Arial" w:hAnsi="Arial" w:cs="Arial"/>
          <w:i/>
        </w:rPr>
        <w:t xml:space="preserve">estario. </w:t>
      </w:r>
    </w:p>
    <w:p w:rsidR="00FF384B" w:rsidRDefault="003E3BA9">
      <w:pPr>
        <w:numPr>
          <w:ilvl w:val="0"/>
          <w:numId w:val="56"/>
        </w:numPr>
        <w:spacing w:after="4" w:line="247" w:lineRule="auto"/>
        <w:ind w:right="244" w:hanging="259"/>
        <w:jc w:val="both"/>
      </w:pPr>
      <w:r>
        <w:rPr>
          <w:rFonts w:ascii="Arial" w:eastAsia="Arial" w:hAnsi="Arial" w:cs="Arial"/>
          <w:i/>
        </w:rPr>
        <w:t xml:space="preserve">No ser susceptibles de inclusión en el inventario. </w:t>
      </w:r>
    </w:p>
    <w:p w:rsidR="00FF384B" w:rsidRDefault="003E3BA9">
      <w:pPr>
        <w:numPr>
          <w:ilvl w:val="0"/>
          <w:numId w:val="56"/>
        </w:numPr>
        <w:spacing w:after="4" w:line="247" w:lineRule="auto"/>
        <w:ind w:right="244" w:hanging="259"/>
        <w:jc w:val="both"/>
      </w:pPr>
      <w:r>
        <w:rPr>
          <w:rFonts w:ascii="Arial" w:eastAsia="Arial" w:hAnsi="Arial" w:cs="Arial"/>
          <w:i/>
        </w:rPr>
        <w:t xml:space="preserve">Gastos que presumiblemente sean reiterativos, pudiendo incluirse: </w:t>
      </w:r>
    </w:p>
    <w:p w:rsidR="00FF384B" w:rsidRDefault="003E3BA9">
      <w:pPr>
        <w:spacing w:after="0"/>
        <w:ind w:left="283"/>
      </w:pPr>
      <w:r>
        <w:rPr>
          <w:rFonts w:ascii="Arial" w:eastAsia="Arial" w:hAnsi="Arial" w:cs="Arial"/>
          <w:i/>
        </w:rPr>
        <w:t xml:space="preserve"> </w:t>
      </w:r>
    </w:p>
    <w:p w:rsidR="00FF384B" w:rsidRDefault="003E3BA9">
      <w:pPr>
        <w:numPr>
          <w:ilvl w:val="1"/>
          <w:numId w:val="56"/>
        </w:numPr>
        <w:spacing w:after="4" w:line="247" w:lineRule="auto"/>
        <w:ind w:right="244" w:hanging="360"/>
        <w:jc w:val="both"/>
      </w:pPr>
      <w:r>
        <w:rPr>
          <w:rFonts w:ascii="Arial" w:eastAsia="Arial" w:hAnsi="Arial" w:cs="Arial"/>
          <w:i/>
        </w:rPr>
        <w:t xml:space="preserve">Arrendamiento de bienes muebles e inmuebles. </w:t>
      </w:r>
    </w:p>
    <w:p w:rsidR="00FF384B" w:rsidRDefault="003E3BA9">
      <w:pPr>
        <w:numPr>
          <w:ilvl w:val="1"/>
          <w:numId w:val="56"/>
        </w:numPr>
        <w:spacing w:after="4" w:line="247" w:lineRule="auto"/>
        <w:ind w:right="244" w:hanging="360"/>
        <w:jc w:val="both"/>
      </w:pPr>
      <w:r>
        <w:rPr>
          <w:noProof/>
        </w:rPr>
        <mc:AlternateContent>
          <mc:Choice Requires="wpg">
            <w:drawing>
              <wp:anchor distT="0" distB="0" distL="114300" distR="114300" simplePos="0" relativeHeight="2517360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8907" name="Group 44890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892" name="Picture 18892"/>
                          <pic:cNvPicPr/>
                        </pic:nvPicPr>
                        <pic:blipFill>
                          <a:blip r:embed="rId62"/>
                          <a:stretch>
                            <a:fillRect/>
                          </a:stretch>
                        </pic:blipFill>
                        <pic:spPr>
                          <a:xfrm rot="-5399999">
                            <a:off x="-1720849" y="1720849"/>
                            <a:ext cx="3797300" cy="355601"/>
                          </a:xfrm>
                          <a:prstGeom prst="rect">
                            <a:avLst/>
                          </a:prstGeom>
                        </pic:spPr>
                      </pic:pic>
                      <wps:wsp>
                        <wps:cNvPr id="18893" name="Rectangle 1889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w:t>
                              </w:r>
                              <w:r>
                                <w:rPr>
                                  <w:rFonts w:ascii="Arial" w:eastAsia="Arial" w:hAnsi="Arial" w:cs="Arial"/>
                                  <w:sz w:val="12"/>
                                </w:rPr>
                                <w:t xml:space="preserve">a.sedelectronica.es/ </w:t>
                              </w:r>
                            </w:p>
                          </w:txbxContent>
                        </wps:txbx>
                        <wps:bodyPr horzOverflow="overflow" vert="horz" lIns="0" tIns="0" rIns="0" bIns="0" rtlCol="0">
                          <a:noAutofit/>
                        </wps:bodyPr>
                      </wps:wsp>
                      <wps:wsp>
                        <wps:cNvPr id="18894" name="Rectangle 1889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8907" style="width:41.2715pt;height:299pt;position:absolute;mso-position-horizontal-relative:page;mso-position-horizontal:absolute;margin-left:653.71pt;mso-position-vertical-relative:page;margin-top:512.92pt;" coordsize="5241,37973">
                <v:shape id="Picture 18892" style="position:absolute;width:37973;height:3556;left:-17208;top:17208;rotation:-89;" filled="f">
                  <v:imagedata r:id="rId63"/>
                </v:shape>
                <v:rect id="Rectangle 1889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89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353 </w:t>
                        </w:r>
                      </w:p>
                    </w:txbxContent>
                  </v:textbox>
                </v:rect>
                <w10:wrap type="square"/>
              </v:group>
            </w:pict>
          </mc:Fallback>
        </mc:AlternateContent>
      </w:r>
      <w:r>
        <w:rPr>
          <w:rFonts w:ascii="Arial" w:eastAsia="Arial" w:hAnsi="Arial" w:cs="Arial"/>
          <w:i/>
        </w:rPr>
        <w:t>Gastos de reparación, mantenimiento y conservación de bienes propios o arrendados. Las reparaciones importantes y de gran entidad que supo</w:t>
      </w:r>
      <w:r>
        <w:rPr>
          <w:rFonts w:ascii="Arial" w:eastAsia="Arial" w:hAnsi="Arial" w:cs="Arial"/>
          <w:i/>
        </w:rPr>
        <w:t xml:space="preserve">ngan un evidente incremento de capacidad y rendimiento o alargamiento de la vida útil del bien no podrán incluirse en el capítulo IV por tratarse de obras de inversión. </w:t>
      </w:r>
    </w:p>
    <w:p w:rsidR="00FF384B" w:rsidRDefault="003E3BA9">
      <w:pPr>
        <w:numPr>
          <w:ilvl w:val="1"/>
          <w:numId w:val="56"/>
        </w:numPr>
        <w:spacing w:after="4" w:line="247" w:lineRule="auto"/>
        <w:ind w:right="244" w:hanging="360"/>
        <w:jc w:val="both"/>
      </w:pPr>
      <w:r>
        <w:rPr>
          <w:rFonts w:ascii="Arial" w:eastAsia="Arial" w:hAnsi="Arial" w:cs="Arial"/>
          <w:i/>
        </w:rPr>
        <w:t xml:space="preserve">Adquisición de material de oficina no inventariable. </w:t>
      </w:r>
    </w:p>
    <w:p w:rsidR="00FF384B" w:rsidRDefault="003E3BA9">
      <w:pPr>
        <w:numPr>
          <w:ilvl w:val="1"/>
          <w:numId w:val="56"/>
        </w:numPr>
        <w:spacing w:after="4" w:line="247" w:lineRule="auto"/>
        <w:ind w:right="244" w:hanging="360"/>
        <w:jc w:val="both"/>
      </w:pPr>
      <w:r>
        <w:rPr>
          <w:rFonts w:ascii="Arial" w:eastAsia="Arial" w:hAnsi="Arial" w:cs="Arial"/>
          <w:i/>
        </w:rPr>
        <w:t xml:space="preserve">Suministros de agua, gas, energía eléctrica, teléfono, no incluidos en el precio de los arrendamientos. </w:t>
      </w:r>
    </w:p>
    <w:p w:rsidR="00FF384B" w:rsidRDefault="003E3BA9">
      <w:pPr>
        <w:numPr>
          <w:ilvl w:val="1"/>
          <w:numId w:val="56"/>
        </w:numPr>
        <w:spacing w:after="4" w:line="247" w:lineRule="auto"/>
        <w:ind w:right="244" w:hanging="360"/>
        <w:jc w:val="both"/>
      </w:pPr>
      <w:r>
        <w:rPr>
          <w:rFonts w:ascii="Arial" w:eastAsia="Arial" w:hAnsi="Arial" w:cs="Arial"/>
          <w:i/>
        </w:rPr>
        <w:t xml:space="preserve">Vestuario y otras prendas necesarias para el ejercicio de una actividad concreta y específica. </w:t>
      </w:r>
    </w:p>
    <w:p w:rsidR="00FF384B" w:rsidRDefault="003E3BA9">
      <w:pPr>
        <w:numPr>
          <w:ilvl w:val="1"/>
          <w:numId w:val="56"/>
        </w:numPr>
        <w:spacing w:after="4" w:line="247" w:lineRule="auto"/>
        <w:ind w:right="244" w:hanging="360"/>
        <w:jc w:val="both"/>
      </w:pPr>
      <w:r>
        <w:rPr>
          <w:rFonts w:ascii="Arial" w:eastAsia="Arial" w:hAnsi="Arial" w:cs="Arial"/>
          <w:i/>
        </w:rPr>
        <w:t xml:space="preserve">Productos farmacéuticos, sanitarios y de limpieza. </w:t>
      </w:r>
    </w:p>
    <w:p w:rsidR="00FF384B" w:rsidRDefault="003E3BA9">
      <w:pPr>
        <w:numPr>
          <w:ilvl w:val="1"/>
          <w:numId w:val="56"/>
        </w:numPr>
        <w:spacing w:after="4" w:line="247" w:lineRule="auto"/>
        <w:ind w:right="244" w:hanging="360"/>
        <w:jc w:val="both"/>
      </w:pPr>
      <w:r>
        <w:rPr>
          <w:rFonts w:ascii="Arial" w:eastAsia="Arial" w:hAnsi="Arial" w:cs="Arial"/>
          <w:i/>
        </w:rPr>
        <w:t>Otr</w:t>
      </w:r>
      <w:r>
        <w:rPr>
          <w:rFonts w:ascii="Arial" w:eastAsia="Arial" w:hAnsi="Arial" w:cs="Arial"/>
          <w:i/>
        </w:rPr>
        <w:t xml:space="preserve">os gastos diversos, entre ellos los de publicidad, la organización de reuniones y conferencias. </w:t>
      </w:r>
    </w:p>
    <w:p w:rsidR="00FF384B" w:rsidRDefault="003E3BA9">
      <w:pPr>
        <w:numPr>
          <w:ilvl w:val="1"/>
          <w:numId w:val="56"/>
        </w:numPr>
        <w:spacing w:after="4" w:line="247" w:lineRule="auto"/>
        <w:ind w:right="244" w:hanging="360"/>
        <w:jc w:val="both"/>
      </w:pPr>
      <w:r>
        <w:rPr>
          <w:rFonts w:ascii="Arial" w:eastAsia="Arial" w:hAnsi="Arial" w:cs="Arial"/>
          <w:i/>
        </w:rPr>
        <w:t xml:space="preserve">e) Servicios profesionales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 xml:space="preserve">Todos ellos, siempre y cuando no estén excluidos en la convocatoria de la subvención o en el convenio de colaboración.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2. En n</w:t>
      </w:r>
      <w:r>
        <w:rPr>
          <w:rFonts w:ascii="Arial" w:eastAsia="Arial" w:hAnsi="Arial" w:cs="Arial"/>
          <w:i/>
        </w:rPr>
        <w:t xml:space="preserve">ingún caso podrá efectuarse adquisición de bienes inventariables con cargo a capítulo IV del presupuesto de Gastos -Transferencias Corrientes.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w:t>
      </w:r>
      <w:r>
        <w:rPr>
          <w:rFonts w:ascii="Arial" w:eastAsia="Arial" w:hAnsi="Arial" w:cs="Arial"/>
          <w:b/>
          <w:i/>
        </w:rPr>
        <w:tab/>
        <w:t xml:space="preserve">34. </w:t>
      </w:r>
      <w:r>
        <w:rPr>
          <w:rFonts w:ascii="Arial" w:eastAsia="Arial" w:hAnsi="Arial" w:cs="Arial"/>
          <w:b/>
          <w:i/>
        </w:rPr>
        <w:tab/>
        <w:t xml:space="preserve">Gastos </w:t>
      </w:r>
      <w:r>
        <w:rPr>
          <w:rFonts w:ascii="Arial" w:eastAsia="Arial" w:hAnsi="Arial" w:cs="Arial"/>
          <w:b/>
          <w:i/>
        </w:rPr>
        <w:tab/>
        <w:t xml:space="preserve">correspondientes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adquisición, </w:t>
      </w:r>
      <w:r>
        <w:rPr>
          <w:rFonts w:ascii="Arial" w:eastAsia="Arial" w:hAnsi="Arial" w:cs="Arial"/>
          <w:b/>
          <w:i/>
        </w:rPr>
        <w:tab/>
        <w:t>construcción, rehabilitación y mejora de biene</w:t>
      </w:r>
      <w:r>
        <w:rPr>
          <w:rFonts w:ascii="Arial" w:eastAsia="Arial" w:hAnsi="Arial" w:cs="Arial"/>
          <w:b/>
          <w:i/>
        </w:rPr>
        <w:t>s inventariables y de amortización.</w:t>
      </w:r>
      <w:r>
        <w:rPr>
          <w:rFonts w:ascii="Times New Roman" w:eastAsia="Times New Roman" w:hAnsi="Times New Roman" w:cs="Times New Roman"/>
          <w:sz w:val="24"/>
        </w:rPr>
        <w:t xml:space="preserve"> </w:t>
      </w:r>
    </w:p>
    <w:p w:rsidR="00FF384B" w:rsidRDefault="003E3BA9">
      <w:pPr>
        <w:spacing w:after="131"/>
        <w:ind w:left="643"/>
      </w:pPr>
      <w:r>
        <w:rPr>
          <w:rFonts w:ascii="Arial" w:eastAsia="Arial" w:hAnsi="Arial" w:cs="Arial"/>
          <w:b/>
          <w:i/>
          <w:color w:val="202020"/>
        </w:rPr>
        <w:t xml:space="preserve"> </w:t>
      </w:r>
    </w:p>
    <w:p w:rsidR="00FF384B" w:rsidRDefault="003E3BA9">
      <w:pPr>
        <w:numPr>
          <w:ilvl w:val="0"/>
          <w:numId w:val="57"/>
        </w:numPr>
        <w:spacing w:after="4" w:line="247" w:lineRule="auto"/>
        <w:ind w:right="244" w:hanging="10"/>
        <w:jc w:val="both"/>
      </w:pPr>
      <w:r>
        <w:rPr>
          <w:rFonts w:ascii="Arial" w:eastAsia="Arial" w:hAnsi="Arial" w:cs="Arial"/>
          <w:i/>
        </w:rPr>
        <w:t>Los gastos correspondientes a la adquisición, construcción, rehabilitación y mejora de bienes inventariables, únicamente serán subvencionables cuando la convocatoria de la subvención, o en su caso, el convenio de cola</w:t>
      </w:r>
      <w:r>
        <w:rPr>
          <w:rFonts w:ascii="Arial" w:eastAsia="Arial" w:hAnsi="Arial" w:cs="Arial"/>
          <w:i/>
        </w:rPr>
        <w:t xml:space="preserve">boración, expresamente lo prevean. </w:t>
      </w:r>
    </w:p>
    <w:p w:rsidR="00FF384B" w:rsidRDefault="003E3BA9">
      <w:pPr>
        <w:spacing w:after="0"/>
        <w:ind w:left="283"/>
      </w:pPr>
      <w:r>
        <w:rPr>
          <w:rFonts w:ascii="Arial" w:eastAsia="Arial" w:hAnsi="Arial" w:cs="Arial"/>
          <w:i/>
        </w:rPr>
        <w:t xml:space="preserve"> </w:t>
      </w:r>
    </w:p>
    <w:p w:rsidR="00FF384B" w:rsidRDefault="003E3BA9">
      <w:pPr>
        <w:tabs>
          <w:tab w:val="center" w:pos="283"/>
          <w:tab w:val="center" w:pos="3322"/>
        </w:tabs>
        <w:spacing w:after="359" w:line="247" w:lineRule="auto"/>
      </w:pPr>
      <w:r>
        <w:tab/>
      </w:r>
      <w:r>
        <w:rPr>
          <w:rFonts w:ascii="Arial" w:eastAsia="Arial" w:hAnsi="Arial" w:cs="Arial"/>
          <w:i/>
        </w:rPr>
        <w:t xml:space="preserve"> </w:t>
      </w:r>
      <w:r>
        <w:rPr>
          <w:rFonts w:ascii="Arial" w:eastAsia="Arial" w:hAnsi="Arial" w:cs="Arial"/>
          <w:i/>
        </w:rPr>
        <w:tab/>
        <w:t xml:space="preserve">En todo caso, se seguirán las siguientes reglas: </w:t>
      </w:r>
    </w:p>
    <w:p w:rsidR="00FF384B" w:rsidRDefault="003E3BA9">
      <w:pPr>
        <w:numPr>
          <w:ilvl w:val="1"/>
          <w:numId w:val="57"/>
        </w:numPr>
        <w:spacing w:after="174" w:line="247" w:lineRule="auto"/>
        <w:ind w:right="244" w:firstLine="360"/>
        <w:jc w:val="both"/>
      </w:pPr>
      <w:r>
        <w:rPr>
          <w:rFonts w:ascii="Arial" w:eastAsia="Arial" w:hAnsi="Arial" w:cs="Arial"/>
          <w:i/>
        </w:rPr>
        <w:t>Las bases reguladoras fijarán el periodo durante el cual la persona beneficiaria deberá destinar los bienes al fin concreto para el cual se concedió la subvención, que no podrá ser inferior a cinco años en caso de bienes inscribibles en un registro público</w:t>
      </w:r>
      <w:r>
        <w:rPr>
          <w:rFonts w:ascii="Arial" w:eastAsia="Arial" w:hAnsi="Arial" w:cs="Arial"/>
          <w:i/>
        </w:rPr>
        <w:t xml:space="preserve">, ni a dos años para el resto de bienes. </w:t>
      </w:r>
    </w:p>
    <w:p w:rsidR="00FF384B" w:rsidRDefault="003E3BA9">
      <w:pPr>
        <w:spacing w:after="174" w:line="247" w:lineRule="auto"/>
        <w:ind w:left="268" w:right="244" w:firstLine="360"/>
        <w:jc w:val="both"/>
      </w:pPr>
      <w:r>
        <w:rPr>
          <w:rFonts w:ascii="Arial" w:eastAsia="Arial" w:hAnsi="Arial" w:cs="Arial"/>
          <w:i/>
        </w:rPr>
        <w:t>En el caso de bienes inscribibles en un registro público, deberá hacerse constar en la escritura esta circunstancia, así como el importe de la subvención concedida, debiendo ser objeto estos extremos de inscripción</w:t>
      </w:r>
      <w:r>
        <w:rPr>
          <w:rFonts w:ascii="Arial" w:eastAsia="Arial" w:hAnsi="Arial" w:cs="Arial"/>
          <w:i/>
        </w:rPr>
        <w:t xml:space="preserve"> en el registro público correspondiente. </w:t>
      </w:r>
    </w:p>
    <w:p w:rsidR="00FF384B" w:rsidRDefault="003E3BA9">
      <w:pPr>
        <w:numPr>
          <w:ilvl w:val="1"/>
          <w:numId w:val="57"/>
        </w:numPr>
        <w:spacing w:after="4" w:line="250" w:lineRule="auto"/>
        <w:ind w:right="244" w:firstLine="360"/>
        <w:jc w:val="both"/>
      </w:pPr>
      <w:r>
        <w:rPr>
          <w:rFonts w:ascii="Arial" w:eastAsia="Arial" w:hAnsi="Arial" w:cs="Arial"/>
          <w:i/>
        </w:rPr>
        <w:t xml:space="preserve">El incumplimiento de la obligación de destino referida en la letra anterior, que se </w:t>
      </w:r>
    </w:p>
    <w:p w:rsidR="00FF384B" w:rsidRDefault="003E3BA9">
      <w:pPr>
        <w:spacing w:after="172" w:line="247" w:lineRule="auto"/>
        <w:ind w:left="278" w:right="244" w:hanging="10"/>
        <w:jc w:val="both"/>
      </w:pPr>
      <w:r>
        <w:rPr>
          <w:rFonts w:ascii="Arial" w:eastAsia="Arial" w:hAnsi="Arial" w:cs="Arial"/>
          <w:i/>
        </w:rPr>
        <w:t>producirá en todo caso con la enajenación o el gravamen del bien, será causa de reintegro, quedando el bien afecto al pago del re</w:t>
      </w:r>
      <w:r>
        <w:rPr>
          <w:rFonts w:ascii="Arial" w:eastAsia="Arial" w:hAnsi="Arial" w:cs="Arial"/>
          <w:i/>
        </w:rPr>
        <w:t xml:space="preserve">integro cualquiera que sea su poseedor, salvo que resulte ser un tercero protegido por la fe pública registral, o se justifique la adquisición de los bienes con buena fe y justo título o en establecimiento mercantil o industrial, en caso de bienes muebles </w:t>
      </w:r>
      <w:r>
        <w:rPr>
          <w:rFonts w:ascii="Arial" w:eastAsia="Arial" w:hAnsi="Arial" w:cs="Arial"/>
          <w:i/>
        </w:rPr>
        <w:t xml:space="preserve">no inscribibles. </w:t>
      </w:r>
    </w:p>
    <w:p w:rsidR="00FF384B" w:rsidRDefault="003E3BA9">
      <w:pPr>
        <w:numPr>
          <w:ilvl w:val="0"/>
          <w:numId w:val="57"/>
        </w:numPr>
        <w:spacing w:after="4" w:line="247" w:lineRule="auto"/>
        <w:ind w:right="244" w:hanging="10"/>
        <w:jc w:val="both"/>
      </w:pPr>
      <w:r>
        <w:rPr>
          <w:noProof/>
        </w:rPr>
        <mc:AlternateContent>
          <mc:Choice Requires="wpg">
            <w:drawing>
              <wp:anchor distT="0" distB="0" distL="114300" distR="114300" simplePos="0" relativeHeight="2517370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9308" name="Group 44930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8993" name="Picture 18993"/>
                          <pic:cNvPicPr/>
                        </pic:nvPicPr>
                        <pic:blipFill>
                          <a:blip r:embed="rId62"/>
                          <a:stretch>
                            <a:fillRect/>
                          </a:stretch>
                        </pic:blipFill>
                        <pic:spPr>
                          <a:xfrm rot="-5399999">
                            <a:off x="-1720849" y="1720849"/>
                            <a:ext cx="3797300" cy="355601"/>
                          </a:xfrm>
                          <a:prstGeom prst="rect">
                            <a:avLst/>
                          </a:prstGeom>
                        </pic:spPr>
                      </pic:pic>
                      <wps:wsp>
                        <wps:cNvPr id="18994" name="Rectangle 1899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8995" name="Rectangle 1899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9308" style="width:41.2715pt;height:299pt;position:absolute;mso-position-horizontal-relative:page;mso-position-horizontal:absolute;margin-left:653.71pt;mso-position-vertical-relative:page;margin-top:512.92pt;" coordsize="5241,37973">
                <v:shape id="Picture 18993" style="position:absolute;width:37973;height:3556;left:-17208;top:17208;rotation:-89;" filled="f">
                  <v:imagedata r:id="rId63"/>
                </v:shape>
                <v:rect id="Rectangle 1899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899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353 </w:t>
                        </w:r>
                      </w:p>
                    </w:txbxContent>
                  </v:textbox>
                </v:rect>
                <w10:wrap type="square"/>
              </v:group>
            </w:pict>
          </mc:Fallback>
        </mc:AlternateContent>
      </w:r>
      <w:r>
        <w:rPr>
          <w:rFonts w:ascii="Arial" w:eastAsia="Arial" w:hAnsi="Arial" w:cs="Arial"/>
          <w:i/>
        </w:rPr>
        <w:t>Como regla general no se admitirán como g</w:t>
      </w:r>
      <w:r>
        <w:rPr>
          <w:rFonts w:ascii="Arial" w:eastAsia="Arial" w:hAnsi="Arial" w:cs="Arial"/>
          <w:i/>
        </w:rPr>
        <w:t>astos subvencionables los destinados a la amortización de bienes inventariables. Excepcionalmente podrán admitirse siempre y cuando la convocatoria de la subvención o, en su caso, el convenio de colaboración así lo expresen y se especifiquen las reglas esp</w:t>
      </w:r>
      <w:r>
        <w:rPr>
          <w:rFonts w:ascii="Arial" w:eastAsia="Arial" w:hAnsi="Arial" w:cs="Arial"/>
          <w:i/>
        </w:rPr>
        <w:t xml:space="preserve">eciales en esta materia. </w:t>
      </w:r>
    </w:p>
    <w:p w:rsidR="00FF384B" w:rsidRDefault="003E3BA9">
      <w:pPr>
        <w:spacing w:after="0"/>
        <w:ind w:left="283"/>
      </w:pPr>
      <w:r>
        <w:rPr>
          <w:rFonts w:ascii="Arial" w:eastAsia="Arial" w:hAnsi="Arial" w:cs="Arial"/>
          <w:i/>
        </w:rPr>
        <w:t xml:space="preserve"> </w:t>
      </w:r>
    </w:p>
    <w:p w:rsidR="00FF384B" w:rsidRDefault="003E3BA9">
      <w:pPr>
        <w:numPr>
          <w:ilvl w:val="0"/>
          <w:numId w:val="57"/>
        </w:numPr>
        <w:spacing w:after="4" w:line="247" w:lineRule="auto"/>
        <w:ind w:right="244" w:hanging="10"/>
        <w:jc w:val="both"/>
      </w:pPr>
      <w:r>
        <w:rPr>
          <w:rFonts w:ascii="Arial" w:eastAsia="Arial" w:hAnsi="Arial" w:cs="Arial"/>
          <w:i/>
        </w:rPr>
        <w:t xml:space="preserve">En todo caso, el carácter subvencionable del gasto de amortización de bienes inventariables, estará sujeto a las siguientes condiciones: </w:t>
      </w:r>
    </w:p>
    <w:p w:rsidR="00FF384B" w:rsidRDefault="003E3BA9">
      <w:pPr>
        <w:spacing w:after="0"/>
        <w:ind w:left="283"/>
      </w:pPr>
      <w:r>
        <w:rPr>
          <w:rFonts w:ascii="Arial" w:eastAsia="Arial" w:hAnsi="Arial" w:cs="Arial"/>
          <w:i/>
        </w:rPr>
        <w:t xml:space="preserve"> </w:t>
      </w:r>
    </w:p>
    <w:p w:rsidR="00FF384B" w:rsidRDefault="003E3BA9">
      <w:pPr>
        <w:numPr>
          <w:ilvl w:val="0"/>
          <w:numId w:val="58"/>
        </w:numPr>
        <w:spacing w:after="4" w:line="247" w:lineRule="auto"/>
        <w:ind w:right="244" w:hanging="257"/>
        <w:jc w:val="both"/>
      </w:pPr>
      <w:r>
        <w:rPr>
          <w:rFonts w:ascii="Arial" w:eastAsia="Arial" w:hAnsi="Arial" w:cs="Arial"/>
          <w:i/>
        </w:rPr>
        <w:t xml:space="preserve">Que las subvenciones no hayan contribuido a la compra de los bienes. </w:t>
      </w:r>
    </w:p>
    <w:p w:rsidR="00FF384B" w:rsidRDefault="003E3BA9">
      <w:pPr>
        <w:spacing w:after="0"/>
        <w:ind w:left="283"/>
      </w:pPr>
      <w:r>
        <w:rPr>
          <w:rFonts w:ascii="Arial" w:eastAsia="Arial" w:hAnsi="Arial" w:cs="Arial"/>
          <w:i/>
        </w:rPr>
        <w:t xml:space="preserve"> </w:t>
      </w:r>
    </w:p>
    <w:p w:rsidR="00FF384B" w:rsidRDefault="003E3BA9">
      <w:pPr>
        <w:numPr>
          <w:ilvl w:val="0"/>
          <w:numId w:val="58"/>
        </w:numPr>
        <w:spacing w:after="4" w:line="247" w:lineRule="auto"/>
        <w:ind w:right="244" w:hanging="257"/>
        <w:jc w:val="both"/>
      </w:pPr>
      <w:r>
        <w:rPr>
          <w:rFonts w:ascii="Arial" w:eastAsia="Arial" w:hAnsi="Arial" w:cs="Arial"/>
          <w:i/>
        </w:rPr>
        <w:t xml:space="preserve">Que la amortización se calcule de conformidad con las normas de contabilidad generalmente aceptadas. </w:t>
      </w:r>
    </w:p>
    <w:p w:rsidR="00FF384B" w:rsidRDefault="003E3BA9">
      <w:pPr>
        <w:spacing w:after="0"/>
        <w:ind w:left="283"/>
      </w:pPr>
      <w:r>
        <w:rPr>
          <w:rFonts w:ascii="Arial" w:eastAsia="Arial" w:hAnsi="Arial" w:cs="Arial"/>
          <w:i/>
        </w:rPr>
        <w:t xml:space="preserve"> </w:t>
      </w:r>
    </w:p>
    <w:p w:rsidR="00FF384B" w:rsidRDefault="003E3BA9">
      <w:pPr>
        <w:numPr>
          <w:ilvl w:val="0"/>
          <w:numId w:val="58"/>
        </w:numPr>
        <w:spacing w:after="4" w:line="247" w:lineRule="auto"/>
        <w:ind w:right="244" w:hanging="257"/>
        <w:jc w:val="both"/>
      </w:pPr>
      <w:r>
        <w:rPr>
          <w:rFonts w:ascii="Arial" w:eastAsia="Arial" w:hAnsi="Arial" w:cs="Arial"/>
          <w:i/>
        </w:rPr>
        <w:t xml:space="preserve">Que el coste se refiera exclusivamente al período subvencionable.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35. Gastos de superior cuantía. </w:t>
      </w:r>
    </w:p>
    <w:p w:rsidR="00FF384B" w:rsidRDefault="003E3BA9">
      <w:pPr>
        <w:spacing w:after="0"/>
        <w:ind w:left="283"/>
      </w:pPr>
      <w:r>
        <w:rPr>
          <w:rFonts w:ascii="Arial" w:eastAsia="Arial" w:hAnsi="Arial" w:cs="Arial"/>
          <w:i/>
        </w:rPr>
        <w:t xml:space="preserve"> </w:t>
      </w:r>
    </w:p>
    <w:p w:rsidR="00FF384B" w:rsidRDefault="003E3BA9">
      <w:pPr>
        <w:numPr>
          <w:ilvl w:val="0"/>
          <w:numId w:val="59"/>
        </w:numPr>
        <w:spacing w:after="4" w:line="247" w:lineRule="auto"/>
        <w:ind w:right="244" w:hanging="10"/>
        <w:jc w:val="both"/>
      </w:pPr>
      <w:r>
        <w:rPr>
          <w:rFonts w:ascii="Arial" w:eastAsia="Arial" w:hAnsi="Arial" w:cs="Arial"/>
          <w:i/>
        </w:rPr>
        <w:t>Cuando el importe del gasto subvencionable supere las cuantías establecidas en las bases de ejecución del presupuesto general municipal para el contrato menor, tanto en el supuesto de coste por ejecución de obra, como en el supuesto de suministro de bienes</w:t>
      </w:r>
      <w:r>
        <w:rPr>
          <w:rFonts w:ascii="Arial" w:eastAsia="Arial" w:hAnsi="Arial" w:cs="Arial"/>
          <w:i/>
        </w:rPr>
        <w:t xml:space="preserve"> de equipo o prestación de servicios por empresas de consultoría o asistencia técnica, el beneficiario deberá solicitar como mínimo tres ofertas de diferentes proveedores, previamente a la contracción del compromiso para la prestación del servicio o la ent</w:t>
      </w:r>
      <w:r>
        <w:rPr>
          <w:rFonts w:ascii="Arial" w:eastAsia="Arial" w:hAnsi="Arial" w:cs="Arial"/>
          <w:i/>
        </w:rPr>
        <w:t>rega del bien, salvo que por las especiales características de los gastos subvencionables no exista en el mercado suficiente número de entidades que lo suministren o presten, o salvo que el gasto se hubiera realizado con anterioridad a la solicitud de la s</w:t>
      </w:r>
      <w:r>
        <w:rPr>
          <w:rFonts w:ascii="Arial" w:eastAsia="Arial" w:hAnsi="Arial" w:cs="Arial"/>
          <w:i/>
        </w:rPr>
        <w:t xml:space="preserve">ubvención. </w:t>
      </w:r>
    </w:p>
    <w:p w:rsidR="00FF384B" w:rsidRDefault="003E3BA9">
      <w:pPr>
        <w:spacing w:after="0"/>
        <w:ind w:left="283"/>
      </w:pPr>
      <w:r>
        <w:rPr>
          <w:rFonts w:ascii="Arial" w:eastAsia="Arial" w:hAnsi="Arial" w:cs="Arial"/>
          <w:i/>
        </w:rPr>
        <w:t xml:space="preserve"> </w:t>
      </w:r>
    </w:p>
    <w:p w:rsidR="00FF384B" w:rsidRDefault="003E3BA9">
      <w:pPr>
        <w:numPr>
          <w:ilvl w:val="0"/>
          <w:numId w:val="59"/>
        </w:numPr>
        <w:spacing w:after="4" w:line="247" w:lineRule="auto"/>
        <w:ind w:right="244" w:hanging="10"/>
        <w:jc w:val="both"/>
      </w:pPr>
      <w:r>
        <w:rPr>
          <w:rFonts w:ascii="Arial" w:eastAsia="Arial" w:hAnsi="Arial" w:cs="Arial"/>
          <w:i/>
        </w:rPr>
        <w:t>Las ofertas presentadas deberán aportarse con la justificación o, en su caso, en la solicitud de la subvención. La elección entre las ofertas presentadas deberá realizarse conforme a criterios de eficiencia y economía, debiendo justificarse e</w:t>
      </w:r>
      <w:r>
        <w:rPr>
          <w:rFonts w:ascii="Arial" w:eastAsia="Arial" w:hAnsi="Arial" w:cs="Arial"/>
          <w:i/>
        </w:rPr>
        <w:t xml:space="preserve">xpresamente en la memoria de evaluación la elección cuando no recaiga en la propuesta económica más ventajosa, o la inexistencia en el mercado de diversidad de proveedores o prestadores del servicio de que se trate.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Artículo 36. Gastos financieros, gast</w:t>
      </w:r>
      <w:r>
        <w:rPr>
          <w:rFonts w:ascii="Arial" w:eastAsia="Arial" w:hAnsi="Arial" w:cs="Arial"/>
          <w:b/>
          <w:i/>
        </w:rPr>
        <w:t xml:space="preserve">os de asesoría jurídica o financiera, gastos notariales y registrales, gastos periciales, gastos de administración específicos y gastos de naturaleza tributaria.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i/>
        </w:rPr>
        <w:t>1. Los gastos financieros, los gastos de asesoría jurídica o financiera, los gastos notariales y registrales y los gastos periciales para la realización del proyecto subvencionado y los de administración específicos son subvencionables si están directament</w:t>
      </w:r>
      <w:r>
        <w:rPr>
          <w:rFonts w:ascii="Arial" w:eastAsia="Arial" w:hAnsi="Arial" w:cs="Arial"/>
          <w:i/>
        </w:rPr>
        <w:t>e relacionados con la actividad subvencionada y son indispensables para la adecuada preparación o ejecución de la misma, y siempre que así se prevea en las bases reguladoras o convocatoria. Con carácter excepcional, los gastos de garantía bancaria podrán s</w:t>
      </w:r>
      <w:r>
        <w:rPr>
          <w:rFonts w:ascii="Arial" w:eastAsia="Arial" w:hAnsi="Arial" w:cs="Arial"/>
          <w:i/>
        </w:rPr>
        <w:t xml:space="preserve">er subvencionados cuando así lo prevea la normativa reguladora de la subvención.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En ningún caso se considerarán gastos subvencionables los siguientes: </w:t>
      </w:r>
    </w:p>
    <w:p w:rsidR="00FF384B" w:rsidRDefault="003E3BA9">
      <w:pPr>
        <w:spacing w:after="0"/>
        <w:ind w:left="283"/>
      </w:pPr>
      <w:r>
        <w:rPr>
          <w:rFonts w:ascii="Arial" w:eastAsia="Arial" w:hAnsi="Arial" w:cs="Arial"/>
          <w:i/>
        </w:rPr>
        <w:t xml:space="preserve"> </w:t>
      </w:r>
    </w:p>
    <w:p w:rsidR="00FF384B" w:rsidRDefault="003E3BA9">
      <w:pPr>
        <w:numPr>
          <w:ilvl w:val="0"/>
          <w:numId w:val="60"/>
        </w:numPr>
        <w:spacing w:after="4" w:line="247" w:lineRule="auto"/>
        <w:ind w:right="244" w:hanging="259"/>
        <w:jc w:val="both"/>
      </w:pPr>
      <w:r>
        <w:rPr>
          <w:rFonts w:ascii="Arial" w:eastAsia="Arial" w:hAnsi="Arial" w:cs="Arial"/>
          <w:i/>
        </w:rPr>
        <w:t xml:space="preserve">Los intereses deudores de las cuentas bancarias. </w:t>
      </w:r>
    </w:p>
    <w:p w:rsidR="00FF384B" w:rsidRDefault="003E3BA9">
      <w:pPr>
        <w:numPr>
          <w:ilvl w:val="0"/>
          <w:numId w:val="60"/>
        </w:numPr>
        <w:spacing w:after="4" w:line="247" w:lineRule="auto"/>
        <w:ind w:right="244" w:hanging="259"/>
        <w:jc w:val="both"/>
      </w:pPr>
      <w:r>
        <w:rPr>
          <w:rFonts w:ascii="Arial" w:eastAsia="Arial" w:hAnsi="Arial" w:cs="Arial"/>
          <w:i/>
        </w:rPr>
        <w:t>Los intereses, recargos y sanciones administrativ</w:t>
      </w:r>
      <w:r>
        <w:rPr>
          <w:rFonts w:ascii="Arial" w:eastAsia="Arial" w:hAnsi="Arial" w:cs="Arial"/>
          <w:i/>
        </w:rPr>
        <w:t xml:space="preserve">as y penales. </w:t>
      </w:r>
    </w:p>
    <w:p w:rsidR="00FF384B" w:rsidRDefault="003E3BA9">
      <w:pPr>
        <w:numPr>
          <w:ilvl w:val="0"/>
          <w:numId w:val="60"/>
        </w:numPr>
        <w:spacing w:after="4" w:line="247" w:lineRule="auto"/>
        <w:ind w:right="244" w:hanging="259"/>
        <w:jc w:val="both"/>
      </w:pPr>
      <w:r>
        <w:rPr>
          <w:noProof/>
        </w:rPr>
        <mc:AlternateContent>
          <mc:Choice Requires="wpg">
            <w:drawing>
              <wp:anchor distT="0" distB="0" distL="114300" distR="114300" simplePos="0" relativeHeight="2517381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9606" name="Group 4496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096" name="Picture 19096"/>
                          <pic:cNvPicPr/>
                        </pic:nvPicPr>
                        <pic:blipFill>
                          <a:blip r:embed="rId62"/>
                          <a:stretch>
                            <a:fillRect/>
                          </a:stretch>
                        </pic:blipFill>
                        <pic:spPr>
                          <a:xfrm rot="-5399999">
                            <a:off x="-1720849" y="1720849"/>
                            <a:ext cx="3797300" cy="355601"/>
                          </a:xfrm>
                          <a:prstGeom prst="rect">
                            <a:avLst/>
                          </a:prstGeom>
                        </pic:spPr>
                      </pic:pic>
                      <wps:wsp>
                        <wps:cNvPr id="19097" name="Rectangle 1909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9098" name="Rectangle 1909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9606" style="width:41.2715pt;height:299pt;position:absolute;mso-position-horizontal-relative:page;mso-position-horizontal:absolute;margin-left:653.71pt;mso-position-vertical-relative:page;margin-top:512.92pt;" coordsize="5241,37973">
                <v:shape id="Picture 19096" style="position:absolute;width:37973;height:3556;left:-17208;top:17208;rotation:-89;" filled="f">
                  <v:imagedata r:id="rId63"/>
                </v:shape>
                <v:rect id="Rectangle 190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09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353 </w:t>
                        </w:r>
                      </w:p>
                    </w:txbxContent>
                  </v:textbox>
                </v:rect>
                <w10:wrap type="square"/>
              </v:group>
            </w:pict>
          </mc:Fallback>
        </mc:AlternateContent>
      </w:r>
      <w:r>
        <w:rPr>
          <w:rFonts w:ascii="Arial" w:eastAsia="Arial" w:hAnsi="Arial" w:cs="Arial"/>
          <w:i/>
        </w:rPr>
        <w:t xml:space="preserve">Los gastos de procedimientos judiciales. </w:t>
      </w:r>
    </w:p>
    <w:p w:rsidR="00FF384B" w:rsidRDefault="003E3BA9">
      <w:pPr>
        <w:spacing w:after="0"/>
        <w:ind w:left="283"/>
      </w:pPr>
      <w:r>
        <w:rPr>
          <w:rFonts w:ascii="Arial" w:eastAsia="Arial" w:hAnsi="Arial" w:cs="Arial"/>
          <w:i/>
        </w:rPr>
        <w:t xml:space="preserve"> </w:t>
      </w:r>
    </w:p>
    <w:p w:rsidR="00FF384B" w:rsidRDefault="003E3BA9">
      <w:pPr>
        <w:numPr>
          <w:ilvl w:val="0"/>
          <w:numId w:val="61"/>
        </w:numPr>
        <w:spacing w:after="4" w:line="247" w:lineRule="auto"/>
        <w:ind w:right="244" w:hanging="10"/>
        <w:jc w:val="both"/>
      </w:pPr>
      <w:r>
        <w:rPr>
          <w:rFonts w:ascii="Arial" w:eastAsia="Arial" w:hAnsi="Arial" w:cs="Arial"/>
          <w:i/>
        </w:rPr>
        <w:t>Los tributos son gasto subvencionable cuando la persona beneficiaria de la subvención los abona efectivamente. En ningún caso se consideran gastos subvencionables los impuestos indirectos cuando sean susceptibles de recuperación o compensación ni los impue</w:t>
      </w:r>
      <w:r>
        <w:rPr>
          <w:rFonts w:ascii="Arial" w:eastAsia="Arial" w:hAnsi="Arial" w:cs="Arial"/>
          <w:i/>
        </w:rPr>
        <w:t xml:space="preserve">stos personales sobre la renta.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En cuanto al Impuesto General Indirectos Canario (IGIC) únicamente serán gastos subvencionables aquellas cantidades abonadas por el beneficiario que representen un coste real, es decir que haya sido efectivamente abonado,</w:t>
      </w:r>
      <w:r>
        <w:rPr>
          <w:rFonts w:ascii="Arial" w:eastAsia="Arial" w:hAnsi="Arial" w:cs="Arial"/>
          <w:i/>
        </w:rPr>
        <w:t xml:space="preserve"> y que no sea deducible. </w:t>
      </w:r>
    </w:p>
    <w:p w:rsidR="00FF384B" w:rsidRDefault="003E3BA9">
      <w:pPr>
        <w:spacing w:after="0"/>
        <w:ind w:left="991"/>
      </w:pPr>
      <w:r>
        <w:rPr>
          <w:rFonts w:ascii="Arial" w:eastAsia="Arial" w:hAnsi="Arial" w:cs="Arial"/>
          <w:i/>
        </w:rPr>
        <w:t xml:space="preserve"> </w:t>
      </w:r>
    </w:p>
    <w:p w:rsidR="00FF384B" w:rsidRDefault="003E3BA9">
      <w:pPr>
        <w:numPr>
          <w:ilvl w:val="0"/>
          <w:numId w:val="61"/>
        </w:numPr>
        <w:spacing w:after="4" w:line="247" w:lineRule="auto"/>
        <w:ind w:right="244" w:hanging="10"/>
        <w:jc w:val="both"/>
      </w:pPr>
      <w:r>
        <w:rPr>
          <w:rFonts w:ascii="Arial" w:eastAsia="Arial" w:hAnsi="Arial" w:cs="Arial"/>
          <w:i/>
        </w:rPr>
        <w:t>Los costes indirectos habrán de imputarse por el beneficiario a la actividad subvencionada en la parte que razonablemente corresponda de acuerdo con principios y normas de contabilidad generalmente admitidas y, en todo caso, en la medida que tales costes c</w:t>
      </w:r>
      <w:r>
        <w:rPr>
          <w:rFonts w:ascii="Arial" w:eastAsia="Arial" w:hAnsi="Arial" w:cs="Arial"/>
          <w:i/>
        </w:rPr>
        <w:t xml:space="preserve">orrespondan al periodo en que efectivamente se realiza la actividad.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37. Subcontratación. </w:t>
      </w:r>
    </w:p>
    <w:p w:rsidR="00FF384B" w:rsidRDefault="003E3BA9">
      <w:pPr>
        <w:spacing w:after="0"/>
        <w:ind w:left="283"/>
      </w:pPr>
      <w:r>
        <w:rPr>
          <w:rFonts w:ascii="Arial" w:eastAsia="Arial" w:hAnsi="Arial" w:cs="Arial"/>
          <w:i/>
        </w:rPr>
        <w:t xml:space="preserve"> </w:t>
      </w:r>
    </w:p>
    <w:p w:rsidR="00FF384B" w:rsidRDefault="003E3BA9">
      <w:pPr>
        <w:numPr>
          <w:ilvl w:val="0"/>
          <w:numId w:val="62"/>
        </w:numPr>
        <w:spacing w:after="4" w:line="247" w:lineRule="auto"/>
        <w:ind w:right="244" w:hanging="10"/>
        <w:jc w:val="both"/>
      </w:pPr>
      <w:r>
        <w:rPr>
          <w:rFonts w:ascii="Arial" w:eastAsia="Arial" w:hAnsi="Arial" w:cs="Arial"/>
          <w:i/>
        </w:rPr>
        <w:t xml:space="preserve">Se entiende subcontratación, cuando el beneficiario concierta con terceras personas la ejecución total o parcial de la actividad que constituye objeto </w:t>
      </w:r>
      <w:r>
        <w:rPr>
          <w:rFonts w:ascii="Arial" w:eastAsia="Arial" w:hAnsi="Arial" w:cs="Arial"/>
          <w:i/>
        </w:rPr>
        <w:t xml:space="preserve">de la subvención. Queda fuera de este concepto la contratación de aquellos gastos en que tenga que incurrir el beneficiario para la realización por sí mismo de 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62"/>
        </w:numPr>
        <w:spacing w:after="4" w:line="247" w:lineRule="auto"/>
        <w:ind w:right="244" w:hanging="10"/>
        <w:jc w:val="both"/>
      </w:pPr>
      <w:r>
        <w:rPr>
          <w:rFonts w:ascii="Arial" w:eastAsia="Arial" w:hAnsi="Arial" w:cs="Arial"/>
          <w:i/>
        </w:rPr>
        <w:t>Las convocatorias, convenios de colaboración o resoluciones regul</w:t>
      </w:r>
      <w:r>
        <w:rPr>
          <w:rFonts w:ascii="Arial" w:eastAsia="Arial" w:hAnsi="Arial" w:cs="Arial"/>
          <w:i/>
        </w:rPr>
        <w:t xml:space="preserve">arán los requisitos de la subcontratación.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 xml:space="preserve">En el supuesto que tal previsión no figure, el beneficiario podrá subcontratar hasta un porcentaje que no supere el 50% de 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62"/>
        </w:numPr>
        <w:spacing w:after="4" w:line="247" w:lineRule="auto"/>
        <w:ind w:right="244" w:hanging="10"/>
        <w:jc w:val="both"/>
      </w:pPr>
      <w:r>
        <w:rPr>
          <w:rFonts w:ascii="Arial" w:eastAsia="Arial" w:hAnsi="Arial" w:cs="Arial"/>
          <w:i/>
        </w:rPr>
        <w:t>Cuando la actividad concertada con terceros sobrepase el</w:t>
      </w:r>
      <w:r>
        <w:rPr>
          <w:rFonts w:ascii="Arial" w:eastAsia="Arial" w:hAnsi="Arial" w:cs="Arial"/>
          <w:i/>
        </w:rPr>
        <w:t xml:space="preserve"> 20 por 100 del importe de la subvención y dicho importe sea superior a 60.000 euros, la subcontratación estará sometida al cumplimiento de los siguientes requisitos: </w:t>
      </w:r>
    </w:p>
    <w:p w:rsidR="00FF384B" w:rsidRDefault="003E3BA9">
      <w:pPr>
        <w:spacing w:after="0"/>
        <w:ind w:left="283"/>
      </w:pPr>
      <w:r>
        <w:rPr>
          <w:rFonts w:ascii="Arial" w:eastAsia="Arial" w:hAnsi="Arial" w:cs="Arial"/>
          <w:i/>
        </w:rPr>
        <w:t xml:space="preserve"> </w:t>
      </w:r>
    </w:p>
    <w:p w:rsidR="00FF384B" w:rsidRDefault="003E3BA9">
      <w:pPr>
        <w:numPr>
          <w:ilvl w:val="0"/>
          <w:numId w:val="63"/>
        </w:numPr>
        <w:spacing w:after="4" w:line="247" w:lineRule="auto"/>
        <w:ind w:right="244" w:hanging="257"/>
        <w:jc w:val="both"/>
      </w:pPr>
      <w:r>
        <w:rPr>
          <w:rFonts w:ascii="Arial" w:eastAsia="Arial" w:hAnsi="Arial" w:cs="Arial"/>
          <w:i/>
        </w:rPr>
        <w:t xml:space="preserve">Que el contrato se celebre por escrito. </w:t>
      </w:r>
    </w:p>
    <w:p w:rsidR="00FF384B" w:rsidRDefault="003E3BA9">
      <w:pPr>
        <w:numPr>
          <w:ilvl w:val="0"/>
          <w:numId w:val="63"/>
        </w:numPr>
        <w:spacing w:after="4" w:line="247" w:lineRule="auto"/>
        <w:ind w:right="244" w:hanging="257"/>
        <w:jc w:val="both"/>
      </w:pPr>
      <w:r>
        <w:rPr>
          <w:rFonts w:ascii="Arial" w:eastAsia="Arial" w:hAnsi="Arial" w:cs="Arial"/>
          <w:i/>
        </w:rPr>
        <w:t>Que la celebración del mismo se autorice prev</w:t>
      </w:r>
      <w:r>
        <w:rPr>
          <w:rFonts w:ascii="Arial" w:eastAsia="Arial" w:hAnsi="Arial" w:cs="Arial"/>
          <w:i/>
        </w:rPr>
        <w:t xml:space="preserve">iamente por la entidad concedente de la subvención en la forma en que se determine en la convocatoria.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38. Financiación de gastos subvencionables. </w:t>
      </w:r>
    </w:p>
    <w:p w:rsidR="00FF384B" w:rsidRDefault="003E3BA9">
      <w:pPr>
        <w:spacing w:after="0"/>
        <w:ind w:left="283"/>
      </w:pPr>
      <w:r>
        <w:rPr>
          <w:rFonts w:ascii="Arial" w:eastAsia="Arial" w:hAnsi="Arial" w:cs="Arial"/>
          <w:b/>
          <w:i/>
        </w:rPr>
        <w:t xml:space="preserve"> </w:t>
      </w:r>
    </w:p>
    <w:p w:rsidR="00FF384B" w:rsidRDefault="003E3BA9">
      <w:pPr>
        <w:numPr>
          <w:ilvl w:val="0"/>
          <w:numId w:val="64"/>
        </w:numPr>
        <w:spacing w:after="4" w:line="247" w:lineRule="auto"/>
        <w:ind w:right="244" w:hanging="10"/>
        <w:jc w:val="both"/>
      </w:pPr>
      <w:r>
        <w:rPr>
          <w:rFonts w:ascii="Arial" w:eastAsia="Arial" w:hAnsi="Arial" w:cs="Arial"/>
          <w:i/>
        </w:rPr>
        <w:t xml:space="preserve">La financiación de los gastos subvencionables, con carácter general no podrá superar el 80% de los mismos, con la excepción de las subvenciones directas por razones humanitarias y de acción social, que podrán financiarse al 100% y en las demás </w:t>
      </w:r>
    </w:p>
    <w:p w:rsidR="00FF384B" w:rsidRDefault="003E3BA9">
      <w:pPr>
        <w:spacing w:after="4" w:line="247" w:lineRule="auto"/>
        <w:ind w:left="278" w:right="244" w:hanging="10"/>
        <w:jc w:val="both"/>
      </w:pPr>
      <w:r>
        <w:rPr>
          <w:rFonts w:ascii="Arial" w:eastAsia="Arial" w:hAnsi="Arial" w:cs="Arial"/>
          <w:i/>
        </w:rPr>
        <w:t>subvencione</w:t>
      </w:r>
      <w:r>
        <w:rPr>
          <w:rFonts w:ascii="Arial" w:eastAsia="Arial" w:hAnsi="Arial" w:cs="Arial"/>
          <w:i/>
        </w:rPr>
        <w:t xml:space="preserve">s en donde las convocatorias establezcan otra cosa, </w:t>
      </w:r>
    </w:p>
    <w:p w:rsidR="00FF384B" w:rsidRDefault="003E3BA9">
      <w:pPr>
        <w:spacing w:after="4" w:line="247" w:lineRule="auto"/>
        <w:ind w:left="278" w:right="244" w:hanging="10"/>
        <w:jc w:val="both"/>
      </w:pPr>
      <w:r>
        <w:rPr>
          <w:rFonts w:ascii="Arial" w:eastAsia="Arial" w:hAnsi="Arial" w:cs="Arial"/>
          <w:i/>
        </w:rPr>
        <w:t xml:space="preserve">siempre y cuando así esté previsto en la revisión anual del Plan Estratégico Municipal de Subvenciones. </w:t>
      </w:r>
    </w:p>
    <w:p w:rsidR="00FF384B" w:rsidRDefault="003E3BA9">
      <w:pPr>
        <w:spacing w:after="0"/>
        <w:ind w:left="283"/>
      </w:pPr>
      <w:r>
        <w:rPr>
          <w:rFonts w:ascii="Arial" w:eastAsia="Arial" w:hAnsi="Arial" w:cs="Arial"/>
          <w:i/>
        </w:rPr>
        <w:t xml:space="preserve"> </w:t>
      </w:r>
    </w:p>
    <w:p w:rsidR="00FF384B" w:rsidRDefault="003E3BA9">
      <w:pPr>
        <w:numPr>
          <w:ilvl w:val="0"/>
          <w:numId w:val="64"/>
        </w:numPr>
        <w:spacing w:after="4" w:line="247" w:lineRule="auto"/>
        <w:ind w:right="244" w:hanging="10"/>
        <w:jc w:val="both"/>
      </w:pPr>
      <w:r>
        <w:rPr>
          <w:noProof/>
        </w:rPr>
        <mc:AlternateContent>
          <mc:Choice Requires="wpg">
            <w:drawing>
              <wp:anchor distT="0" distB="0" distL="114300" distR="114300" simplePos="0" relativeHeight="2517391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49605" name="Group 44960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200" name="Picture 19200"/>
                          <pic:cNvPicPr/>
                        </pic:nvPicPr>
                        <pic:blipFill>
                          <a:blip r:embed="rId62"/>
                          <a:stretch>
                            <a:fillRect/>
                          </a:stretch>
                        </pic:blipFill>
                        <pic:spPr>
                          <a:xfrm rot="-5399999">
                            <a:off x="-1720849" y="1720849"/>
                            <a:ext cx="3797300" cy="355601"/>
                          </a:xfrm>
                          <a:prstGeom prst="rect">
                            <a:avLst/>
                          </a:prstGeom>
                        </pic:spPr>
                      </pic:pic>
                      <wps:wsp>
                        <wps:cNvPr id="19201" name="Rectangle 1920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19202" name="Rectangle 1920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78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49605" style="width:41.2715pt;height:299pt;position:absolute;mso-position-horizontal-relative:page;mso-position-horizontal:absolute;margin-left:653.71pt;mso-position-vertical-relative:page;margin-top:512.92pt;" coordsize="5241,37973">
                <v:shape id="Picture 19200" style="position:absolute;width:37973;height:3556;left:-17208;top:17208;rotation:-89;" filled="f">
                  <v:imagedata r:id="rId63"/>
                </v:shape>
                <v:rect id="Rectangle 1920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20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353 </w:t>
                        </w:r>
                      </w:p>
                    </w:txbxContent>
                  </v:textbox>
                </v:rect>
                <w10:wrap type="square"/>
              </v:group>
            </w:pict>
          </mc:Fallback>
        </mc:AlternateContent>
      </w:r>
      <w:r>
        <w:rPr>
          <w:rFonts w:ascii="Arial" w:eastAsia="Arial" w:hAnsi="Arial" w:cs="Arial"/>
          <w:i/>
        </w:rPr>
        <w:t>Si el beneficiario percibe más ayudas públicas para la misma actividad, la suma de ellas no podrá suponer más del 80 % del coste de la actividad subvencion</w:t>
      </w:r>
      <w:r>
        <w:rPr>
          <w:rFonts w:ascii="Arial" w:eastAsia="Arial" w:hAnsi="Arial" w:cs="Arial"/>
          <w:i/>
        </w:rPr>
        <w:t xml:space="preserve">ada salvo en los supuestos previstos en el apartado anterior. Si de la suma de las ayudas públicas se superase dicho porcentaje, la aportación del Ayuntamiento, deberá reducir su importe hasta cumplir con ese porcentaje. </w:t>
      </w:r>
    </w:p>
    <w:p w:rsidR="00FF384B" w:rsidRDefault="003E3BA9">
      <w:pPr>
        <w:spacing w:after="0"/>
        <w:ind w:left="283"/>
      </w:pPr>
      <w:r>
        <w:rPr>
          <w:rFonts w:ascii="Arial" w:eastAsia="Arial" w:hAnsi="Arial" w:cs="Arial"/>
          <w:i/>
        </w:rPr>
        <w:t xml:space="preserve"> </w:t>
      </w:r>
    </w:p>
    <w:p w:rsidR="00FF384B" w:rsidRDefault="003E3BA9">
      <w:pPr>
        <w:numPr>
          <w:ilvl w:val="0"/>
          <w:numId w:val="64"/>
        </w:numPr>
        <w:spacing w:after="4" w:line="247" w:lineRule="auto"/>
        <w:ind w:right="244" w:hanging="10"/>
        <w:jc w:val="both"/>
      </w:pPr>
      <w:r>
        <w:rPr>
          <w:rFonts w:ascii="Arial" w:eastAsia="Arial" w:hAnsi="Arial" w:cs="Arial"/>
          <w:i/>
        </w:rPr>
        <w:t>En la convocatoria de la subvenc</w:t>
      </w:r>
      <w:r>
        <w:rPr>
          <w:rFonts w:ascii="Arial" w:eastAsia="Arial" w:hAnsi="Arial" w:cs="Arial"/>
          <w:i/>
        </w:rPr>
        <w:t>ión o en el contenido de los convenios de colaboración o resolución, se establecerá el porcentaje de financiación no municipal para cubrir la actividad subvencionada. Deberá justificarse el importe, procedencia y aplicación a la actividad subvencionada, de</w:t>
      </w:r>
      <w:r>
        <w:rPr>
          <w:rFonts w:ascii="Arial" w:eastAsia="Arial" w:hAnsi="Arial" w:cs="Arial"/>
          <w:i/>
        </w:rPr>
        <w:t xml:space="preserve"> la mencionada financiación. </w:t>
      </w:r>
    </w:p>
    <w:p w:rsidR="00FF384B" w:rsidRDefault="003E3BA9">
      <w:pPr>
        <w:spacing w:after="0"/>
        <w:ind w:left="283"/>
      </w:pPr>
      <w:r>
        <w:rPr>
          <w:rFonts w:ascii="Arial" w:eastAsia="Arial" w:hAnsi="Arial" w:cs="Arial"/>
          <w:i/>
        </w:rPr>
        <w:t xml:space="preserve"> </w:t>
      </w:r>
    </w:p>
    <w:p w:rsidR="00FF384B" w:rsidRDefault="003E3BA9">
      <w:pPr>
        <w:numPr>
          <w:ilvl w:val="0"/>
          <w:numId w:val="64"/>
        </w:numPr>
        <w:spacing w:after="4" w:line="247" w:lineRule="auto"/>
        <w:ind w:right="244" w:hanging="10"/>
        <w:jc w:val="both"/>
      </w:pPr>
      <w:r>
        <w:rPr>
          <w:rFonts w:ascii="Arial" w:eastAsia="Arial" w:hAnsi="Arial" w:cs="Arial"/>
          <w:i/>
        </w:rPr>
        <w:t xml:space="preserve">Los rendimientos financieros que generen, en su caso, los fondos librados a los beneficiarios, incrementarán el importe de la subvención concedida, salvo que el beneficiario sea una Administración Pública.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CAPÍTULO II. </w:t>
      </w:r>
      <w:r>
        <w:rPr>
          <w:rFonts w:ascii="Arial" w:eastAsia="Arial" w:hAnsi="Arial" w:cs="Arial"/>
          <w:b/>
          <w:i/>
        </w:rPr>
        <w:t xml:space="preserve">Procedimiento de gestión presupuestaria.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Artículo 39. Aprobación del gasto. </w:t>
      </w:r>
    </w:p>
    <w:p w:rsidR="00FF384B" w:rsidRDefault="003E3BA9">
      <w:pPr>
        <w:spacing w:after="0"/>
        <w:ind w:left="283"/>
      </w:pPr>
      <w:r>
        <w:rPr>
          <w:rFonts w:ascii="Arial" w:eastAsia="Arial" w:hAnsi="Arial" w:cs="Arial"/>
          <w:i/>
        </w:rPr>
        <w:t xml:space="preserve"> </w:t>
      </w:r>
    </w:p>
    <w:p w:rsidR="00FF384B" w:rsidRDefault="003E3BA9">
      <w:pPr>
        <w:numPr>
          <w:ilvl w:val="0"/>
          <w:numId w:val="65"/>
        </w:numPr>
        <w:spacing w:after="4" w:line="247" w:lineRule="auto"/>
        <w:ind w:right="244" w:hanging="10"/>
        <w:jc w:val="both"/>
      </w:pPr>
      <w:r>
        <w:rPr>
          <w:rFonts w:ascii="Arial" w:eastAsia="Arial" w:hAnsi="Arial" w:cs="Arial"/>
          <w:i/>
        </w:rPr>
        <w:t xml:space="preserve">Previamente a la convocatoria de las subvenciones, concesión directa de las mismas o la realización de convenios, deberá efectuarse la aprobación del gasto con los trámites establecidos en el TRLRHL y en la normativa municipal de carácter presupuestario. </w:t>
      </w:r>
    </w:p>
    <w:p w:rsidR="00FF384B" w:rsidRDefault="003E3BA9">
      <w:pPr>
        <w:spacing w:after="0"/>
        <w:ind w:left="283"/>
      </w:pPr>
      <w:r>
        <w:rPr>
          <w:rFonts w:ascii="Arial" w:eastAsia="Arial" w:hAnsi="Arial" w:cs="Arial"/>
          <w:i/>
        </w:rPr>
        <w:t xml:space="preserve"> </w:t>
      </w:r>
    </w:p>
    <w:p w:rsidR="00FF384B" w:rsidRDefault="003E3BA9">
      <w:pPr>
        <w:numPr>
          <w:ilvl w:val="0"/>
          <w:numId w:val="65"/>
        </w:numPr>
        <w:spacing w:after="4" w:line="247" w:lineRule="auto"/>
        <w:ind w:right="244" w:hanging="10"/>
        <w:jc w:val="both"/>
      </w:pPr>
      <w:r>
        <w:rPr>
          <w:rFonts w:ascii="Arial" w:eastAsia="Arial" w:hAnsi="Arial" w:cs="Arial"/>
          <w:i/>
        </w:rPr>
        <w:t xml:space="preserve">No podrán otorgarse subvenciones por cuantía superior a la que se determine en la convocatoria sin que se realice una nueva convocatoria, salvo que se produzca el incremento de los créditos derivado de: </w:t>
      </w:r>
    </w:p>
    <w:p w:rsidR="00FF384B" w:rsidRDefault="003E3BA9">
      <w:pPr>
        <w:spacing w:after="0"/>
        <w:ind w:left="283"/>
      </w:pPr>
      <w:r>
        <w:rPr>
          <w:rFonts w:ascii="Arial" w:eastAsia="Arial" w:hAnsi="Arial" w:cs="Arial"/>
          <w:i/>
        </w:rPr>
        <w:t xml:space="preserve"> </w:t>
      </w:r>
    </w:p>
    <w:p w:rsidR="00FF384B" w:rsidRDefault="003E3BA9">
      <w:pPr>
        <w:numPr>
          <w:ilvl w:val="0"/>
          <w:numId w:val="66"/>
        </w:numPr>
        <w:spacing w:after="4" w:line="247" w:lineRule="auto"/>
        <w:ind w:right="244" w:hanging="259"/>
        <w:jc w:val="both"/>
      </w:pPr>
      <w:r>
        <w:rPr>
          <w:rFonts w:ascii="Arial" w:eastAsia="Arial" w:hAnsi="Arial" w:cs="Arial"/>
          <w:i/>
        </w:rPr>
        <w:t>Una generación, ampliación o incorporación de cr</w:t>
      </w:r>
      <w:r>
        <w:rPr>
          <w:rFonts w:ascii="Arial" w:eastAsia="Arial" w:hAnsi="Arial" w:cs="Arial"/>
          <w:i/>
        </w:rPr>
        <w:t xml:space="preserve">édito. </w:t>
      </w:r>
    </w:p>
    <w:p w:rsidR="00FF384B" w:rsidRDefault="003E3BA9">
      <w:pPr>
        <w:spacing w:after="0"/>
        <w:ind w:left="283"/>
      </w:pPr>
      <w:r>
        <w:rPr>
          <w:rFonts w:ascii="Arial" w:eastAsia="Arial" w:hAnsi="Arial" w:cs="Arial"/>
          <w:i/>
        </w:rPr>
        <w:t xml:space="preserve"> </w:t>
      </w:r>
    </w:p>
    <w:p w:rsidR="00FF384B" w:rsidRDefault="003E3BA9">
      <w:pPr>
        <w:numPr>
          <w:ilvl w:val="0"/>
          <w:numId w:val="66"/>
        </w:numPr>
        <w:spacing w:after="4" w:line="247" w:lineRule="auto"/>
        <w:ind w:right="244" w:hanging="259"/>
        <w:jc w:val="both"/>
      </w:pPr>
      <w:r>
        <w:rPr>
          <w:rFonts w:ascii="Arial" w:eastAsia="Arial" w:hAnsi="Arial" w:cs="Arial"/>
          <w:i/>
        </w:rPr>
        <w:t xml:space="preserve">La existencia de remanentes de otras convocatorias financiadas con cargo al mismo crédito o a créditos incluidos en el mismo programa o en programas del mismo servicio. </w:t>
      </w:r>
    </w:p>
    <w:p w:rsidR="00FF384B" w:rsidRDefault="003E3BA9">
      <w:pPr>
        <w:spacing w:after="0"/>
        <w:ind w:left="283"/>
      </w:pPr>
      <w:r>
        <w:rPr>
          <w:rFonts w:ascii="Arial" w:eastAsia="Arial" w:hAnsi="Arial" w:cs="Arial"/>
          <w:i/>
        </w:rPr>
        <w:t xml:space="preserve"> </w:t>
      </w:r>
    </w:p>
    <w:p w:rsidR="00FF384B" w:rsidRDefault="003E3BA9">
      <w:pPr>
        <w:spacing w:after="149" w:line="240" w:lineRule="auto"/>
        <w:ind w:left="278" w:right="243" w:hanging="10"/>
      </w:pPr>
      <w:r>
        <w:rPr>
          <w:rFonts w:ascii="Arial" w:eastAsia="Arial" w:hAnsi="Arial" w:cs="Arial"/>
          <w:i/>
          <w:color w:val="202020"/>
        </w:rPr>
        <w:t>3. La resolución de la concesión de subvenciones o la firma de los conveni</w:t>
      </w:r>
      <w:r>
        <w:rPr>
          <w:rFonts w:ascii="Arial" w:eastAsia="Arial" w:hAnsi="Arial" w:cs="Arial"/>
          <w:i/>
          <w:color w:val="202020"/>
        </w:rPr>
        <w:t xml:space="preserve">os llevará consigo el compromiso del gasto correspondiente, así como, el reconocimiento de la obligación. </w:t>
      </w:r>
    </w:p>
    <w:p w:rsidR="00FF384B" w:rsidRDefault="003E3BA9">
      <w:pPr>
        <w:spacing w:after="142" w:line="248" w:lineRule="auto"/>
        <w:ind w:left="278" w:right="244" w:hanging="10"/>
        <w:jc w:val="both"/>
      </w:pPr>
      <w:r>
        <w:rPr>
          <w:rFonts w:ascii="Arial" w:eastAsia="Arial" w:hAnsi="Arial" w:cs="Arial"/>
          <w:color w:val="202020"/>
        </w:rPr>
        <w:t xml:space="preserve">Artículo 40. Aprobación del pago. </w:t>
      </w:r>
    </w:p>
    <w:p w:rsidR="00FF384B" w:rsidRDefault="003E3BA9">
      <w:pPr>
        <w:numPr>
          <w:ilvl w:val="0"/>
          <w:numId w:val="67"/>
        </w:numPr>
        <w:spacing w:after="143" w:line="248" w:lineRule="auto"/>
        <w:ind w:right="244" w:hanging="10"/>
        <w:jc w:val="both"/>
      </w:pPr>
      <w:r>
        <w:rPr>
          <w:rFonts w:ascii="Arial" w:eastAsia="Arial" w:hAnsi="Arial" w:cs="Arial"/>
          <w:i/>
          <w:color w:val="202020"/>
        </w:rPr>
        <w:t>El pago de la totalidad de la cantidad prevista en la subvención o convenio no se efectuará, hasta la previa justi</w:t>
      </w:r>
      <w:r>
        <w:rPr>
          <w:rFonts w:ascii="Arial" w:eastAsia="Arial" w:hAnsi="Arial" w:cs="Arial"/>
          <w:i/>
          <w:color w:val="202020"/>
        </w:rPr>
        <w:t xml:space="preserve">ficación por el beneficiario, de la actividad, proyecto, objetivo o adopción del comportamiento para el que se le concedió y en los términos previstos en la presente Ordenanza y en la norma reguladora de la concesión, </w:t>
      </w:r>
    </w:p>
    <w:p w:rsidR="00FF384B" w:rsidRDefault="003E3BA9">
      <w:pPr>
        <w:spacing w:after="143" w:line="248" w:lineRule="auto"/>
        <w:ind w:left="278" w:right="244" w:hanging="10"/>
        <w:jc w:val="both"/>
      </w:pPr>
      <w:r>
        <w:rPr>
          <w:rFonts w:ascii="Arial" w:eastAsia="Arial" w:hAnsi="Arial" w:cs="Arial"/>
          <w:i/>
          <w:color w:val="202020"/>
        </w:rPr>
        <w:t xml:space="preserve">En caso de cierre del ejercicio presupuestario sin efectuarse la totalidad de pagos, deberá quedar reconocido el gasto por la cantidad pendiente. </w:t>
      </w:r>
    </w:p>
    <w:p w:rsidR="00FF384B" w:rsidRDefault="003E3BA9">
      <w:pPr>
        <w:numPr>
          <w:ilvl w:val="0"/>
          <w:numId w:val="67"/>
        </w:numPr>
        <w:spacing w:after="143" w:line="248" w:lineRule="auto"/>
        <w:ind w:right="244" w:hanging="10"/>
        <w:jc w:val="both"/>
      </w:pPr>
      <w:r>
        <w:rPr>
          <w:noProof/>
        </w:rPr>
        <mc:AlternateContent>
          <mc:Choice Requires="wpg">
            <w:drawing>
              <wp:anchor distT="0" distB="0" distL="114300" distR="114300" simplePos="0" relativeHeight="2517401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0049" name="Group 4500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336" name="Picture 19336"/>
                          <pic:cNvPicPr/>
                        </pic:nvPicPr>
                        <pic:blipFill>
                          <a:blip r:embed="rId62"/>
                          <a:stretch>
                            <a:fillRect/>
                          </a:stretch>
                        </pic:blipFill>
                        <pic:spPr>
                          <a:xfrm rot="-5399999">
                            <a:off x="-1720849" y="1720849"/>
                            <a:ext cx="3797300" cy="355601"/>
                          </a:xfrm>
                          <a:prstGeom prst="rect">
                            <a:avLst/>
                          </a:prstGeom>
                        </pic:spPr>
                      </pic:pic>
                      <wps:wsp>
                        <wps:cNvPr id="19337" name="Rectangle 1933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9338" name="Rectangle 1933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w:t>
                              </w:r>
                              <w:r>
                                <w:rPr>
                                  <w:rFonts w:ascii="Arial" w:eastAsia="Arial" w:hAnsi="Arial" w:cs="Arial"/>
                                  <w:sz w:val="12"/>
                                </w:rPr>
                                <w:t xml:space="preserve">nto firmado electrónicamente desde la plataforma esPublico Gestiona | Página 79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0049" style="width:41.2715pt;height:299pt;position:absolute;mso-position-horizontal-relative:page;mso-position-horizontal:absolute;margin-left:653.71pt;mso-position-vertical-relative:page;margin-top:512.92pt;" coordsize="5241,37973">
                <v:shape id="Picture 19336" style="position:absolute;width:37973;height:3556;left:-17208;top:17208;rotation:-89;" filled="f">
                  <v:imagedata r:id="rId63"/>
                </v:shape>
                <v:rect id="Rectangle 1933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33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353 </w:t>
                        </w:r>
                      </w:p>
                    </w:txbxContent>
                  </v:textbox>
                </v:rect>
                <w10:wrap type="square"/>
              </v:group>
            </w:pict>
          </mc:Fallback>
        </mc:AlternateContent>
      </w:r>
      <w:r>
        <w:rPr>
          <w:rFonts w:ascii="Arial" w:eastAsia="Arial" w:hAnsi="Arial" w:cs="Arial"/>
          <w:i/>
          <w:color w:val="202020"/>
        </w:rPr>
        <w:t xml:space="preserve">Se producirá la pérdida del derecho al cobro de la misma total o parcial en el supuesto de falta de justificación adecuada o de concurrencia de las causas de reintegro previstas en los artículos 66 y 67 de esta Ordenanza. </w:t>
      </w:r>
    </w:p>
    <w:p w:rsidR="00FF384B" w:rsidRDefault="003E3BA9">
      <w:pPr>
        <w:numPr>
          <w:ilvl w:val="0"/>
          <w:numId w:val="67"/>
        </w:numPr>
        <w:spacing w:after="143" w:line="248" w:lineRule="auto"/>
        <w:ind w:right="244" w:hanging="10"/>
        <w:jc w:val="both"/>
      </w:pPr>
      <w:r>
        <w:rPr>
          <w:rFonts w:ascii="Arial" w:eastAsia="Arial" w:hAnsi="Arial" w:cs="Arial"/>
          <w:i/>
          <w:color w:val="202020"/>
        </w:rPr>
        <w:t>Cuando de forma expresa en la con</w:t>
      </w:r>
      <w:r>
        <w:rPr>
          <w:rFonts w:ascii="Arial" w:eastAsia="Arial" w:hAnsi="Arial" w:cs="Arial"/>
          <w:i/>
          <w:color w:val="202020"/>
        </w:rPr>
        <w:t xml:space="preserve">vocatoria de la subvención o en el convenio regulador de la misma se establezca, podrán efectuarse pagos a cuenta, que tendrán la consideración de pagos fraccionados. </w:t>
      </w:r>
    </w:p>
    <w:p w:rsidR="00FF384B" w:rsidRDefault="003E3BA9">
      <w:pPr>
        <w:numPr>
          <w:ilvl w:val="0"/>
          <w:numId w:val="67"/>
        </w:numPr>
        <w:spacing w:after="143" w:line="248" w:lineRule="auto"/>
        <w:ind w:right="244" w:hanging="10"/>
        <w:jc w:val="both"/>
      </w:pPr>
      <w:r>
        <w:rPr>
          <w:rFonts w:ascii="Arial" w:eastAsia="Arial" w:hAnsi="Arial" w:cs="Arial"/>
          <w:i/>
          <w:color w:val="202020"/>
        </w:rPr>
        <w:t>También podrán efectuarse pagos anticipados que con las excepciones previstas en esta Or</w:t>
      </w:r>
      <w:r>
        <w:rPr>
          <w:rFonts w:ascii="Arial" w:eastAsia="Arial" w:hAnsi="Arial" w:cs="Arial"/>
          <w:i/>
          <w:color w:val="202020"/>
        </w:rPr>
        <w:t>denanza, no podrán suponer más del 80% de la cantidad subvencionada, que se considerará como entregas de fondos con carácter previo a su justificación. Tanto los posibles pagos a cuenta como los anticipos deberán justificarse en la necesidad para poder lle</w:t>
      </w:r>
      <w:r>
        <w:rPr>
          <w:rFonts w:ascii="Arial" w:eastAsia="Arial" w:hAnsi="Arial" w:cs="Arial"/>
          <w:i/>
          <w:color w:val="202020"/>
        </w:rPr>
        <w:t xml:space="preserve">var a cabo las actuaciones inherentes a la subvención o convenio suscrito. </w:t>
      </w:r>
    </w:p>
    <w:p w:rsidR="00FF384B" w:rsidRDefault="003E3BA9">
      <w:pPr>
        <w:numPr>
          <w:ilvl w:val="1"/>
          <w:numId w:val="67"/>
        </w:numPr>
        <w:spacing w:after="92" w:line="248" w:lineRule="auto"/>
        <w:ind w:right="244" w:hanging="10"/>
        <w:jc w:val="both"/>
      </w:pPr>
      <w:r>
        <w:rPr>
          <w:rFonts w:ascii="Arial" w:eastAsia="Arial" w:hAnsi="Arial" w:cs="Arial"/>
          <w:i/>
          <w:color w:val="202020"/>
        </w:rPr>
        <w:t>En el caso de efectuarse pagos anticipados, podrá exigirse la presentación de garantías mediante depósitos, avales, seguros de caución o garantías personales y solidarias y derecho</w:t>
      </w:r>
      <w:r>
        <w:rPr>
          <w:rFonts w:ascii="Arial" w:eastAsia="Arial" w:hAnsi="Arial" w:cs="Arial"/>
          <w:i/>
          <w:color w:val="202020"/>
        </w:rPr>
        <w:t xml:space="preserve">s reales de garantías, regulados en la legislación vigente, que deberá determinarse en la normativa reguladora de cada tipo de subvención o convenio. </w:t>
      </w:r>
    </w:p>
    <w:p w:rsidR="00FF384B" w:rsidRDefault="003E3BA9">
      <w:pPr>
        <w:numPr>
          <w:ilvl w:val="1"/>
          <w:numId w:val="67"/>
        </w:numPr>
        <w:spacing w:after="143" w:line="248" w:lineRule="auto"/>
        <w:ind w:right="244" w:hanging="10"/>
        <w:jc w:val="both"/>
      </w:pPr>
      <w:r>
        <w:rPr>
          <w:rFonts w:ascii="Arial" w:eastAsia="Arial" w:hAnsi="Arial" w:cs="Arial"/>
          <w:i/>
          <w:color w:val="202020"/>
        </w:rPr>
        <w:t>En ningún caso podrán realizarse pagos anticipados a beneficiarios, cuando hayan solicitado la declaració</w:t>
      </w:r>
      <w:r>
        <w:rPr>
          <w:rFonts w:ascii="Arial" w:eastAsia="Arial" w:hAnsi="Arial" w:cs="Arial"/>
          <w:i/>
          <w:color w:val="202020"/>
        </w:rPr>
        <w:t xml:space="preserve">n de concurso voluntario; hayan sido declarados insolventes en cualquier procedimiento; hayan sido declarados en concurso, salvo que en éste haya adquirido la eficacia un convenio; estén sujetos a intervención judicial; o haber sido inhabilitados conforme </w:t>
      </w:r>
      <w:r>
        <w:rPr>
          <w:rFonts w:ascii="Arial" w:eastAsia="Arial" w:hAnsi="Arial" w:cs="Arial"/>
          <w:i/>
          <w:color w:val="202020"/>
        </w:rPr>
        <w:t xml:space="preserve">a la normativa en materia concursal, sin que haya concluido el período de inhabilitación fijado en la sentencia de calificación del concurso. </w:t>
      </w:r>
    </w:p>
    <w:p w:rsidR="00FF384B" w:rsidRDefault="003E3BA9">
      <w:pPr>
        <w:numPr>
          <w:ilvl w:val="0"/>
          <w:numId w:val="67"/>
        </w:numPr>
        <w:spacing w:after="143" w:line="248" w:lineRule="auto"/>
        <w:ind w:right="244" w:hanging="10"/>
        <w:jc w:val="both"/>
      </w:pPr>
      <w:r>
        <w:rPr>
          <w:rFonts w:ascii="Arial" w:eastAsia="Arial" w:hAnsi="Arial" w:cs="Arial"/>
          <w:i/>
          <w:color w:val="202020"/>
        </w:rPr>
        <w:t xml:space="preserve">Cuando las subvenciones concedidas sean por importe igual o inferior a 10.000 euros, en los supuestos de pagos a </w:t>
      </w:r>
      <w:r>
        <w:rPr>
          <w:rFonts w:ascii="Arial" w:eastAsia="Arial" w:hAnsi="Arial" w:cs="Arial"/>
          <w:i/>
          <w:color w:val="202020"/>
        </w:rPr>
        <w:t xml:space="preserve">cuenta o pagos anticipados, el importe de los mismos será por la totalidad de la subvención concedida. </w:t>
      </w:r>
    </w:p>
    <w:p w:rsidR="00FF384B" w:rsidRDefault="003E3BA9">
      <w:pPr>
        <w:numPr>
          <w:ilvl w:val="0"/>
          <w:numId w:val="67"/>
        </w:numPr>
        <w:spacing w:after="143" w:line="248" w:lineRule="auto"/>
        <w:ind w:right="244" w:hanging="10"/>
        <w:jc w:val="both"/>
      </w:pPr>
      <w:r>
        <w:rPr>
          <w:rFonts w:ascii="Arial" w:eastAsia="Arial" w:hAnsi="Arial" w:cs="Arial"/>
          <w:i/>
          <w:color w:val="202020"/>
        </w:rPr>
        <w:t>El pago de la subvención o convenio en su totalidad, no podrá realizarse en tanto el beneficiario no se halle al corriente en el cumplimiento de sus obl</w:t>
      </w:r>
      <w:r>
        <w:rPr>
          <w:rFonts w:ascii="Arial" w:eastAsia="Arial" w:hAnsi="Arial" w:cs="Arial"/>
          <w:i/>
          <w:color w:val="202020"/>
        </w:rPr>
        <w:t xml:space="preserve">igaciones tributarias, incluidas las municipales o frente a la Seguridad Social o sea deudor por resolución de procedencia de reintegro. </w:t>
      </w:r>
    </w:p>
    <w:p w:rsidR="00FF384B" w:rsidRDefault="003E3BA9">
      <w:pPr>
        <w:numPr>
          <w:ilvl w:val="0"/>
          <w:numId w:val="67"/>
        </w:numPr>
        <w:spacing w:after="143" w:line="248" w:lineRule="auto"/>
        <w:ind w:right="244" w:hanging="10"/>
        <w:jc w:val="both"/>
      </w:pPr>
      <w:r>
        <w:rPr>
          <w:rFonts w:ascii="Arial" w:eastAsia="Arial" w:hAnsi="Arial" w:cs="Arial"/>
          <w:i/>
          <w:color w:val="202020"/>
        </w:rPr>
        <w:t xml:space="preserve">En los casos en que el beneficiario de una subvención cediese el derecho de cobro a un tercero, el pago al cesionario </w:t>
      </w:r>
      <w:r>
        <w:rPr>
          <w:rFonts w:ascii="Arial" w:eastAsia="Arial" w:hAnsi="Arial" w:cs="Arial"/>
          <w:i/>
          <w:color w:val="202020"/>
        </w:rPr>
        <w:t xml:space="preserve">quedará sometido a lo establecido en este artículo. </w:t>
      </w:r>
    </w:p>
    <w:p w:rsidR="00FF384B" w:rsidRDefault="003E3BA9">
      <w:pPr>
        <w:spacing w:after="142" w:line="248" w:lineRule="auto"/>
        <w:ind w:left="278" w:right="244" w:hanging="10"/>
        <w:jc w:val="both"/>
      </w:pPr>
      <w:r>
        <w:rPr>
          <w:rFonts w:ascii="Arial" w:eastAsia="Arial" w:hAnsi="Arial" w:cs="Arial"/>
          <w:color w:val="202020"/>
        </w:rPr>
        <w:t xml:space="preserve">Artículo 41.- Plazo de pago </w:t>
      </w:r>
    </w:p>
    <w:p w:rsidR="00FF384B" w:rsidRDefault="003E3BA9">
      <w:pPr>
        <w:spacing w:after="294" w:line="248" w:lineRule="auto"/>
        <w:ind w:left="278" w:right="244" w:hanging="10"/>
        <w:jc w:val="both"/>
      </w:pPr>
      <w:r>
        <w:rPr>
          <w:rFonts w:ascii="Arial" w:eastAsia="Arial" w:hAnsi="Arial" w:cs="Arial"/>
          <w:i/>
          <w:color w:val="202020"/>
        </w:rPr>
        <w:t xml:space="preserve">Se establece un plazo máximo de dos meses para el pago de las subvenciones directas por razones humanitarias. </w:t>
      </w:r>
    </w:p>
    <w:p w:rsidR="00FF384B" w:rsidRDefault="003E3BA9">
      <w:pPr>
        <w:spacing w:after="93" w:line="248" w:lineRule="auto"/>
        <w:ind w:left="278" w:right="244" w:hanging="10"/>
        <w:jc w:val="both"/>
      </w:pPr>
      <w:r>
        <w:rPr>
          <w:rFonts w:ascii="Arial" w:eastAsia="Arial" w:hAnsi="Arial" w:cs="Arial"/>
          <w:i/>
          <w:color w:val="202020"/>
        </w:rPr>
        <w:t>CAPÍTULO III. Justificación de las subvenciones otorgadas.</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42. Justificación. </w:t>
      </w:r>
    </w:p>
    <w:p w:rsidR="00FF384B" w:rsidRDefault="003E3BA9">
      <w:pPr>
        <w:numPr>
          <w:ilvl w:val="0"/>
          <w:numId w:val="68"/>
        </w:numPr>
        <w:spacing w:after="143" w:line="248" w:lineRule="auto"/>
        <w:ind w:right="244" w:hanging="10"/>
        <w:jc w:val="both"/>
      </w:pPr>
      <w:r>
        <w:rPr>
          <w:noProof/>
        </w:rPr>
        <mc:AlternateContent>
          <mc:Choice Requires="wpg">
            <w:drawing>
              <wp:anchor distT="0" distB="0" distL="114300" distR="114300" simplePos="0" relativeHeight="2517411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0578" name="Group 45057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475" name="Picture 19475"/>
                          <pic:cNvPicPr/>
                        </pic:nvPicPr>
                        <pic:blipFill>
                          <a:blip r:embed="rId62"/>
                          <a:stretch>
                            <a:fillRect/>
                          </a:stretch>
                        </pic:blipFill>
                        <pic:spPr>
                          <a:xfrm rot="-5399999">
                            <a:off x="-1720849" y="1720849"/>
                            <a:ext cx="3797300" cy="355601"/>
                          </a:xfrm>
                          <a:prstGeom prst="rect">
                            <a:avLst/>
                          </a:prstGeom>
                        </pic:spPr>
                      </pic:pic>
                      <wps:wsp>
                        <wps:cNvPr id="19476" name="Rectangle 1947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9477" name="Rectangle 1947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0578" style="width:41.2715pt;height:299pt;position:absolute;mso-position-horizontal-relative:page;mso-position-horizontal:absolute;margin-left:653.71pt;mso-position-vertical-relative:page;margin-top:512.92pt;" coordsize="5241,37973">
                <v:shape id="Picture 19475" style="position:absolute;width:37973;height:3556;left:-17208;top:17208;rotation:-89;" filled="f">
                  <v:imagedata r:id="rId63"/>
                </v:shape>
                <v:rect id="Rectangle 1947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47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353 </w:t>
                        </w:r>
                      </w:p>
                    </w:txbxContent>
                  </v:textbox>
                </v:rect>
                <w10:wrap type="square"/>
              </v:group>
            </w:pict>
          </mc:Fallback>
        </mc:AlternateContent>
      </w:r>
      <w:r>
        <w:rPr>
          <w:rFonts w:ascii="Arial" w:eastAsia="Arial" w:hAnsi="Arial" w:cs="Arial"/>
          <w:i/>
          <w:color w:val="202020"/>
        </w:rPr>
        <w:t>La justificación de las subven</w:t>
      </w:r>
      <w:r>
        <w:rPr>
          <w:rFonts w:ascii="Arial" w:eastAsia="Arial" w:hAnsi="Arial" w:cs="Arial"/>
          <w:i/>
          <w:color w:val="202020"/>
        </w:rPr>
        <w:t>ciones otorgadas por el Ayuntamiento de Candelaria, constituye una comprobación del adecuado uso de los fondos públicos recibidos por el beneficiario, la prueba de que los fondos públicos se han aplicado a la finalidad para la que fueron concedidos y una d</w:t>
      </w:r>
      <w:r>
        <w:rPr>
          <w:rFonts w:ascii="Arial" w:eastAsia="Arial" w:hAnsi="Arial" w:cs="Arial"/>
          <w:i/>
          <w:color w:val="202020"/>
        </w:rPr>
        <w:t xml:space="preserve">emostración del cumplimiento de las condiciones impuestas y de los resultados obtenidos. </w:t>
      </w:r>
    </w:p>
    <w:p w:rsidR="00FF384B" w:rsidRDefault="003E3BA9">
      <w:pPr>
        <w:numPr>
          <w:ilvl w:val="0"/>
          <w:numId w:val="68"/>
        </w:numPr>
        <w:spacing w:after="143" w:line="248" w:lineRule="auto"/>
        <w:ind w:right="244" w:hanging="10"/>
        <w:jc w:val="both"/>
      </w:pPr>
      <w:r>
        <w:rPr>
          <w:rFonts w:ascii="Arial" w:eastAsia="Arial" w:hAnsi="Arial" w:cs="Arial"/>
          <w:i/>
          <w:color w:val="202020"/>
        </w:rPr>
        <w:t xml:space="preserve">La justificación del cumplimiento de las condiciones impuestas y de la consecución de los objetivos previstos en el acto de concesión de la subvención podrá revestir </w:t>
      </w:r>
      <w:r>
        <w:rPr>
          <w:rFonts w:ascii="Arial" w:eastAsia="Arial" w:hAnsi="Arial" w:cs="Arial"/>
          <w:i/>
          <w:color w:val="202020"/>
        </w:rPr>
        <w:t xml:space="preserve">la forma de cuenta justificativa del gasto realizado o acreditarse dicho gasto por módulos o mediante la presentación de estados contables. </w:t>
      </w:r>
    </w:p>
    <w:p w:rsidR="00FF384B" w:rsidRDefault="003E3BA9">
      <w:pPr>
        <w:numPr>
          <w:ilvl w:val="0"/>
          <w:numId w:val="68"/>
        </w:numPr>
        <w:spacing w:after="143" w:line="248" w:lineRule="auto"/>
        <w:ind w:right="244" w:hanging="10"/>
        <w:jc w:val="both"/>
      </w:pPr>
      <w:r>
        <w:rPr>
          <w:rFonts w:ascii="Arial" w:eastAsia="Arial" w:hAnsi="Arial" w:cs="Arial"/>
          <w:i/>
          <w:color w:val="202020"/>
        </w:rPr>
        <w:t>Los gastos se acreditarán mediante facturas y demás documentos de valor probatorio equivalente con validez en el tr</w:t>
      </w:r>
      <w:r>
        <w:rPr>
          <w:rFonts w:ascii="Arial" w:eastAsia="Arial" w:hAnsi="Arial" w:cs="Arial"/>
          <w:i/>
          <w:color w:val="202020"/>
        </w:rPr>
        <w:t>áfico jurídico mercantil o con eficacia administrativa, en los términos establecidos reglamentariamente. La acreditación de los gastos también podrá efectuarse mediante facturas electrónicas, siempre que cumplan los requisitos exigidos para su aceptación e</w:t>
      </w:r>
      <w:r>
        <w:rPr>
          <w:rFonts w:ascii="Arial" w:eastAsia="Arial" w:hAnsi="Arial" w:cs="Arial"/>
          <w:i/>
          <w:color w:val="202020"/>
        </w:rPr>
        <w:t xml:space="preserve">n el ámbito tributario. </w:t>
      </w:r>
    </w:p>
    <w:p w:rsidR="00FF384B" w:rsidRDefault="003E3BA9">
      <w:pPr>
        <w:numPr>
          <w:ilvl w:val="0"/>
          <w:numId w:val="68"/>
        </w:numPr>
        <w:spacing w:after="143" w:line="248" w:lineRule="auto"/>
        <w:ind w:right="244" w:hanging="10"/>
        <w:jc w:val="both"/>
      </w:pPr>
      <w:r>
        <w:rPr>
          <w:rFonts w:ascii="Arial" w:eastAsia="Arial" w:hAnsi="Arial" w:cs="Arial"/>
          <w:i/>
          <w:color w:val="202020"/>
        </w:rPr>
        <w:t>Las subvenciones que se concedan en atención a la concurrencia de una determinada situación en el perceptor no requerirán otra justificación que la acreditación por cualquier medio admisible en derecho de dicha situación previament</w:t>
      </w:r>
      <w:r>
        <w:rPr>
          <w:rFonts w:ascii="Arial" w:eastAsia="Arial" w:hAnsi="Arial" w:cs="Arial"/>
          <w:i/>
          <w:color w:val="202020"/>
        </w:rPr>
        <w:t xml:space="preserve">e a la concesión, sin perjuicio de los controles que hubieran podido establecerse para verificar su existencia. </w:t>
      </w:r>
    </w:p>
    <w:p w:rsidR="00FF384B" w:rsidRDefault="003E3BA9">
      <w:pPr>
        <w:numPr>
          <w:ilvl w:val="0"/>
          <w:numId w:val="68"/>
        </w:numPr>
        <w:spacing w:after="143" w:line="248" w:lineRule="auto"/>
        <w:ind w:right="244" w:hanging="10"/>
        <w:jc w:val="both"/>
      </w:pPr>
      <w:r>
        <w:rPr>
          <w:rFonts w:ascii="Arial" w:eastAsia="Arial" w:hAnsi="Arial" w:cs="Arial"/>
          <w:i/>
          <w:color w:val="202020"/>
        </w:rPr>
        <w:t>El incumplimiento de la obligación de justificación de la subvención o la justificación insuficiente de la misma llevarán consigo la pérdida de</w:t>
      </w:r>
      <w:r>
        <w:rPr>
          <w:rFonts w:ascii="Arial" w:eastAsia="Arial" w:hAnsi="Arial" w:cs="Arial"/>
          <w:i/>
          <w:color w:val="202020"/>
        </w:rPr>
        <w:t xml:space="preserve">l derecho al cobro o el reintegro de las cantidades percibidas y, en su caso, los intereses de demora que procedan. </w:t>
      </w:r>
    </w:p>
    <w:p w:rsidR="00FF384B" w:rsidRDefault="003E3BA9">
      <w:pPr>
        <w:spacing w:after="142" w:line="248" w:lineRule="auto"/>
        <w:ind w:left="278" w:right="244" w:hanging="10"/>
        <w:jc w:val="both"/>
      </w:pPr>
      <w:r>
        <w:rPr>
          <w:rFonts w:ascii="Arial" w:eastAsia="Arial" w:hAnsi="Arial" w:cs="Arial"/>
          <w:color w:val="202020"/>
        </w:rPr>
        <w:t xml:space="preserve">Artículo 43. Formas de documentar la justificación de las subvenciones. </w:t>
      </w:r>
    </w:p>
    <w:p w:rsidR="00FF384B" w:rsidRDefault="003E3BA9">
      <w:pPr>
        <w:spacing w:after="143" w:line="248" w:lineRule="auto"/>
        <w:ind w:left="278" w:right="244" w:hanging="10"/>
        <w:jc w:val="both"/>
      </w:pPr>
      <w:r>
        <w:rPr>
          <w:rFonts w:ascii="Arial" w:eastAsia="Arial" w:hAnsi="Arial" w:cs="Arial"/>
          <w:i/>
          <w:color w:val="202020"/>
        </w:rPr>
        <w:t>La modalidad de justificación de las subvenciones vendrá especific</w:t>
      </w:r>
      <w:r>
        <w:rPr>
          <w:rFonts w:ascii="Arial" w:eastAsia="Arial" w:hAnsi="Arial" w:cs="Arial"/>
          <w:i/>
          <w:color w:val="202020"/>
        </w:rPr>
        <w:t xml:space="preserve">ada en la convocatoria de la subvención o en el texto del convenio de colaboración, y deberá revestir una de las siguientes formas: </w:t>
      </w:r>
    </w:p>
    <w:p w:rsidR="00FF384B" w:rsidRDefault="003E3BA9">
      <w:pPr>
        <w:spacing w:after="85" w:line="248" w:lineRule="auto"/>
        <w:ind w:left="1013" w:right="244" w:hanging="10"/>
        <w:jc w:val="both"/>
      </w:pPr>
      <w:r>
        <w:rPr>
          <w:rFonts w:ascii="Arial" w:eastAsia="Arial" w:hAnsi="Arial" w:cs="Arial"/>
          <w:i/>
          <w:color w:val="202020"/>
        </w:rPr>
        <w:t xml:space="preserve">a) Cuenta justificativa del gasto realizado, adoptando una de las formas previstas en los artículos 44, 45 y 46 de la presente Ordenanza. b) Presentación de estados contables. </w:t>
      </w:r>
    </w:p>
    <w:p w:rsidR="00FF384B" w:rsidRDefault="003E3BA9">
      <w:pPr>
        <w:spacing w:after="89" w:line="248" w:lineRule="auto"/>
        <w:ind w:left="1013" w:right="244" w:hanging="10"/>
        <w:jc w:val="both"/>
      </w:pPr>
      <w:r>
        <w:rPr>
          <w:rFonts w:ascii="Arial" w:eastAsia="Arial" w:hAnsi="Arial" w:cs="Arial"/>
          <w:i/>
          <w:color w:val="202020"/>
        </w:rPr>
        <w:t xml:space="preserve">c) Módulos. </w:t>
      </w:r>
    </w:p>
    <w:p w:rsidR="00FF384B" w:rsidRDefault="003E3BA9">
      <w:pPr>
        <w:spacing w:after="143" w:line="248" w:lineRule="auto"/>
        <w:ind w:left="278" w:right="244" w:hanging="10"/>
        <w:jc w:val="both"/>
      </w:pPr>
      <w:r>
        <w:rPr>
          <w:rFonts w:ascii="Arial" w:eastAsia="Arial" w:hAnsi="Arial" w:cs="Arial"/>
          <w:i/>
          <w:color w:val="202020"/>
        </w:rPr>
        <w:t>En las convocatorias de subvenciones, en los convenios de colabora</w:t>
      </w:r>
      <w:r>
        <w:rPr>
          <w:rFonts w:ascii="Arial" w:eastAsia="Arial" w:hAnsi="Arial" w:cs="Arial"/>
          <w:i/>
          <w:color w:val="202020"/>
        </w:rPr>
        <w:t xml:space="preserve">ción y en las resoluciones de concesión, se deberá especificar la modalidad de justificación a emplear, siendo la modalidad ordinaria la rendición de cuenta justificativa del gasto realizado. </w:t>
      </w:r>
      <w:r>
        <w:rPr>
          <w:rFonts w:ascii="Arial" w:eastAsia="Arial" w:hAnsi="Arial" w:cs="Arial"/>
          <w:color w:val="202020"/>
        </w:rPr>
        <w:t>Artículo 44. Justificación mediante rendición de cuenta justific</w:t>
      </w:r>
      <w:r>
        <w:rPr>
          <w:rFonts w:ascii="Arial" w:eastAsia="Arial" w:hAnsi="Arial" w:cs="Arial"/>
          <w:color w:val="202020"/>
        </w:rPr>
        <w:t xml:space="preserve">ativa del gasto realizado. </w:t>
      </w:r>
    </w:p>
    <w:p w:rsidR="00FF384B" w:rsidRDefault="003E3BA9">
      <w:pPr>
        <w:numPr>
          <w:ilvl w:val="0"/>
          <w:numId w:val="69"/>
        </w:numPr>
        <w:spacing w:after="143" w:line="248" w:lineRule="auto"/>
        <w:ind w:right="244" w:hanging="10"/>
        <w:jc w:val="both"/>
      </w:pPr>
      <w:r>
        <w:rPr>
          <w:rFonts w:ascii="Arial" w:eastAsia="Arial" w:hAnsi="Arial" w:cs="Arial"/>
          <w:i/>
          <w:color w:val="202020"/>
        </w:rPr>
        <w:t>La cuenta justificativa que ha de rendirse ante el órgano concedente de la subvención, constituye un acto obligatorio del beneficiario o de la entidad colaboradora y consiste en la justificación del gasto realizado, bajo respons</w:t>
      </w:r>
      <w:r>
        <w:rPr>
          <w:rFonts w:ascii="Arial" w:eastAsia="Arial" w:hAnsi="Arial" w:cs="Arial"/>
          <w:i/>
          <w:color w:val="202020"/>
        </w:rPr>
        <w:t>abilidad del declarante, mediante los justificantes directos del mismo. Se tratará de facturas y demás documentos de valor probatorio equivalente, con validez en el tráfico jurídico mercantil o con eficacia administrativa, que permitan acreditar el cumplim</w:t>
      </w:r>
      <w:r>
        <w:rPr>
          <w:rFonts w:ascii="Arial" w:eastAsia="Arial" w:hAnsi="Arial" w:cs="Arial"/>
          <w:i/>
          <w:color w:val="202020"/>
        </w:rPr>
        <w:t xml:space="preserve">iento del objeto de la subvención pública. </w:t>
      </w:r>
    </w:p>
    <w:p w:rsidR="00FF384B" w:rsidRDefault="003E3BA9">
      <w:pPr>
        <w:numPr>
          <w:ilvl w:val="0"/>
          <w:numId w:val="69"/>
        </w:numPr>
        <w:spacing w:after="143" w:line="248" w:lineRule="auto"/>
        <w:ind w:right="244" w:hanging="10"/>
        <w:jc w:val="both"/>
      </w:pPr>
      <w:r>
        <w:rPr>
          <w:rFonts w:ascii="Arial" w:eastAsia="Arial" w:hAnsi="Arial" w:cs="Arial"/>
          <w:i/>
          <w:color w:val="202020"/>
        </w:rPr>
        <w:t>La cuenta justificativa estará formada por la Memoria de evaluación de la actividad subvencionada llevada a cabo, consistente en la declaración detallada de las actividades realizadas que han sido financiadas con</w:t>
      </w:r>
      <w:r>
        <w:rPr>
          <w:rFonts w:ascii="Arial" w:eastAsia="Arial" w:hAnsi="Arial" w:cs="Arial"/>
          <w:i/>
          <w:color w:val="202020"/>
        </w:rPr>
        <w:t xml:space="preserve"> la subvención y su coste. El contenido de la memoria será, al menos: </w:t>
      </w:r>
    </w:p>
    <w:p w:rsidR="00FF384B" w:rsidRDefault="003E3BA9">
      <w:pPr>
        <w:numPr>
          <w:ilvl w:val="1"/>
          <w:numId w:val="69"/>
        </w:numPr>
        <w:spacing w:after="92" w:line="248" w:lineRule="auto"/>
        <w:ind w:right="244" w:hanging="10"/>
        <w:jc w:val="both"/>
      </w:pPr>
      <w:r>
        <w:rPr>
          <w:noProof/>
        </w:rPr>
        <mc:AlternateContent>
          <mc:Choice Requires="wpg">
            <w:drawing>
              <wp:anchor distT="0" distB="0" distL="114300" distR="114300" simplePos="0" relativeHeight="2517422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0619" name="Group 45061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631" name="Picture 19631"/>
                          <pic:cNvPicPr/>
                        </pic:nvPicPr>
                        <pic:blipFill>
                          <a:blip r:embed="rId62"/>
                          <a:stretch>
                            <a:fillRect/>
                          </a:stretch>
                        </pic:blipFill>
                        <pic:spPr>
                          <a:xfrm rot="-5399999">
                            <a:off x="-1720849" y="1720849"/>
                            <a:ext cx="3797300" cy="355601"/>
                          </a:xfrm>
                          <a:prstGeom prst="rect">
                            <a:avLst/>
                          </a:prstGeom>
                        </pic:spPr>
                      </pic:pic>
                      <wps:wsp>
                        <wps:cNvPr id="19632" name="Rectangle 1963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9633" name="Rectangle 1963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Página</w:t>
                              </w:r>
                              <w:r>
                                <w:rPr>
                                  <w:rFonts w:ascii="Arial" w:eastAsia="Arial" w:hAnsi="Arial" w:cs="Arial"/>
                                  <w:sz w:val="12"/>
                                </w:rPr>
                                <w:t xml:space="preserve"> 81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0619" style="width:41.2715pt;height:299pt;position:absolute;mso-position-horizontal-relative:page;mso-position-horizontal:absolute;margin-left:653.71pt;mso-position-vertical-relative:page;margin-top:512.92pt;" coordsize="5241,37973">
                <v:shape id="Picture 19631" style="position:absolute;width:37973;height:3556;left:-17208;top:17208;rotation:-89;" filled="f">
                  <v:imagedata r:id="rId63"/>
                </v:shape>
                <v:rect id="Rectangle 1963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63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353 </w:t>
                        </w:r>
                      </w:p>
                    </w:txbxContent>
                  </v:textbox>
                </v:rect>
                <w10:wrap type="square"/>
              </v:group>
            </w:pict>
          </mc:Fallback>
        </mc:AlternateContent>
      </w:r>
      <w:r>
        <w:rPr>
          <w:rFonts w:ascii="Arial" w:eastAsia="Arial" w:hAnsi="Arial" w:cs="Arial"/>
          <w:i/>
          <w:color w:val="202020"/>
        </w:rPr>
        <w:t xml:space="preserve">Una memoria de actuación justificativa del cumplimiento de las condiciones impuestas en la concesión de la subvención, con indicación de las actividades realizadas y de los resultados obtenidos. </w:t>
      </w:r>
    </w:p>
    <w:p w:rsidR="00FF384B" w:rsidRDefault="003E3BA9">
      <w:pPr>
        <w:numPr>
          <w:ilvl w:val="1"/>
          <w:numId w:val="69"/>
        </w:numPr>
        <w:spacing w:after="93" w:line="248" w:lineRule="auto"/>
        <w:ind w:right="244" w:hanging="10"/>
        <w:jc w:val="both"/>
      </w:pPr>
      <w:r>
        <w:rPr>
          <w:rFonts w:ascii="Arial" w:eastAsia="Arial" w:hAnsi="Arial" w:cs="Arial"/>
          <w:i/>
          <w:color w:val="202020"/>
        </w:rPr>
        <w:t>Una memoria económica justificativa del coste de</w:t>
      </w:r>
      <w:r>
        <w:rPr>
          <w:rFonts w:ascii="Arial" w:eastAsia="Arial" w:hAnsi="Arial" w:cs="Arial"/>
          <w:i/>
          <w:color w:val="202020"/>
        </w:rPr>
        <w:t xml:space="preserve"> las actividades realizadas, que contendrá: </w:t>
      </w:r>
    </w:p>
    <w:p w:rsidR="00FF384B" w:rsidRDefault="003E3BA9">
      <w:pPr>
        <w:numPr>
          <w:ilvl w:val="2"/>
          <w:numId w:val="69"/>
        </w:numPr>
        <w:spacing w:after="94" w:line="248" w:lineRule="auto"/>
        <w:ind w:right="244" w:hanging="360"/>
        <w:jc w:val="both"/>
      </w:pPr>
      <w:r>
        <w:rPr>
          <w:rFonts w:ascii="Arial" w:eastAsia="Arial" w:hAnsi="Arial" w:cs="Arial"/>
          <w:i/>
          <w:color w:val="202020"/>
        </w:rPr>
        <w:t>a) Una relación clasificada de los gastos e inversiones de la actividad, con identificación del acreedor y del documento, su importe, fecha de emisión y, en su caso, fecha de pago. En caso de que la subvención se otorgue con arreglo a un presupuesto, se in</w:t>
      </w:r>
      <w:r>
        <w:rPr>
          <w:rFonts w:ascii="Arial" w:eastAsia="Arial" w:hAnsi="Arial" w:cs="Arial"/>
          <w:i/>
          <w:color w:val="202020"/>
        </w:rPr>
        <w:t xml:space="preserve">dicarán las desviaciones acaecidas. </w:t>
      </w:r>
    </w:p>
    <w:p w:rsidR="00FF384B" w:rsidRDefault="003E3BA9">
      <w:pPr>
        <w:numPr>
          <w:ilvl w:val="2"/>
          <w:numId w:val="69"/>
        </w:numPr>
        <w:spacing w:after="93" w:line="248" w:lineRule="auto"/>
        <w:ind w:right="244" w:hanging="360"/>
        <w:jc w:val="both"/>
      </w:pPr>
      <w:r>
        <w:rPr>
          <w:rFonts w:ascii="Arial" w:eastAsia="Arial" w:hAnsi="Arial" w:cs="Arial"/>
          <w:i/>
          <w:color w:val="202020"/>
        </w:rPr>
        <w:t>b) Las facturas o documentos de valor probatorio equivalente en el tráfico jurídico mercantil o con eficacia administrativa incorporados en la relación a que se hace referencia en el párrafo anterior y, en su caso, la d</w:t>
      </w:r>
      <w:r>
        <w:rPr>
          <w:rFonts w:ascii="Arial" w:eastAsia="Arial" w:hAnsi="Arial" w:cs="Arial"/>
          <w:i/>
          <w:color w:val="202020"/>
        </w:rPr>
        <w:t xml:space="preserve">ocumentación acreditativa del pago, por el importe de la subvención concedida. El Ayuntamiento podrá comprobar por muestreo el resto de los costes no acreditados. </w:t>
      </w:r>
    </w:p>
    <w:p w:rsidR="00FF384B" w:rsidRDefault="003E3BA9">
      <w:pPr>
        <w:numPr>
          <w:ilvl w:val="2"/>
          <w:numId w:val="69"/>
        </w:numPr>
        <w:spacing w:after="98" w:line="240" w:lineRule="auto"/>
        <w:ind w:right="244" w:hanging="360"/>
        <w:jc w:val="both"/>
      </w:pPr>
      <w:r>
        <w:rPr>
          <w:rFonts w:ascii="Arial" w:eastAsia="Arial" w:hAnsi="Arial" w:cs="Arial"/>
          <w:i/>
          <w:color w:val="202020"/>
        </w:rPr>
        <w:t>c) Indicación, en su caso, de los criterios de reparto de los costes generales y/o indirecto</w:t>
      </w:r>
      <w:r>
        <w:rPr>
          <w:rFonts w:ascii="Arial" w:eastAsia="Arial" w:hAnsi="Arial" w:cs="Arial"/>
          <w:i/>
          <w:color w:val="202020"/>
        </w:rPr>
        <w:t xml:space="preserve">s incorporados en la relación a que se hace referencia en el apartado a), excepto en aquellos casos en que las bases reguladoras de la subvención hayan previsto su compensación mediante un tanto alzado sin necesidad de justificación. </w:t>
      </w:r>
    </w:p>
    <w:p w:rsidR="00FF384B" w:rsidRDefault="003E3BA9">
      <w:pPr>
        <w:numPr>
          <w:ilvl w:val="2"/>
          <w:numId w:val="69"/>
        </w:numPr>
        <w:spacing w:after="143" w:line="248" w:lineRule="auto"/>
        <w:ind w:right="244" w:hanging="360"/>
        <w:jc w:val="both"/>
      </w:pPr>
      <w:r>
        <w:rPr>
          <w:rFonts w:ascii="Arial" w:eastAsia="Arial" w:hAnsi="Arial" w:cs="Arial"/>
          <w:i/>
          <w:color w:val="202020"/>
        </w:rPr>
        <w:t xml:space="preserve">d) Una relación detallada de otros ingresos o subvenciones que hayan financiado la actividad subvencionada con indicación del importe y su procedencia. </w:t>
      </w:r>
    </w:p>
    <w:p w:rsidR="00FF384B" w:rsidRDefault="003E3BA9">
      <w:pPr>
        <w:numPr>
          <w:ilvl w:val="2"/>
          <w:numId w:val="69"/>
        </w:numPr>
        <w:spacing w:after="92" w:line="248" w:lineRule="auto"/>
        <w:ind w:right="244" w:hanging="360"/>
        <w:jc w:val="both"/>
      </w:pPr>
      <w:r>
        <w:rPr>
          <w:rFonts w:ascii="Arial" w:eastAsia="Arial" w:hAnsi="Arial" w:cs="Arial"/>
          <w:i/>
          <w:color w:val="202020"/>
        </w:rPr>
        <w:t xml:space="preserve">e) Los tres presupuestos solicitados por el beneficiario, en los supuestos que resulte obligatorio. </w:t>
      </w:r>
    </w:p>
    <w:p w:rsidR="00FF384B" w:rsidRDefault="003E3BA9">
      <w:pPr>
        <w:numPr>
          <w:ilvl w:val="2"/>
          <w:numId w:val="69"/>
        </w:numPr>
        <w:spacing w:after="90" w:line="248" w:lineRule="auto"/>
        <w:ind w:right="244" w:hanging="360"/>
        <w:jc w:val="both"/>
      </w:pPr>
      <w:r>
        <w:rPr>
          <w:rFonts w:ascii="Arial" w:eastAsia="Arial" w:hAnsi="Arial" w:cs="Arial"/>
          <w:i/>
          <w:color w:val="202020"/>
        </w:rPr>
        <w:t>f)</w:t>
      </w:r>
      <w:r>
        <w:rPr>
          <w:rFonts w:ascii="Arial" w:eastAsia="Arial" w:hAnsi="Arial" w:cs="Arial"/>
          <w:i/>
          <w:color w:val="202020"/>
        </w:rPr>
        <w:t xml:space="preserve"> En su caso, la carta de pago de reintegro en el supuesto de remanentes no aplicados así como de los intereses derivados de los mismos. </w:t>
      </w:r>
    </w:p>
    <w:p w:rsidR="00FF384B" w:rsidRDefault="003E3BA9">
      <w:pPr>
        <w:numPr>
          <w:ilvl w:val="0"/>
          <w:numId w:val="69"/>
        </w:numPr>
        <w:spacing w:after="143" w:line="248" w:lineRule="auto"/>
        <w:ind w:right="244" w:hanging="10"/>
        <w:jc w:val="both"/>
      </w:pPr>
      <w:r>
        <w:rPr>
          <w:rFonts w:ascii="Arial" w:eastAsia="Arial" w:hAnsi="Arial" w:cs="Arial"/>
          <w:i/>
          <w:color w:val="202020"/>
        </w:rPr>
        <w:t>No obstante lo anterior, cuando por razón del objeto o de la naturaleza de la subvención, no fuera preciso presentar la</w:t>
      </w:r>
      <w:r>
        <w:rPr>
          <w:rFonts w:ascii="Arial" w:eastAsia="Arial" w:hAnsi="Arial" w:cs="Arial"/>
          <w:i/>
          <w:color w:val="202020"/>
        </w:rPr>
        <w:t xml:space="preserve"> documentación prevista en el apartado anterior, las convocatorias de la subvención determinarán el contenido de la cuenta justificativa. </w:t>
      </w:r>
    </w:p>
    <w:p w:rsidR="00FF384B" w:rsidRDefault="003E3BA9">
      <w:pPr>
        <w:spacing w:after="142" w:line="248" w:lineRule="auto"/>
        <w:ind w:left="278" w:right="244" w:hanging="10"/>
        <w:jc w:val="both"/>
      </w:pPr>
      <w:r>
        <w:rPr>
          <w:rFonts w:ascii="Arial" w:eastAsia="Arial" w:hAnsi="Arial" w:cs="Arial"/>
          <w:color w:val="202020"/>
        </w:rPr>
        <w:t xml:space="preserve">Artículo 45. Justificación mediante cuenta justificativa con aportación de informe de auditor. </w:t>
      </w:r>
    </w:p>
    <w:p w:rsidR="00FF384B" w:rsidRDefault="003E3BA9">
      <w:pPr>
        <w:numPr>
          <w:ilvl w:val="0"/>
          <w:numId w:val="70"/>
        </w:numPr>
        <w:spacing w:after="143" w:line="248" w:lineRule="auto"/>
        <w:ind w:right="244" w:hanging="10"/>
        <w:jc w:val="both"/>
      </w:pPr>
      <w:r>
        <w:rPr>
          <w:rFonts w:ascii="Arial" w:eastAsia="Arial" w:hAnsi="Arial" w:cs="Arial"/>
          <w:i/>
          <w:color w:val="202020"/>
        </w:rPr>
        <w:t>En las subvenciones concedidas por importe igual o superior a 150.000 euros, sus beneficiarios deberán justificar la misma con la aportación de un informe de auditor de cuentas inscrito como ejerciente en el Registro Oficial de Auditores de Cuentas (ROAC),</w:t>
      </w:r>
      <w:r>
        <w:rPr>
          <w:rFonts w:ascii="Arial" w:eastAsia="Arial" w:hAnsi="Arial" w:cs="Arial"/>
          <w:i/>
          <w:color w:val="202020"/>
        </w:rPr>
        <w:t xml:space="preserve"> dependiente del Instituto de Contabilidad y Auditoría de Cuentas (ICAC), salvo que en las convocatorias o en el convenio de colaboración se establezca otro procedimiento. </w:t>
      </w:r>
    </w:p>
    <w:p w:rsidR="00FF384B" w:rsidRDefault="003E3BA9">
      <w:pPr>
        <w:spacing w:after="143" w:line="248" w:lineRule="auto"/>
        <w:ind w:left="278" w:right="244" w:hanging="10"/>
        <w:jc w:val="both"/>
      </w:pPr>
      <w:r>
        <w:rPr>
          <w:rFonts w:ascii="Arial" w:eastAsia="Arial" w:hAnsi="Arial" w:cs="Arial"/>
          <w:i/>
          <w:color w:val="202020"/>
        </w:rPr>
        <w:t xml:space="preserve">La información a incorporar en este supuesto en la Cuenta Justificativa será: </w:t>
      </w:r>
    </w:p>
    <w:p w:rsidR="00FF384B" w:rsidRDefault="003E3BA9">
      <w:pPr>
        <w:numPr>
          <w:ilvl w:val="1"/>
          <w:numId w:val="70"/>
        </w:numPr>
        <w:spacing w:after="92" w:line="248" w:lineRule="auto"/>
        <w:ind w:right="244" w:hanging="10"/>
        <w:jc w:val="both"/>
      </w:pPr>
      <w:r>
        <w:rPr>
          <w:rFonts w:ascii="Arial" w:eastAsia="Arial" w:hAnsi="Arial" w:cs="Arial"/>
          <w:i/>
          <w:color w:val="202020"/>
        </w:rPr>
        <w:t>Un i</w:t>
      </w:r>
      <w:r>
        <w:rPr>
          <w:rFonts w:ascii="Arial" w:eastAsia="Arial" w:hAnsi="Arial" w:cs="Arial"/>
          <w:i/>
          <w:color w:val="202020"/>
        </w:rPr>
        <w:t xml:space="preserve">nforme de un auditor de cuentas inscrito como ejerciente en el Registro Oficial de Auditores de Cuentas dependiente del Instituto de Contabilidad y Auditoría de Cuentas. </w:t>
      </w:r>
    </w:p>
    <w:p w:rsidR="00FF384B" w:rsidRDefault="003E3BA9">
      <w:pPr>
        <w:numPr>
          <w:ilvl w:val="1"/>
          <w:numId w:val="70"/>
        </w:numPr>
        <w:spacing w:after="92" w:line="248" w:lineRule="auto"/>
        <w:ind w:right="244" w:hanging="10"/>
        <w:jc w:val="both"/>
      </w:pPr>
      <w:r>
        <w:rPr>
          <w:noProof/>
        </w:rPr>
        <mc:AlternateContent>
          <mc:Choice Requires="wpg">
            <w:drawing>
              <wp:anchor distT="0" distB="0" distL="114300" distR="114300" simplePos="0" relativeHeight="2517432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0717" name="Group 45071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772" name="Picture 19772"/>
                          <pic:cNvPicPr/>
                        </pic:nvPicPr>
                        <pic:blipFill>
                          <a:blip r:embed="rId62"/>
                          <a:stretch>
                            <a:fillRect/>
                          </a:stretch>
                        </pic:blipFill>
                        <pic:spPr>
                          <a:xfrm rot="-5399999">
                            <a:off x="-1720849" y="1720849"/>
                            <a:ext cx="3797300" cy="355601"/>
                          </a:xfrm>
                          <a:prstGeom prst="rect">
                            <a:avLst/>
                          </a:prstGeom>
                        </pic:spPr>
                      </pic:pic>
                      <wps:wsp>
                        <wps:cNvPr id="19773" name="Rectangle 1977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19774" name="Rectangle 1977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0717" style="width:41.2715pt;height:299pt;position:absolute;mso-position-horizontal-relative:page;mso-position-horizontal:absolute;margin-left:653.71pt;mso-position-vertical-relative:page;margin-top:512.92pt;" coordsize="5241,37973">
                <v:shape id="Picture 19772" style="position:absolute;width:37973;height:3556;left:-17208;top:17208;rotation:-89;" filled="f">
                  <v:imagedata r:id="rId63"/>
                </v:shape>
                <v:rect id="Rectangle 1977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77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353 </w:t>
                        </w:r>
                      </w:p>
                    </w:txbxContent>
                  </v:textbox>
                </v:rect>
                <w10:wrap type="square"/>
              </v:group>
            </w:pict>
          </mc:Fallback>
        </mc:AlternateContent>
      </w:r>
      <w:r>
        <w:rPr>
          <w:rFonts w:ascii="Arial" w:eastAsia="Arial" w:hAnsi="Arial" w:cs="Arial"/>
          <w:i/>
          <w:color w:val="202020"/>
        </w:rPr>
        <w:t xml:space="preserve">Memoria de actuaciones a que se refiere el apartado 1 del artículo 72 de este Reglamento, una memoria económica abreviada. </w:t>
      </w:r>
    </w:p>
    <w:p w:rsidR="00FF384B" w:rsidRDefault="003E3BA9">
      <w:pPr>
        <w:numPr>
          <w:ilvl w:val="1"/>
          <w:numId w:val="70"/>
        </w:numPr>
        <w:spacing w:after="92" w:line="248" w:lineRule="auto"/>
        <w:ind w:right="244" w:hanging="10"/>
        <w:jc w:val="both"/>
      </w:pPr>
      <w:r>
        <w:rPr>
          <w:rFonts w:ascii="Arial" w:eastAsia="Arial" w:hAnsi="Arial" w:cs="Arial"/>
          <w:i/>
          <w:color w:val="202020"/>
        </w:rPr>
        <w:t>Memoria económica ab</w:t>
      </w:r>
      <w:r>
        <w:rPr>
          <w:rFonts w:ascii="Arial" w:eastAsia="Arial" w:hAnsi="Arial" w:cs="Arial"/>
          <w:i/>
          <w:color w:val="202020"/>
        </w:rPr>
        <w:t>reviada se establecerá en las convocatorias de la subvención, si bien como mínimo contendrá un estado representativo de los gastos incurridos en la realización de las actividades subvencionadas, debidamente agrupados, y, en su caso, las cantidades inicialm</w:t>
      </w:r>
      <w:r>
        <w:rPr>
          <w:rFonts w:ascii="Arial" w:eastAsia="Arial" w:hAnsi="Arial" w:cs="Arial"/>
          <w:i/>
          <w:color w:val="202020"/>
        </w:rPr>
        <w:t xml:space="preserve">ente presupuestadas y las desviaciones acaecidas. </w:t>
      </w:r>
    </w:p>
    <w:p w:rsidR="00FF384B" w:rsidRDefault="003E3BA9">
      <w:pPr>
        <w:numPr>
          <w:ilvl w:val="1"/>
          <w:numId w:val="70"/>
        </w:numPr>
        <w:spacing w:after="92" w:line="248" w:lineRule="auto"/>
        <w:ind w:right="244" w:hanging="10"/>
        <w:jc w:val="both"/>
      </w:pPr>
      <w:r>
        <w:rPr>
          <w:rFonts w:ascii="Arial" w:eastAsia="Arial" w:hAnsi="Arial" w:cs="Arial"/>
          <w:i/>
          <w:color w:val="202020"/>
        </w:rPr>
        <w:t xml:space="preserve">Relación de facturas y documentos incluidos y comprobados en el informe del auditor. </w:t>
      </w:r>
    </w:p>
    <w:p w:rsidR="00FF384B" w:rsidRDefault="003E3BA9">
      <w:pPr>
        <w:numPr>
          <w:ilvl w:val="0"/>
          <w:numId w:val="70"/>
        </w:numPr>
        <w:spacing w:after="143" w:line="248" w:lineRule="auto"/>
        <w:ind w:right="244" w:hanging="10"/>
        <w:jc w:val="both"/>
      </w:pPr>
      <w:r>
        <w:rPr>
          <w:rFonts w:ascii="Arial" w:eastAsia="Arial" w:hAnsi="Arial" w:cs="Arial"/>
          <w:i/>
          <w:color w:val="202020"/>
        </w:rPr>
        <w:t>En aquellos casos en que el beneficiario esté obligado a auditar sus cuentas anuales por un auditor sometido a la Ley 1</w:t>
      </w:r>
      <w:r>
        <w:rPr>
          <w:rFonts w:ascii="Arial" w:eastAsia="Arial" w:hAnsi="Arial" w:cs="Arial"/>
          <w:i/>
          <w:color w:val="202020"/>
        </w:rPr>
        <w:t xml:space="preserve">9/1988, de 12 de julio, de Auditoría de Cuentas, la revisión de la cuenta justificativa se llevará a cabo por el mismo auditor, salvo que las convocatorias prevean el nombramiento de otro auditor. </w:t>
      </w:r>
    </w:p>
    <w:p w:rsidR="00FF384B" w:rsidRDefault="003E3BA9">
      <w:pPr>
        <w:numPr>
          <w:ilvl w:val="0"/>
          <w:numId w:val="70"/>
        </w:numPr>
        <w:spacing w:after="143" w:line="248" w:lineRule="auto"/>
        <w:ind w:right="244" w:hanging="10"/>
        <w:jc w:val="both"/>
      </w:pPr>
      <w:r>
        <w:rPr>
          <w:rFonts w:ascii="Arial" w:eastAsia="Arial" w:hAnsi="Arial" w:cs="Arial"/>
          <w:i/>
          <w:color w:val="202020"/>
        </w:rPr>
        <w:t>En el supuesto en que el beneficiario no esté obligado a a</w:t>
      </w:r>
      <w:r>
        <w:rPr>
          <w:rFonts w:ascii="Arial" w:eastAsia="Arial" w:hAnsi="Arial" w:cs="Arial"/>
          <w:i/>
          <w:color w:val="202020"/>
        </w:rPr>
        <w:t>uditar sus cuentas anuales, la designación del auditor de cuentas será realizada por él, salvo que las convocatorias de la subvención prevean su nombramiento por el órgano concedente. El gasto derivado de la revisión de la cuenta justificativa tendrá la co</w:t>
      </w:r>
      <w:r>
        <w:rPr>
          <w:rFonts w:ascii="Arial" w:eastAsia="Arial" w:hAnsi="Arial" w:cs="Arial"/>
          <w:i/>
          <w:color w:val="202020"/>
        </w:rPr>
        <w:t xml:space="preserve">ndición de gasto subvencionable hasta el límite que en ellas se fije en la convocatoria. </w:t>
      </w:r>
    </w:p>
    <w:p w:rsidR="00FF384B" w:rsidRDefault="003E3BA9">
      <w:pPr>
        <w:numPr>
          <w:ilvl w:val="0"/>
          <w:numId w:val="70"/>
        </w:numPr>
        <w:spacing w:after="143" w:line="248" w:lineRule="auto"/>
        <w:ind w:right="244" w:hanging="10"/>
        <w:jc w:val="both"/>
      </w:pPr>
      <w:r>
        <w:rPr>
          <w:rFonts w:ascii="Arial" w:eastAsia="Arial" w:hAnsi="Arial" w:cs="Arial"/>
          <w:i/>
          <w:color w:val="202020"/>
        </w:rPr>
        <w:t>El beneficiario estará obligado a poner a disposición del auditor de cuentas cuantos libros, registros y documentos le sean exigibles en aplicación de lo dispuesto en</w:t>
      </w:r>
      <w:r>
        <w:rPr>
          <w:rFonts w:ascii="Arial" w:eastAsia="Arial" w:hAnsi="Arial" w:cs="Arial"/>
          <w:i/>
          <w:color w:val="202020"/>
        </w:rPr>
        <w:t xml:space="preserve"> la normativa vigente, así como a conservarlos al objeto de las actuaciones de comprobación y control previstas es esta Ordenanza. </w:t>
      </w:r>
    </w:p>
    <w:p w:rsidR="00FF384B" w:rsidRDefault="003E3BA9">
      <w:pPr>
        <w:spacing w:after="0"/>
        <w:ind w:left="283"/>
      </w:pPr>
      <w:r>
        <w:rPr>
          <w:rFonts w:ascii="Arial" w:eastAsia="Arial" w:hAnsi="Arial" w:cs="Arial"/>
          <w:i/>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46. Cuenta justificativa simplificada. </w:t>
      </w:r>
    </w:p>
    <w:p w:rsidR="00FF384B" w:rsidRDefault="003E3BA9">
      <w:pPr>
        <w:numPr>
          <w:ilvl w:val="0"/>
          <w:numId w:val="71"/>
        </w:numPr>
        <w:spacing w:after="143" w:line="248" w:lineRule="auto"/>
        <w:ind w:right="244" w:hanging="247"/>
        <w:jc w:val="both"/>
      </w:pPr>
      <w:r>
        <w:rPr>
          <w:rFonts w:ascii="Arial" w:eastAsia="Arial" w:hAnsi="Arial" w:cs="Arial"/>
          <w:i/>
          <w:color w:val="202020"/>
        </w:rPr>
        <w:t>Las subvenciones concedidas por procedimiento simplificado, podrá tener carácter de documento con validez jurídica para la justificación de la subvención, la cuenta justificativa regulada en este artículo, siempre que así se haya previsto en la convocatori</w:t>
      </w:r>
      <w:r>
        <w:rPr>
          <w:rFonts w:ascii="Arial" w:eastAsia="Arial" w:hAnsi="Arial" w:cs="Arial"/>
          <w:i/>
          <w:color w:val="202020"/>
        </w:rPr>
        <w:t xml:space="preserve">a de la subvención. </w:t>
      </w:r>
    </w:p>
    <w:p w:rsidR="00FF384B" w:rsidRDefault="003E3BA9">
      <w:pPr>
        <w:numPr>
          <w:ilvl w:val="0"/>
          <w:numId w:val="71"/>
        </w:numPr>
        <w:spacing w:after="143" w:line="248" w:lineRule="auto"/>
        <w:ind w:right="244" w:hanging="247"/>
        <w:jc w:val="both"/>
      </w:pPr>
      <w:r>
        <w:rPr>
          <w:rFonts w:ascii="Arial" w:eastAsia="Arial" w:hAnsi="Arial" w:cs="Arial"/>
          <w:i/>
          <w:color w:val="202020"/>
        </w:rPr>
        <w:t xml:space="preserve">La cuenta justificativa contendrá la siguiente información: </w:t>
      </w:r>
    </w:p>
    <w:p w:rsidR="00FF384B" w:rsidRDefault="003E3BA9">
      <w:pPr>
        <w:numPr>
          <w:ilvl w:val="1"/>
          <w:numId w:val="71"/>
        </w:numPr>
        <w:spacing w:after="92" w:line="248" w:lineRule="auto"/>
        <w:ind w:right="244" w:hanging="10"/>
        <w:jc w:val="both"/>
      </w:pPr>
      <w:r>
        <w:rPr>
          <w:rFonts w:ascii="Arial" w:eastAsia="Arial" w:hAnsi="Arial" w:cs="Arial"/>
          <w:i/>
          <w:color w:val="202020"/>
        </w:rPr>
        <w:t>Una memoria de actuación justificativa del cumplimiento de las condiciones impuestas en la concesión de la subvención, con indicación de las actividades realizadas y de los r</w:t>
      </w:r>
      <w:r>
        <w:rPr>
          <w:rFonts w:ascii="Arial" w:eastAsia="Arial" w:hAnsi="Arial" w:cs="Arial"/>
          <w:i/>
          <w:color w:val="202020"/>
        </w:rPr>
        <w:t xml:space="preserve">esultados obtenidos. </w:t>
      </w:r>
    </w:p>
    <w:p w:rsidR="00FF384B" w:rsidRDefault="003E3BA9">
      <w:pPr>
        <w:numPr>
          <w:ilvl w:val="1"/>
          <w:numId w:val="71"/>
        </w:numPr>
        <w:spacing w:after="92" w:line="248" w:lineRule="auto"/>
        <w:ind w:right="244" w:hanging="10"/>
        <w:jc w:val="both"/>
      </w:pPr>
      <w:r>
        <w:rPr>
          <w:rFonts w:ascii="Arial" w:eastAsia="Arial" w:hAnsi="Arial" w:cs="Arial"/>
          <w:i/>
          <w:color w:val="202020"/>
        </w:rPr>
        <w:t>Una relación clasificada de los gastos de la actividad, con identificación del acreedor y del documento, su importe, fecha de emisión y fecha de pago. En caso de que la subvención se otorgue con arreglo a un presupuesto estimado, se i</w:t>
      </w:r>
      <w:r>
        <w:rPr>
          <w:rFonts w:ascii="Arial" w:eastAsia="Arial" w:hAnsi="Arial" w:cs="Arial"/>
          <w:i/>
          <w:color w:val="202020"/>
        </w:rPr>
        <w:t xml:space="preserve">ndicarán las desviaciones acaecidas. </w:t>
      </w:r>
    </w:p>
    <w:p w:rsidR="00FF384B" w:rsidRDefault="003E3BA9">
      <w:pPr>
        <w:numPr>
          <w:ilvl w:val="1"/>
          <w:numId w:val="71"/>
        </w:numPr>
        <w:spacing w:after="92" w:line="248" w:lineRule="auto"/>
        <w:ind w:right="244" w:hanging="10"/>
        <w:jc w:val="both"/>
      </w:pPr>
      <w:r>
        <w:rPr>
          <w:rFonts w:ascii="Arial" w:eastAsia="Arial" w:hAnsi="Arial" w:cs="Arial"/>
          <w:i/>
          <w:color w:val="202020"/>
        </w:rPr>
        <w:t xml:space="preserve">Detalle de otros ingresos o subvenciones que hayan financiado la actividad subvencionada con indicación del importe y su procedencia. </w:t>
      </w:r>
    </w:p>
    <w:p w:rsidR="00FF384B" w:rsidRDefault="003E3BA9">
      <w:pPr>
        <w:numPr>
          <w:ilvl w:val="1"/>
          <w:numId w:val="71"/>
        </w:numPr>
        <w:spacing w:after="93" w:line="248" w:lineRule="auto"/>
        <w:ind w:right="244" w:hanging="10"/>
        <w:jc w:val="both"/>
      </w:pPr>
      <w:r>
        <w:rPr>
          <w:rFonts w:ascii="Arial" w:eastAsia="Arial" w:hAnsi="Arial" w:cs="Arial"/>
          <w:i/>
          <w:color w:val="202020"/>
        </w:rPr>
        <w:t>En su caso, carta de pago de reintegro en el supuesto de remanentes no aplicados, a</w:t>
      </w:r>
      <w:r>
        <w:rPr>
          <w:rFonts w:ascii="Arial" w:eastAsia="Arial" w:hAnsi="Arial" w:cs="Arial"/>
          <w:i/>
          <w:color w:val="202020"/>
        </w:rPr>
        <w:t xml:space="preserve">sí como de los intereses derivados de los mismos. </w:t>
      </w:r>
    </w:p>
    <w:p w:rsidR="00FF384B" w:rsidRDefault="003E3BA9">
      <w:pPr>
        <w:numPr>
          <w:ilvl w:val="0"/>
          <w:numId w:val="71"/>
        </w:numPr>
        <w:spacing w:after="143" w:line="248" w:lineRule="auto"/>
        <w:ind w:right="244" w:hanging="247"/>
        <w:jc w:val="both"/>
      </w:pPr>
      <w:r>
        <w:rPr>
          <w:noProof/>
        </w:rPr>
        <mc:AlternateContent>
          <mc:Choice Requires="wpg">
            <w:drawing>
              <wp:anchor distT="0" distB="0" distL="114300" distR="114300" simplePos="0" relativeHeight="2517442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0801" name="Group 4508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19914" name="Picture 19914"/>
                          <pic:cNvPicPr/>
                        </pic:nvPicPr>
                        <pic:blipFill>
                          <a:blip r:embed="rId62"/>
                          <a:stretch>
                            <a:fillRect/>
                          </a:stretch>
                        </pic:blipFill>
                        <pic:spPr>
                          <a:xfrm rot="-5399999">
                            <a:off x="-1720849" y="1720849"/>
                            <a:ext cx="3797300" cy="355601"/>
                          </a:xfrm>
                          <a:prstGeom prst="rect">
                            <a:avLst/>
                          </a:prstGeom>
                        </pic:spPr>
                      </pic:pic>
                      <wps:wsp>
                        <wps:cNvPr id="19915" name="Rectangle 1991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19916" name="Rectangle 19916"/>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0801" style="width:41.2715pt;height:299pt;position:absolute;mso-position-horizontal-relative:page;mso-position-horizontal:absolute;margin-left:653.71pt;mso-position-vertical-relative:page;margin-top:512.92pt;" coordsize="5241,37973">
                <v:shape id="Picture 19914" style="position:absolute;width:37973;height:3556;left:-17208;top:17208;rotation:-89;" filled="f">
                  <v:imagedata r:id="rId63"/>
                </v:shape>
                <v:rect id="Rectangle 1991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19916"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353 </w:t>
                        </w:r>
                      </w:p>
                    </w:txbxContent>
                  </v:textbox>
                </v:rect>
                <w10:wrap type="square"/>
              </v:group>
            </w:pict>
          </mc:Fallback>
        </mc:AlternateContent>
      </w:r>
      <w:r>
        <w:rPr>
          <w:rFonts w:ascii="Arial" w:eastAsia="Arial" w:hAnsi="Arial" w:cs="Arial"/>
          <w:i/>
          <w:color w:val="202020"/>
        </w:rPr>
        <w:t>Así mism</w:t>
      </w:r>
      <w:r>
        <w:rPr>
          <w:rFonts w:ascii="Arial" w:eastAsia="Arial" w:hAnsi="Arial" w:cs="Arial"/>
          <w:i/>
          <w:color w:val="202020"/>
        </w:rPr>
        <w:t>o, esta cuenta se aplicará a la concesión de subvenciones por importe igual o inferior a 3000 euros, siempre que así se haya previsto en las convocatorias, convenio o resolución de la subvención. Esta cantidad podrá ser modificada anualmente en las bases d</w:t>
      </w:r>
      <w:r>
        <w:rPr>
          <w:rFonts w:ascii="Arial" w:eastAsia="Arial" w:hAnsi="Arial" w:cs="Arial"/>
          <w:i/>
          <w:color w:val="202020"/>
        </w:rPr>
        <w:t xml:space="preserve">e ejecución del Presupuesto municipal. </w:t>
      </w:r>
    </w:p>
    <w:p w:rsidR="00FF384B" w:rsidRDefault="003E3BA9">
      <w:pPr>
        <w:spacing w:after="142" w:line="248" w:lineRule="auto"/>
        <w:ind w:left="278" w:right="244" w:hanging="10"/>
        <w:jc w:val="both"/>
      </w:pPr>
      <w:r>
        <w:rPr>
          <w:rFonts w:ascii="Arial" w:eastAsia="Arial" w:hAnsi="Arial" w:cs="Arial"/>
          <w:color w:val="202020"/>
        </w:rPr>
        <w:t xml:space="preserve">Artículo 47. Justificación mediante módulos. </w:t>
      </w:r>
    </w:p>
    <w:p w:rsidR="00FF384B" w:rsidRDefault="003E3BA9">
      <w:pPr>
        <w:numPr>
          <w:ilvl w:val="0"/>
          <w:numId w:val="72"/>
        </w:numPr>
        <w:spacing w:after="143" w:line="248" w:lineRule="auto"/>
        <w:ind w:right="244" w:hanging="10"/>
        <w:jc w:val="both"/>
      </w:pPr>
      <w:r>
        <w:rPr>
          <w:rFonts w:ascii="Arial" w:eastAsia="Arial" w:hAnsi="Arial" w:cs="Arial"/>
          <w:i/>
          <w:color w:val="202020"/>
        </w:rPr>
        <w:t>La justificación de subvenciones mediante módulos únicamente se aplicarán si así se establece expresamente en las convocatorias de subvenciones, en los convenios de colab</w:t>
      </w:r>
      <w:r>
        <w:rPr>
          <w:rFonts w:ascii="Arial" w:eastAsia="Arial" w:hAnsi="Arial" w:cs="Arial"/>
          <w:i/>
          <w:color w:val="202020"/>
        </w:rPr>
        <w:t xml:space="preserve">oración y resoluciones de concesión. En tal supuesto, las convocatorias o los convenios deberán cumplir los siguientes requisitos: </w:t>
      </w:r>
    </w:p>
    <w:p w:rsidR="00FF384B" w:rsidRDefault="003E3BA9">
      <w:pPr>
        <w:numPr>
          <w:ilvl w:val="2"/>
          <w:numId w:val="74"/>
        </w:numPr>
        <w:spacing w:after="93" w:line="248" w:lineRule="auto"/>
        <w:ind w:right="244" w:hanging="10"/>
        <w:jc w:val="both"/>
      </w:pPr>
      <w:r>
        <w:rPr>
          <w:rFonts w:ascii="Arial" w:eastAsia="Arial" w:hAnsi="Arial" w:cs="Arial"/>
          <w:i/>
          <w:color w:val="202020"/>
        </w:rPr>
        <w:t xml:space="preserve">Que la actividad a subvencionar o los recursos necesarios para su realización sean medibles en unidades físicas. </w:t>
      </w:r>
    </w:p>
    <w:p w:rsidR="00FF384B" w:rsidRDefault="003E3BA9">
      <w:pPr>
        <w:numPr>
          <w:ilvl w:val="2"/>
          <w:numId w:val="74"/>
        </w:numPr>
        <w:spacing w:after="92" w:line="248" w:lineRule="auto"/>
        <w:ind w:right="244" w:hanging="10"/>
        <w:jc w:val="both"/>
      </w:pPr>
      <w:r>
        <w:rPr>
          <w:rFonts w:ascii="Arial" w:eastAsia="Arial" w:hAnsi="Arial" w:cs="Arial"/>
          <w:i/>
          <w:color w:val="202020"/>
        </w:rPr>
        <w:t xml:space="preserve">Que exista una evidencia o referencia del valor de mercado de la actividad a subvencionar o, en su caso, del de los recursos a emplear. </w:t>
      </w:r>
    </w:p>
    <w:p w:rsidR="00FF384B" w:rsidRDefault="003E3BA9">
      <w:pPr>
        <w:numPr>
          <w:ilvl w:val="2"/>
          <w:numId w:val="74"/>
        </w:numPr>
        <w:spacing w:after="92" w:line="248" w:lineRule="auto"/>
        <w:ind w:right="244" w:hanging="10"/>
        <w:jc w:val="both"/>
      </w:pPr>
      <w:r>
        <w:rPr>
          <w:rFonts w:ascii="Arial" w:eastAsia="Arial" w:hAnsi="Arial" w:cs="Arial"/>
          <w:i/>
          <w:color w:val="202020"/>
        </w:rPr>
        <w:t xml:space="preserve">Que el coste unitario de los módulos, podrá contener una parte fija y otra variable en función del nivel de actividad, </w:t>
      </w:r>
      <w:r>
        <w:rPr>
          <w:rFonts w:ascii="Arial" w:eastAsia="Arial" w:hAnsi="Arial" w:cs="Arial"/>
          <w:i/>
          <w:color w:val="202020"/>
        </w:rPr>
        <w:t>que se determinará sobre la base de un informe técnico motivado, en el que se contemplarán las variables técnicas, económicas y financieras que se han tenido en cuenta para la determinación del módulo, sobre la base de valores medios de mercado estimados p</w:t>
      </w:r>
      <w:r>
        <w:rPr>
          <w:rFonts w:ascii="Arial" w:eastAsia="Arial" w:hAnsi="Arial" w:cs="Arial"/>
          <w:i/>
          <w:color w:val="202020"/>
        </w:rPr>
        <w:t xml:space="preserve">ara la realización de la actividad o del servicio objeto de la subvención. </w:t>
      </w:r>
    </w:p>
    <w:p w:rsidR="00FF384B" w:rsidRDefault="003E3BA9">
      <w:pPr>
        <w:numPr>
          <w:ilvl w:val="0"/>
          <w:numId w:val="72"/>
        </w:numPr>
        <w:spacing w:after="143" w:line="248" w:lineRule="auto"/>
        <w:ind w:right="244" w:hanging="10"/>
        <w:jc w:val="both"/>
      </w:pPr>
      <w:r>
        <w:rPr>
          <w:rFonts w:ascii="Arial" w:eastAsia="Arial" w:hAnsi="Arial" w:cs="Arial"/>
          <w:i/>
          <w:color w:val="202020"/>
        </w:rPr>
        <w:t>Cuando las convocatorias prevean el régimen de concesión y justificación a través de módulos, la concreción de los mismos y la elaboración del informe técnico podrá realizarse de f</w:t>
      </w:r>
      <w:r>
        <w:rPr>
          <w:rFonts w:ascii="Arial" w:eastAsia="Arial" w:hAnsi="Arial" w:cs="Arial"/>
          <w:i/>
          <w:color w:val="202020"/>
        </w:rPr>
        <w:t xml:space="preserve">orma diferenciada para cada convocatoria. </w:t>
      </w:r>
    </w:p>
    <w:p w:rsidR="00FF384B" w:rsidRDefault="003E3BA9">
      <w:pPr>
        <w:numPr>
          <w:ilvl w:val="0"/>
          <w:numId w:val="72"/>
        </w:numPr>
        <w:spacing w:after="143" w:line="248" w:lineRule="auto"/>
        <w:ind w:right="244" w:hanging="10"/>
        <w:jc w:val="both"/>
      </w:pPr>
      <w:r>
        <w:rPr>
          <w:rFonts w:ascii="Arial" w:eastAsia="Arial" w:hAnsi="Arial" w:cs="Arial"/>
          <w:i/>
          <w:color w:val="202020"/>
        </w:rPr>
        <w:t>Cuando por circunstancias sobrevenidas se produzca una modificación de las condiciones económicas, financieras o técnicas tenidas en cuenta para el establecimiento y actualización de los módulos, el órgano compete</w:t>
      </w:r>
      <w:r>
        <w:rPr>
          <w:rFonts w:ascii="Arial" w:eastAsia="Arial" w:hAnsi="Arial" w:cs="Arial"/>
          <w:i/>
          <w:color w:val="202020"/>
        </w:rPr>
        <w:t xml:space="preserve">nte aprobará la revisión del importe de los mismos, motivada a través del pertinente informe técnico. </w:t>
      </w:r>
    </w:p>
    <w:p w:rsidR="00FF384B" w:rsidRDefault="003E3BA9">
      <w:pPr>
        <w:numPr>
          <w:ilvl w:val="0"/>
          <w:numId w:val="72"/>
        </w:numPr>
        <w:spacing w:after="143" w:line="248" w:lineRule="auto"/>
        <w:ind w:right="244" w:hanging="10"/>
        <w:jc w:val="both"/>
      </w:pPr>
      <w:r>
        <w:rPr>
          <w:rFonts w:ascii="Arial" w:eastAsia="Arial" w:hAnsi="Arial" w:cs="Arial"/>
          <w:i/>
          <w:color w:val="202020"/>
        </w:rPr>
        <w:t xml:space="preserve">La justificación a través de módulos, se llevará mediante la presentación de la siguiente documentación: </w:t>
      </w:r>
    </w:p>
    <w:p w:rsidR="00FF384B" w:rsidRDefault="003E3BA9">
      <w:pPr>
        <w:numPr>
          <w:ilvl w:val="1"/>
          <w:numId w:val="72"/>
        </w:numPr>
        <w:spacing w:after="93" w:line="248" w:lineRule="auto"/>
        <w:ind w:right="244" w:hanging="360"/>
        <w:jc w:val="both"/>
      </w:pPr>
      <w:r>
        <w:rPr>
          <w:rFonts w:ascii="Arial" w:eastAsia="Arial" w:hAnsi="Arial" w:cs="Arial"/>
          <w:i/>
          <w:color w:val="202020"/>
        </w:rPr>
        <w:t>a) Una memoria de actuación justificativa del c</w:t>
      </w:r>
      <w:r>
        <w:rPr>
          <w:rFonts w:ascii="Arial" w:eastAsia="Arial" w:hAnsi="Arial" w:cs="Arial"/>
          <w:i/>
          <w:color w:val="202020"/>
        </w:rPr>
        <w:t xml:space="preserve">umplimiento de las condiciones impuestas en la concesión de la subvención, con indicación de las actividades realizadas y de los resultados obtenidos. </w:t>
      </w:r>
    </w:p>
    <w:p w:rsidR="00FF384B" w:rsidRDefault="003E3BA9">
      <w:pPr>
        <w:numPr>
          <w:ilvl w:val="1"/>
          <w:numId w:val="72"/>
        </w:numPr>
        <w:spacing w:after="94" w:line="248" w:lineRule="auto"/>
        <w:ind w:right="244" w:hanging="360"/>
        <w:jc w:val="both"/>
      </w:pPr>
      <w:r>
        <w:rPr>
          <w:rFonts w:ascii="Arial" w:eastAsia="Arial" w:hAnsi="Arial" w:cs="Arial"/>
          <w:i/>
          <w:color w:val="202020"/>
        </w:rPr>
        <w:t xml:space="preserve">b) Una memoria económica justificativa que contendrá, como mínimo los siguientes extremos: </w:t>
      </w:r>
    </w:p>
    <w:p w:rsidR="00FF384B" w:rsidRDefault="003E3BA9">
      <w:pPr>
        <w:numPr>
          <w:ilvl w:val="3"/>
          <w:numId w:val="73"/>
        </w:numPr>
        <w:spacing w:after="92" w:line="248" w:lineRule="auto"/>
        <w:ind w:right="244" w:hanging="360"/>
        <w:jc w:val="both"/>
      </w:pPr>
      <w:r>
        <w:rPr>
          <w:rFonts w:ascii="Arial" w:eastAsia="Arial" w:hAnsi="Arial" w:cs="Arial"/>
          <w:i/>
          <w:color w:val="202020"/>
        </w:rPr>
        <w:t xml:space="preserve">1 Acreditación o, en su defecto, declaración del beneficiario sobre el número de unidades físicas consideradas como módulo. </w:t>
      </w:r>
    </w:p>
    <w:p w:rsidR="00FF384B" w:rsidRDefault="003E3BA9">
      <w:pPr>
        <w:numPr>
          <w:ilvl w:val="3"/>
          <w:numId w:val="73"/>
        </w:numPr>
        <w:spacing w:after="93" w:line="248" w:lineRule="auto"/>
        <w:ind w:right="244" w:hanging="360"/>
        <w:jc w:val="both"/>
      </w:pPr>
      <w:r>
        <w:rPr>
          <w:rFonts w:ascii="Arial" w:eastAsia="Arial" w:hAnsi="Arial" w:cs="Arial"/>
          <w:i/>
          <w:color w:val="202020"/>
        </w:rPr>
        <w:t>2 Cuantía de la subvención calculada sobre la base de las actividades cuantificadas en la memoria de actuación y los módulos contem</w:t>
      </w:r>
      <w:r>
        <w:rPr>
          <w:rFonts w:ascii="Arial" w:eastAsia="Arial" w:hAnsi="Arial" w:cs="Arial"/>
          <w:i/>
          <w:color w:val="202020"/>
        </w:rPr>
        <w:t xml:space="preserve">plados en las bases reguladoras o, en su caso, en órdenes de convocatoria. </w:t>
      </w:r>
    </w:p>
    <w:p w:rsidR="00FF384B" w:rsidRDefault="003E3BA9">
      <w:pPr>
        <w:numPr>
          <w:ilvl w:val="3"/>
          <w:numId w:val="73"/>
        </w:numPr>
        <w:spacing w:after="143" w:line="248" w:lineRule="auto"/>
        <w:ind w:right="244" w:hanging="360"/>
        <w:jc w:val="both"/>
      </w:pPr>
      <w:r>
        <w:rPr>
          <w:rFonts w:ascii="Arial" w:eastAsia="Arial" w:hAnsi="Arial" w:cs="Arial"/>
          <w:i/>
          <w:color w:val="202020"/>
        </w:rPr>
        <w:t xml:space="preserve">3 Detalle de otros ingresos o subvenciones que hayan financiado la actividad subvencionada con indicación del importe y su procedencia. </w:t>
      </w:r>
    </w:p>
    <w:p w:rsidR="00FF384B" w:rsidRDefault="003E3BA9">
      <w:pPr>
        <w:spacing w:after="142" w:line="248" w:lineRule="auto"/>
        <w:ind w:left="278" w:right="244" w:hanging="10"/>
        <w:jc w:val="both"/>
      </w:pPr>
      <w:r>
        <w:rPr>
          <w:rFonts w:ascii="Arial" w:eastAsia="Arial" w:hAnsi="Arial" w:cs="Arial"/>
          <w:color w:val="202020"/>
        </w:rPr>
        <w:t xml:space="preserve">Artículo 48. Justificación mediante presentación de estados contables. </w:t>
      </w:r>
    </w:p>
    <w:p w:rsidR="00FF384B" w:rsidRDefault="003E3BA9">
      <w:pPr>
        <w:numPr>
          <w:ilvl w:val="0"/>
          <w:numId w:val="75"/>
        </w:numPr>
        <w:spacing w:after="143" w:line="248" w:lineRule="auto"/>
        <w:ind w:right="244" w:hanging="10"/>
        <w:jc w:val="both"/>
      </w:pPr>
      <w:r>
        <w:rPr>
          <w:noProof/>
        </w:rPr>
        <mc:AlternateContent>
          <mc:Choice Requires="wpg">
            <w:drawing>
              <wp:anchor distT="0" distB="0" distL="114300" distR="114300" simplePos="0" relativeHeight="2517452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1164" name="Group 45116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073" name="Picture 20073"/>
                          <pic:cNvPicPr/>
                        </pic:nvPicPr>
                        <pic:blipFill>
                          <a:blip r:embed="rId62"/>
                          <a:stretch>
                            <a:fillRect/>
                          </a:stretch>
                        </pic:blipFill>
                        <pic:spPr>
                          <a:xfrm rot="-5399999">
                            <a:off x="-1720849" y="1720849"/>
                            <a:ext cx="3797300" cy="355601"/>
                          </a:xfrm>
                          <a:prstGeom prst="rect">
                            <a:avLst/>
                          </a:prstGeom>
                        </pic:spPr>
                      </pic:pic>
                      <wps:wsp>
                        <wps:cNvPr id="20074" name="Rectangle 200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0075" name="Rectangle 20075"/>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Págin</w:t>
                              </w:r>
                              <w:r>
                                <w:rPr>
                                  <w:rFonts w:ascii="Arial" w:eastAsia="Arial" w:hAnsi="Arial" w:cs="Arial"/>
                                  <w:sz w:val="12"/>
                                </w:rPr>
                                <w:t xml:space="preserve">a 84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1164" style="width:41.2715pt;height:299pt;position:absolute;mso-position-horizontal-relative:page;mso-position-horizontal:absolute;margin-left:653.71pt;mso-position-vertical-relative:page;margin-top:512.92pt;" coordsize="5241,37973">
                <v:shape id="Picture 20073" style="position:absolute;width:37973;height:3556;left:-17208;top:17208;rotation:-89;" filled="f">
                  <v:imagedata r:id="rId63"/>
                </v:shape>
                <v:rect id="Rectangle 200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075"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353 </w:t>
                        </w:r>
                      </w:p>
                    </w:txbxContent>
                  </v:textbox>
                </v:rect>
                <w10:wrap type="square"/>
              </v:group>
            </w:pict>
          </mc:Fallback>
        </mc:AlternateContent>
      </w:r>
      <w:r>
        <w:rPr>
          <w:rFonts w:ascii="Arial" w:eastAsia="Arial" w:hAnsi="Arial" w:cs="Arial"/>
          <w:i/>
          <w:color w:val="202020"/>
        </w:rPr>
        <w:t xml:space="preserve">Las convocatorias, convenio o resolución podrán prever que la subvención se justifique mediante la presentación de estados contables cuando: </w:t>
      </w:r>
    </w:p>
    <w:p w:rsidR="00FF384B" w:rsidRDefault="003E3BA9">
      <w:pPr>
        <w:numPr>
          <w:ilvl w:val="1"/>
          <w:numId w:val="75"/>
        </w:numPr>
        <w:spacing w:after="93" w:line="248" w:lineRule="auto"/>
        <w:ind w:right="244" w:hanging="360"/>
        <w:jc w:val="both"/>
      </w:pPr>
      <w:r>
        <w:rPr>
          <w:rFonts w:ascii="Arial" w:eastAsia="Arial" w:hAnsi="Arial" w:cs="Arial"/>
          <w:i/>
          <w:color w:val="202020"/>
        </w:rPr>
        <w:t xml:space="preserve">a) La información necesaria para determinar la cuantía de la subvención pueda deducirse directamente </w:t>
      </w:r>
      <w:r>
        <w:rPr>
          <w:rFonts w:ascii="Arial" w:eastAsia="Arial" w:hAnsi="Arial" w:cs="Arial"/>
          <w:i/>
          <w:color w:val="202020"/>
        </w:rPr>
        <w:t xml:space="preserve">de los estados financieros incorporados a la información contable de obligada preparación por el beneficiario. </w:t>
      </w:r>
    </w:p>
    <w:p w:rsidR="00FF384B" w:rsidRDefault="003E3BA9">
      <w:pPr>
        <w:numPr>
          <w:ilvl w:val="1"/>
          <w:numId w:val="75"/>
        </w:numPr>
        <w:spacing w:after="95" w:line="248" w:lineRule="auto"/>
        <w:ind w:right="244" w:hanging="360"/>
        <w:jc w:val="both"/>
      </w:pPr>
      <w:r>
        <w:rPr>
          <w:rFonts w:ascii="Arial" w:eastAsia="Arial" w:hAnsi="Arial" w:cs="Arial"/>
          <w:i/>
          <w:color w:val="202020"/>
        </w:rPr>
        <w:t>b) La citada información contable haya sido auditada conforme al sistema previsto en el ordenamiento jurídico al que esté sometido el beneficiar</w:t>
      </w:r>
      <w:r>
        <w:rPr>
          <w:rFonts w:ascii="Arial" w:eastAsia="Arial" w:hAnsi="Arial" w:cs="Arial"/>
          <w:i/>
          <w:color w:val="202020"/>
        </w:rPr>
        <w:t xml:space="preserve">io. </w:t>
      </w:r>
    </w:p>
    <w:p w:rsidR="00FF384B" w:rsidRDefault="003E3BA9">
      <w:pPr>
        <w:numPr>
          <w:ilvl w:val="0"/>
          <w:numId w:val="75"/>
        </w:numPr>
        <w:spacing w:after="143" w:line="248" w:lineRule="auto"/>
        <w:ind w:right="244" w:hanging="10"/>
        <w:jc w:val="both"/>
      </w:pPr>
      <w:r>
        <w:rPr>
          <w:rFonts w:ascii="Arial" w:eastAsia="Arial" w:hAnsi="Arial" w:cs="Arial"/>
          <w:i/>
          <w:color w:val="202020"/>
        </w:rPr>
        <w:t>Además de la información descrita en el apartado 1 de este artículo, las bases reguladoras podrán prever la entrega de un informe complementario elaborado por el auditor de cuentas y siguiendo lo previsto en el Reglamento que desarrolla la Ley de Audi</w:t>
      </w:r>
      <w:r>
        <w:rPr>
          <w:rFonts w:ascii="Arial" w:eastAsia="Arial" w:hAnsi="Arial" w:cs="Arial"/>
          <w:i/>
          <w:color w:val="202020"/>
        </w:rPr>
        <w:t xml:space="preserve">toría de Cuentas. </w:t>
      </w:r>
    </w:p>
    <w:p w:rsidR="00FF384B" w:rsidRDefault="003E3BA9">
      <w:pPr>
        <w:numPr>
          <w:ilvl w:val="0"/>
          <w:numId w:val="75"/>
        </w:numPr>
        <w:spacing w:after="143" w:line="248" w:lineRule="auto"/>
        <w:ind w:right="244" w:hanging="10"/>
        <w:jc w:val="both"/>
      </w:pPr>
      <w:r>
        <w:rPr>
          <w:rFonts w:ascii="Arial" w:eastAsia="Arial" w:hAnsi="Arial" w:cs="Arial"/>
          <w:i/>
          <w:color w:val="202020"/>
        </w:rPr>
        <w:t>Cuando el alcance de una auditoría de cuentas no se considere suficiente, las bases reguladoras establecerán el alcance adicional de la revisión a llevar a cabo por el auditor respecto de la información contable que sirva de base para de</w:t>
      </w:r>
      <w:r>
        <w:rPr>
          <w:rFonts w:ascii="Arial" w:eastAsia="Arial" w:hAnsi="Arial" w:cs="Arial"/>
          <w:i/>
          <w:color w:val="202020"/>
        </w:rPr>
        <w:t xml:space="preserve">terminar la cuantía de la subvención. En este caso, los resultados del trabajo se incorporarán al informe complementario al que se refiere el apartado 2 de este artículo y la retribución adicional que corresponda percibir al auditor de cuentas podrá tener </w:t>
      </w:r>
      <w:r>
        <w:rPr>
          <w:rFonts w:ascii="Arial" w:eastAsia="Arial" w:hAnsi="Arial" w:cs="Arial"/>
          <w:i/>
          <w:color w:val="202020"/>
        </w:rPr>
        <w:t xml:space="preserve">la condición de gasto a subvencionar cuando lo establezcan dichas bases hasta el límite que en ellas se fije. </w:t>
      </w:r>
      <w:r>
        <w:rPr>
          <w:rFonts w:ascii="Arial" w:eastAsia="Arial" w:hAnsi="Arial" w:cs="Arial"/>
          <w:color w:val="202020"/>
        </w:rPr>
        <w:t xml:space="preserve">Artículo 49. Justificación de subvenciones para el supuesto de actividades cofinanciadas. </w:t>
      </w:r>
    </w:p>
    <w:p w:rsidR="00FF384B" w:rsidRDefault="003E3BA9">
      <w:pPr>
        <w:numPr>
          <w:ilvl w:val="0"/>
          <w:numId w:val="76"/>
        </w:numPr>
        <w:spacing w:after="143" w:line="248" w:lineRule="auto"/>
        <w:ind w:right="244" w:hanging="10"/>
        <w:jc w:val="both"/>
      </w:pPr>
      <w:r>
        <w:rPr>
          <w:rFonts w:ascii="Arial" w:eastAsia="Arial" w:hAnsi="Arial" w:cs="Arial"/>
          <w:i/>
          <w:color w:val="202020"/>
        </w:rPr>
        <w:t>Para el caso de actividades en cuya financiación concur</w:t>
      </w:r>
      <w:r>
        <w:rPr>
          <w:rFonts w:ascii="Arial" w:eastAsia="Arial" w:hAnsi="Arial" w:cs="Arial"/>
          <w:i/>
          <w:color w:val="202020"/>
        </w:rPr>
        <w:t>ran subvenciones del Ayuntamiento de Candelaria con fondos propios del beneficiario u otras subvenciones o recursos, deberá acreditarse, mediante la modalidad de rendición de cuenta justificativa regulada en los artículos 45, 46 y 47 de esta Ordenanza, seg</w:t>
      </w:r>
      <w:r>
        <w:rPr>
          <w:rFonts w:ascii="Arial" w:eastAsia="Arial" w:hAnsi="Arial" w:cs="Arial"/>
          <w:i/>
          <w:color w:val="202020"/>
        </w:rPr>
        <w:t xml:space="preserve">ún proceda, que se han cumplido, tanto la realización del gasto y demás condiciones propias de toda subvención, así como el importe, procedencia y aplicación de tales fondos a las actividades subvencionadas. </w:t>
      </w:r>
    </w:p>
    <w:p w:rsidR="00FF384B" w:rsidRDefault="003E3BA9">
      <w:pPr>
        <w:numPr>
          <w:ilvl w:val="0"/>
          <w:numId w:val="76"/>
        </w:numPr>
        <w:spacing w:after="143" w:line="248" w:lineRule="auto"/>
        <w:ind w:right="244" w:hanging="10"/>
        <w:jc w:val="both"/>
      </w:pPr>
      <w:r>
        <w:rPr>
          <w:rFonts w:ascii="Arial" w:eastAsia="Arial" w:hAnsi="Arial" w:cs="Arial"/>
          <w:i/>
          <w:color w:val="202020"/>
        </w:rPr>
        <w:t>Es decir, se especificará tanto el porcentaje de cada factura o documento que se imputa a la justificación del convenio o subvención, como la existencia y cuantía del resto de recursos financieros distintos de la subvención municipal utilizados en el desar</w:t>
      </w:r>
      <w:r>
        <w:rPr>
          <w:rFonts w:ascii="Arial" w:eastAsia="Arial" w:hAnsi="Arial" w:cs="Arial"/>
          <w:i/>
          <w:color w:val="202020"/>
        </w:rPr>
        <w:t>rollo de la actividad de que se trate. En tal sentido, la memoria de evaluación habrá de recoger un apartado en el que expresamente se especifique la totalidad de financiación con la que se ha contado para desarrollar la actividad subvencionada, según el s</w:t>
      </w:r>
      <w:r>
        <w:rPr>
          <w:rFonts w:ascii="Arial" w:eastAsia="Arial" w:hAnsi="Arial" w:cs="Arial"/>
          <w:i/>
          <w:color w:val="202020"/>
        </w:rPr>
        <w:t xml:space="preserve">iguiente desglose: </w:t>
      </w:r>
    </w:p>
    <w:p w:rsidR="00FF384B" w:rsidRDefault="003E3BA9">
      <w:pPr>
        <w:numPr>
          <w:ilvl w:val="1"/>
          <w:numId w:val="76"/>
        </w:numPr>
        <w:spacing w:after="81" w:line="248" w:lineRule="auto"/>
        <w:ind w:right="244" w:hanging="360"/>
        <w:jc w:val="both"/>
      </w:pPr>
      <w:r>
        <w:rPr>
          <w:rFonts w:ascii="Arial" w:eastAsia="Arial" w:hAnsi="Arial" w:cs="Arial"/>
          <w:i/>
          <w:color w:val="202020"/>
        </w:rPr>
        <w:t xml:space="preserve">a) Cuantía de la subvención otorgada. </w:t>
      </w:r>
    </w:p>
    <w:p w:rsidR="00FF384B" w:rsidRDefault="003E3BA9">
      <w:pPr>
        <w:numPr>
          <w:ilvl w:val="1"/>
          <w:numId w:val="76"/>
        </w:numPr>
        <w:spacing w:after="81" w:line="248" w:lineRule="auto"/>
        <w:ind w:right="244" w:hanging="360"/>
        <w:jc w:val="both"/>
      </w:pPr>
      <w:r>
        <w:rPr>
          <w:rFonts w:ascii="Arial" w:eastAsia="Arial" w:hAnsi="Arial" w:cs="Arial"/>
          <w:i/>
          <w:color w:val="202020"/>
        </w:rPr>
        <w:t xml:space="preserve">b) Otras subvenciones de distintas Administraciones públicas. </w:t>
      </w:r>
    </w:p>
    <w:p w:rsidR="00FF384B" w:rsidRDefault="003E3BA9">
      <w:pPr>
        <w:numPr>
          <w:ilvl w:val="1"/>
          <w:numId w:val="76"/>
        </w:numPr>
        <w:spacing w:after="0" w:line="327" w:lineRule="auto"/>
        <w:ind w:right="244" w:hanging="360"/>
        <w:jc w:val="both"/>
      </w:pPr>
      <w:r>
        <w:rPr>
          <w:rFonts w:ascii="Arial" w:eastAsia="Arial" w:hAnsi="Arial" w:cs="Arial"/>
          <w:i/>
          <w:color w:val="202020"/>
        </w:rPr>
        <w:t xml:space="preserve">c) Importe de los fondos propios destinados a financiar la actividad.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color w:val="202020"/>
          <w:sz w:val="20"/>
        </w:rPr>
        <w:tab/>
      </w:r>
      <w:r>
        <w:rPr>
          <w:rFonts w:ascii="Arial" w:eastAsia="Arial" w:hAnsi="Arial" w:cs="Arial"/>
          <w:i/>
          <w:color w:val="202020"/>
        </w:rPr>
        <w:t xml:space="preserve">d) Otros recursos. </w:t>
      </w:r>
    </w:p>
    <w:p w:rsidR="00FF384B" w:rsidRDefault="003E3BA9">
      <w:pPr>
        <w:numPr>
          <w:ilvl w:val="0"/>
          <w:numId w:val="76"/>
        </w:numPr>
        <w:spacing w:after="143" w:line="248" w:lineRule="auto"/>
        <w:ind w:right="244" w:hanging="10"/>
        <w:jc w:val="both"/>
      </w:pPr>
      <w:r>
        <w:rPr>
          <w:rFonts w:ascii="Arial" w:eastAsia="Arial" w:hAnsi="Arial" w:cs="Arial"/>
          <w:i/>
          <w:color w:val="202020"/>
        </w:rPr>
        <w:t>El órgano gestor municipal competente por</w:t>
      </w:r>
      <w:r>
        <w:rPr>
          <w:rFonts w:ascii="Arial" w:eastAsia="Arial" w:hAnsi="Arial" w:cs="Arial"/>
          <w:i/>
          <w:color w:val="202020"/>
        </w:rPr>
        <w:t xml:space="preserve"> razón de la materia, especificará en su informe acerca del cumplimiento del objeto del convenio, estas circunstancias. </w:t>
      </w:r>
    </w:p>
    <w:p w:rsidR="00FF384B" w:rsidRDefault="003E3BA9">
      <w:pPr>
        <w:spacing w:after="142" w:line="248" w:lineRule="auto"/>
        <w:ind w:left="278" w:right="244" w:hanging="10"/>
        <w:jc w:val="both"/>
      </w:pPr>
      <w:r>
        <w:rPr>
          <w:rFonts w:ascii="Arial" w:eastAsia="Arial" w:hAnsi="Arial" w:cs="Arial"/>
          <w:color w:val="202020"/>
        </w:rPr>
        <w:t xml:space="preserve">Artículo 50. Justificación de subvenciones destinadas a la adquisición de bienes inmuebles.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7463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1523" name="Group 45152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230" name="Picture 20230"/>
                          <pic:cNvPicPr/>
                        </pic:nvPicPr>
                        <pic:blipFill>
                          <a:blip r:embed="rId62"/>
                          <a:stretch>
                            <a:fillRect/>
                          </a:stretch>
                        </pic:blipFill>
                        <pic:spPr>
                          <a:xfrm rot="-5399999">
                            <a:off x="-1720849" y="1720849"/>
                            <a:ext cx="3797300" cy="355601"/>
                          </a:xfrm>
                          <a:prstGeom prst="rect">
                            <a:avLst/>
                          </a:prstGeom>
                        </pic:spPr>
                      </pic:pic>
                      <wps:wsp>
                        <wps:cNvPr id="20231" name="Rectangle 2023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w:t>
                              </w:r>
                              <w:r>
                                <w:rPr>
                                  <w:rFonts w:ascii="Arial" w:eastAsia="Arial" w:hAnsi="Arial" w:cs="Arial"/>
                                  <w:sz w:val="12"/>
                                </w:rPr>
                                <w:t xml:space="preserve">L7K | Verificación: https://candelaria.sedelectronica.es/ </w:t>
                              </w:r>
                            </w:p>
                          </w:txbxContent>
                        </wps:txbx>
                        <wps:bodyPr horzOverflow="overflow" vert="horz" lIns="0" tIns="0" rIns="0" bIns="0" rtlCol="0">
                          <a:noAutofit/>
                        </wps:bodyPr>
                      </wps:wsp>
                      <wps:wsp>
                        <wps:cNvPr id="20232" name="Rectangle 2023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1523" style="width:41.2715pt;height:299pt;position:absolute;mso-position-horizontal-relative:page;mso-position-horizontal:absolute;margin-left:653.71pt;mso-position-vertical-relative:page;margin-top:512.92pt;" coordsize="5241,37973">
                <v:shape id="Picture 20230" style="position:absolute;width:37973;height:3556;left:-17208;top:17208;rotation:-89;" filled="f">
                  <v:imagedata r:id="rId63"/>
                </v:shape>
                <v:rect id="Rectangle 2023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23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353 </w:t>
                        </w:r>
                      </w:p>
                    </w:txbxContent>
                  </v:textbox>
                </v:rect>
                <w10:wrap type="square"/>
              </v:group>
            </w:pict>
          </mc:Fallback>
        </mc:AlternateContent>
      </w:r>
      <w:r>
        <w:rPr>
          <w:rFonts w:ascii="Arial" w:eastAsia="Arial" w:hAnsi="Arial" w:cs="Arial"/>
          <w:i/>
          <w:color w:val="202020"/>
        </w:rPr>
        <w:t>Además de la cuenta justificativa establecida en los artículos 45, 46, 47 de esta Ordenanza, junto co</w:t>
      </w:r>
      <w:r>
        <w:rPr>
          <w:rFonts w:ascii="Arial" w:eastAsia="Arial" w:hAnsi="Arial" w:cs="Arial"/>
          <w:i/>
          <w:color w:val="202020"/>
        </w:rPr>
        <w:t>n las facturas y demás justificantes en el mismo establecidos, podrá ser emitido informe por las Concejalías que tramiten las subvenciones y, en su caso, por tasador independiente debidamente acreditado e inscrito en el correspondiente registro oficial, en</w:t>
      </w:r>
      <w:r>
        <w:rPr>
          <w:rFonts w:ascii="Arial" w:eastAsia="Arial" w:hAnsi="Arial" w:cs="Arial"/>
          <w:i/>
          <w:color w:val="202020"/>
        </w:rPr>
        <w:t xml:space="preserve"> relación con el coste y precio de mercado. </w:t>
      </w:r>
    </w:p>
    <w:p w:rsidR="00FF384B" w:rsidRDefault="003E3BA9">
      <w:pPr>
        <w:spacing w:after="142" w:line="248" w:lineRule="auto"/>
        <w:ind w:left="278" w:right="244" w:hanging="10"/>
        <w:jc w:val="both"/>
      </w:pPr>
      <w:r>
        <w:rPr>
          <w:rFonts w:ascii="Arial" w:eastAsia="Arial" w:hAnsi="Arial" w:cs="Arial"/>
          <w:color w:val="202020"/>
        </w:rPr>
        <w:t xml:space="preserve">Artículo 51. Justificación de las subvenciones de actividades ejecutadas con anterioridad a su concesión. </w:t>
      </w:r>
    </w:p>
    <w:p w:rsidR="00FF384B" w:rsidRDefault="003E3BA9">
      <w:pPr>
        <w:spacing w:after="143" w:line="248" w:lineRule="auto"/>
        <w:ind w:left="278" w:right="244" w:hanging="10"/>
        <w:jc w:val="both"/>
      </w:pPr>
      <w:r>
        <w:rPr>
          <w:rFonts w:ascii="Arial" w:eastAsia="Arial" w:hAnsi="Arial" w:cs="Arial"/>
          <w:i/>
          <w:color w:val="202020"/>
        </w:rPr>
        <w:t>Se trata de aquellos supuestos en los que se otorga una subvención no para desarrollar una actividad, si</w:t>
      </w:r>
      <w:r>
        <w:rPr>
          <w:rFonts w:ascii="Arial" w:eastAsia="Arial" w:hAnsi="Arial" w:cs="Arial"/>
          <w:i/>
          <w:color w:val="202020"/>
        </w:rPr>
        <w:t>no en atención a una actividad o comportamiento anteriores a la concesión de la subvención o a la concurrencia de una determinada situación. La acreditación de tal actividad, comportamiento o situación debe realizarse antes del otorgamiento de la subvenció</w:t>
      </w:r>
      <w:r>
        <w:rPr>
          <w:rFonts w:ascii="Arial" w:eastAsia="Arial" w:hAnsi="Arial" w:cs="Arial"/>
          <w:i/>
          <w:color w:val="202020"/>
        </w:rPr>
        <w:t xml:space="preserve">n. La justificación no será pues una carga u obligación derivada de la concesión de la subvención sino que será un requisito para la concesión. </w:t>
      </w:r>
    </w:p>
    <w:p w:rsidR="00FF384B" w:rsidRDefault="003E3BA9">
      <w:pPr>
        <w:spacing w:after="142" w:line="248" w:lineRule="auto"/>
        <w:ind w:left="278" w:right="244" w:hanging="10"/>
        <w:jc w:val="both"/>
      </w:pPr>
      <w:r>
        <w:rPr>
          <w:rFonts w:ascii="Arial" w:eastAsia="Arial" w:hAnsi="Arial" w:cs="Arial"/>
          <w:color w:val="202020"/>
        </w:rPr>
        <w:t xml:space="preserve">Artículo 52. Peculiaridades de la justificación de subvenciones gestionadas por entidades colaboradoras. </w:t>
      </w:r>
    </w:p>
    <w:p w:rsidR="00FF384B" w:rsidRDefault="003E3BA9">
      <w:pPr>
        <w:numPr>
          <w:ilvl w:val="0"/>
          <w:numId w:val="77"/>
        </w:numPr>
        <w:spacing w:after="143" w:line="248" w:lineRule="auto"/>
        <w:ind w:right="244" w:hanging="10"/>
        <w:jc w:val="both"/>
      </w:pPr>
      <w:r>
        <w:rPr>
          <w:rFonts w:ascii="Arial" w:eastAsia="Arial" w:hAnsi="Arial" w:cs="Arial"/>
          <w:i/>
          <w:color w:val="202020"/>
        </w:rPr>
        <w:t>La justificación de las subvenciones gestionadas por entidades colaboradoras se refiere, tanto a la acreditación de la entrega a los beneficiarios de los fondos recibidos, como a la presentación ante éste de la justificación aportada por los beneficiarios,</w:t>
      </w:r>
      <w:r>
        <w:rPr>
          <w:rFonts w:ascii="Arial" w:eastAsia="Arial" w:hAnsi="Arial" w:cs="Arial"/>
          <w:i/>
          <w:color w:val="202020"/>
        </w:rPr>
        <w:t xml:space="preserve"> que se extenderá no sólo a la aplicación de los fondos por los mismos, sino también al cumplimiento de las condiciones para el cobro por aquéllos, en función de lo dispuesto en el convenio de colaboración. </w:t>
      </w:r>
    </w:p>
    <w:p w:rsidR="00FF384B" w:rsidRDefault="003E3BA9">
      <w:pPr>
        <w:numPr>
          <w:ilvl w:val="0"/>
          <w:numId w:val="77"/>
        </w:numPr>
        <w:spacing w:after="143" w:line="248" w:lineRule="auto"/>
        <w:ind w:right="244" w:hanging="10"/>
        <w:jc w:val="both"/>
      </w:pPr>
      <w:r>
        <w:rPr>
          <w:rFonts w:ascii="Arial" w:eastAsia="Arial" w:hAnsi="Arial" w:cs="Arial"/>
          <w:i/>
          <w:color w:val="202020"/>
        </w:rPr>
        <w:t>La entidad colaboradora estará obligada, igualme</w:t>
      </w:r>
      <w:r>
        <w:rPr>
          <w:rFonts w:ascii="Arial" w:eastAsia="Arial" w:hAnsi="Arial" w:cs="Arial"/>
          <w:i/>
          <w:color w:val="202020"/>
        </w:rPr>
        <w:t>nte, a someterse a las actuaciones de comprobación que respecto de la gestión de los fondos municipales pueda efectuar el Ayuntamiento de Candelaria, así como cualesquiera otras de comprobación y control financiero, aportando cuanta información le sea requ</w:t>
      </w:r>
      <w:r>
        <w:rPr>
          <w:rFonts w:ascii="Arial" w:eastAsia="Arial" w:hAnsi="Arial" w:cs="Arial"/>
          <w:i/>
          <w:color w:val="202020"/>
        </w:rPr>
        <w:t xml:space="preserve">erida en el ejercicio de las actuaciones citadas. </w:t>
      </w:r>
    </w:p>
    <w:p w:rsidR="00FF384B" w:rsidRDefault="003E3BA9">
      <w:pPr>
        <w:spacing w:after="142" w:line="248" w:lineRule="auto"/>
        <w:ind w:left="278" w:right="244" w:hanging="10"/>
        <w:jc w:val="both"/>
      </w:pPr>
      <w:r>
        <w:rPr>
          <w:rFonts w:ascii="Arial" w:eastAsia="Arial" w:hAnsi="Arial" w:cs="Arial"/>
          <w:color w:val="202020"/>
        </w:rPr>
        <w:t xml:space="preserve">Artículo 53. Plazo para la justificación. </w:t>
      </w:r>
    </w:p>
    <w:p w:rsidR="00FF384B" w:rsidRDefault="003E3BA9">
      <w:pPr>
        <w:numPr>
          <w:ilvl w:val="0"/>
          <w:numId w:val="78"/>
        </w:numPr>
        <w:spacing w:after="143" w:line="248" w:lineRule="auto"/>
        <w:ind w:right="244" w:hanging="10"/>
        <w:jc w:val="both"/>
      </w:pPr>
      <w:r>
        <w:rPr>
          <w:rFonts w:ascii="Arial" w:eastAsia="Arial" w:hAnsi="Arial" w:cs="Arial"/>
          <w:i/>
          <w:color w:val="202020"/>
        </w:rPr>
        <w:t>La convocatoria de la subvención y, en su caso, el convenio de colaboración, fijarán el plazo de inicio del periodo de rendición de la justificación de las subvenciones y su final, que será como máximo, de tres meses desde la finalización del plazo para la</w:t>
      </w:r>
      <w:r>
        <w:rPr>
          <w:rFonts w:ascii="Arial" w:eastAsia="Arial" w:hAnsi="Arial" w:cs="Arial"/>
          <w:i/>
          <w:color w:val="202020"/>
        </w:rPr>
        <w:t xml:space="preserve"> realización de la actividad. </w:t>
      </w:r>
    </w:p>
    <w:p w:rsidR="00FF384B" w:rsidRDefault="003E3BA9">
      <w:pPr>
        <w:numPr>
          <w:ilvl w:val="0"/>
          <w:numId w:val="78"/>
        </w:numPr>
        <w:spacing w:after="143" w:line="248" w:lineRule="auto"/>
        <w:ind w:right="244" w:hanging="10"/>
        <w:jc w:val="both"/>
      </w:pPr>
      <w:r>
        <w:rPr>
          <w:rFonts w:ascii="Arial" w:eastAsia="Arial" w:hAnsi="Arial" w:cs="Arial"/>
          <w:i/>
          <w:color w:val="202020"/>
        </w:rPr>
        <w:t>Excepcionalmente y si por razones justificadas debidamente motivadas no pudiera realizarse o justificarse en el plazo previsto, el órgano concedente podrá acordar, siempre con anterioridad a la finalización del plazo concedid</w:t>
      </w:r>
      <w:r>
        <w:rPr>
          <w:rFonts w:ascii="Arial" w:eastAsia="Arial" w:hAnsi="Arial" w:cs="Arial"/>
          <w:i/>
          <w:color w:val="202020"/>
        </w:rPr>
        <w:t xml:space="preserve">o, la prórroga del plazo, que no excederá de la mitad del previsto en el párrafo anterior, siempre que no se perjudiquen derechos de terceros. </w:t>
      </w:r>
    </w:p>
    <w:p w:rsidR="00FF384B" w:rsidRDefault="003E3BA9">
      <w:pPr>
        <w:spacing w:after="142" w:line="248" w:lineRule="auto"/>
        <w:ind w:left="278" w:right="244" w:hanging="10"/>
        <w:jc w:val="both"/>
      </w:pPr>
      <w:r>
        <w:rPr>
          <w:rFonts w:ascii="Arial" w:eastAsia="Arial" w:hAnsi="Arial" w:cs="Arial"/>
          <w:color w:val="202020"/>
        </w:rPr>
        <w:t xml:space="preserve">Art. 54. Efectos del incumplimiento del deber de justificación. </w:t>
      </w:r>
    </w:p>
    <w:p w:rsidR="00FF384B" w:rsidRDefault="003E3BA9">
      <w:pPr>
        <w:numPr>
          <w:ilvl w:val="0"/>
          <w:numId w:val="79"/>
        </w:numPr>
        <w:spacing w:after="143" w:line="248" w:lineRule="auto"/>
        <w:ind w:right="244" w:hanging="10"/>
        <w:jc w:val="both"/>
      </w:pPr>
      <w:r>
        <w:rPr>
          <w:noProof/>
        </w:rPr>
        <mc:AlternateContent>
          <mc:Choice Requires="wpg">
            <w:drawing>
              <wp:anchor distT="0" distB="0" distL="114300" distR="114300" simplePos="0" relativeHeight="2517473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1693" name="Group 45169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366" name="Picture 20366"/>
                          <pic:cNvPicPr/>
                        </pic:nvPicPr>
                        <pic:blipFill>
                          <a:blip r:embed="rId62"/>
                          <a:stretch>
                            <a:fillRect/>
                          </a:stretch>
                        </pic:blipFill>
                        <pic:spPr>
                          <a:xfrm rot="-5399999">
                            <a:off x="-1720849" y="1720849"/>
                            <a:ext cx="3797300" cy="355601"/>
                          </a:xfrm>
                          <a:prstGeom prst="rect">
                            <a:avLst/>
                          </a:prstGeom>
                        </pic:spPr>
                      </pic:pic>
                      <wps:wsp>
                        <wps:cNvPr id="20367" name="Rectangle 2036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w:t>
                              </w:r>
                              <w:r>
                                <w:rPr>
                                  <w:rFonts w:ascii="Arial" w:eastAsia="Arial" w:hAnsi="Arial" w:cs="Arial"/>
                                  <w:sz w:val="12"/>
                                </w:rPr>
                                <w:t xml:space="preserve"> Verificación: https://candelaria.sedelectronica.es/ </w:t>
                              </w:r>
                            </w:p>
                          </w:txbxContent>
                        </wps:txbx>
                        <wps:bodyPr horzOverflow="overflow" vert="horz" lIns="0" tIns="0" rIns="0" bIns="0" rtlCol="0">
                          <a:noAutofit/>
                        </wps:bodyPr>
                      </wps:wsp>
                      <wps:wsp>
                        <wps:cNvPr id="20368" name="Rectangle 2036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1693" style="width:41.2715pt;height:299pt;position:absolute;mso-position-horizontal-relative:page;mso-position-horizontal:absolute;margin-left:653.71pt;mso-position-vertical-relative:page;margin-top:512.92pt;" coordsize="5241,37973">
                <v:shape id="Picture 20366" style="position:absolute;width:37973;height:3556;left:-17208;top:17208;rotation:-89;" filled="f">
                  <v:imagedata r:id="rId63"/>
                </v:shape>
                <v:rect id="Rectangle 2036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36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353 </w:t>
                        </w:r>
                      </w:p>
                    </w:txbxContent>
                  </v:textbox>
                </v:rect>
                <w10:wrap type="square"/>
              </v:group>
            </w:pict>
          </mc:Fallback>
        </mc:AlternateContent>
      </w:r>
      <w:r>
        <w:rPr>
          <w:rFonts w:ascii="Arial" w:eastAsia="Arial" w:hAnsi="Arial" w:cs="Arial"/>
          <w:i/>
          <w:color w:val="202020"/>
        </w:rPr>
        <w:t>Transcurrido el plazo de justificación, incluida la prórroga cuando hubiese sido concedida, sin que se hay</w:t>
      </w:r>
      <w:r>
        <w:rPr>
          <w:rFonts w:ascii="Arial" w:eastAsia="Arial" w:hAnsi="Arial" w:cs="Arial"/>
          <w:i/>
          <w:color w:val="202020"/>
        </w:rPr>
        <w:t>a presentado la justificación, se requerirá al beneficiario para que sea presentada en el plazo improrrogable de quince días. El incumplimiento de la obligación de justificación o la justificación insuficiente de la misma llevaran consigo la pérdida del de</w:t>
      </w:r>
      <w:r>
        <w:rPr>
          <w:rFonts w:ascii="Arial" w:eastAsia="Arial" w:hAnsi="Arial" w:cs="Arial"/>
          <w:i/>
          <w:color w:val="202020"/>
        </w:rPr>
        <w:t xml:space="preserve">recho al cobro o el reintegro de las cantidades percibidas y, en su caso, los intereses de demora que procedan </w:t>
      </w:r>
    </w:p>
    <w:p w:rsidR="00FF384B" w:rsidRDefault="003E3BA9">
      <w:pPr>
        <w:numPr>
          <w:ilvl w:val="0"/>
          <w:numId w:val="79"/>
        </w:numPr>
        <w:spacing w:after="143" w:line="248" w:lineRule="auto"/>
        <w:ind w:right="244" w:hanging="10"/>
        <w:jc w:val="both"/>
      </w:pPr>
      <w:r>
        <w:rPr>
          <w:rFonts w:ascii="Arial" w:eastAsia="Arial" w:hAnsi="Arial" w:cs="Arial"/>
          <w:i/>
          <w:color w:val="202020"/>
        </w:rPr>
        <w:t>Cuando el órgano competente para la comprobación de la subvención aprecie la existencia de defectos subsanables en la justificación presentada p</w:t>
      </w:r>
      <w:r>
        <w:rPr>
          <w:rFonts w:ascii="Arial" w:eastAsia="Arial" w:hAnsi="Arial" w:cs="Arial"/>
          <w:i/>
          <w:color w:val="202020"/>
        </w:rPr>
        <w:t>or el beneficiario, lo pondrá en su conocimiento concediéndole un plazo de diez días para su corrección. La falta de subsanación de los defectos en este plazo, si son sustanciales de modo que impidan comprobar el cumplimiento, llevará consigo las mismas co</w:t>
      </w:r>
      <w:r>
        <w:rPr>
          <w:rFonts w:ascii="Arial" w:eastAsia="Arial" w:hAnsi="Arial" w:cs="Arial"/>
          <w:i/>
          <w:color w:val="202020"/>
        </w:rPr>
        <w:t xml:space="preserve">nsecuencias que el incumplimiento de la obligación de justificación. </w:t>
      </w:r>
    </w:p>
    <w:p w:rsidR="00FF384B" w:rsidRDefault="003E3BA9">
      <w:pPr>
        <w:numPr>
          <w:ilvl w:val="0"/>
          <w:numId w:val="79"/>
        </w:numPr>
        <w:spacing w:after="143" w:line="248" w:lineRule="auto"/>
        <w:ind w:right="244" w:hanging="10"/>
        <w:jc w:val="both"/>
      </w:pPr>
      <w:r>
        <w:rPr>
          <w:rFonts w:ascii="Arial" w:eastAsia="Arial" w:hAnsi="Arial" w:cs="Arial"/>
          <w:i/>
          <w:color w:val="202020"/>
        </w:rPr>
        <w:t>El incumplimiento total o parcial de la obligación de justificación de la subvención o la justificación fuera de plazo llevará aparejado la obligación de reintegrar las cantidades no jus</w:t>
      </w:r>
      <w:r>
        <w:rPr>
          <w:rFonts w:ascii="Arial" w:eastAsia="Arial" w:hAnsi="Arial" w:cs="Arial"/>
          <w:i/>
          <w:color w:val="202020"/>
        </w:rPr>
        <w:t xml:space="preserve">tificadas. </w:t>
      </w:r>
    </w:p>
    <w:p w:rsidR="00FF384B" w:rsidRDefault="003E3BA9">
      <w:pPr>
        <w:spacing w:after="142" w:line="248" w:lineRule="auto"/>
        <w:ind w:left="278" w:right="244" w:hanging="10"/>
        <w:jc w:val="both"/>
      </w:pPr>
      <w:r>
        <w:rPr>
          <w:rFonts w:ascii="Arial" w:eastAsia="Arial" w:hAnsi="Arial" w:cs="Arial"/>
          <w:color w:val="202020"/>
        </w:rPr>
        <w:t xml:space="preserve">Artículo 55. Comprobación de subvenciones. </w:t>
      </w:r>
    </w:p>
    <w:p w:rsidR="00FF384B" w:rsidRDefault="003E3BA9">
      <w:pPr>
        <w:spacing w:after="143" w:line="248" w:lineRule="auto"/>
        <w:ind w:left="278" w:right="244" w:hanging="10"/>
        <w:jc w:val="both"/>
      </w:pPr>
      <w:r>
        <w:rPr>
          <w:rFonts w:ascii="Arial" w:eastAsia="Arial" w:hAnsi="Arial" w:cs="Arial"/>
          <w:i/>
          <w:color w:val="202020"/>
        </w:rPr>
        <w:t xml:space="preserve">El órgano concedente deberá comprobar la adecuada justificación de la subvención, así como la realización de la actividad y el cumplimiento de la finalidad que determinen la concesión de la subvención y todas las características especiales de la actuación </w:t>
      </w:r>
      <w:r>
        <w:rPr>
          <w:rFonts w:ascii="Arial" w:eastAsia="Arial" w:hAnsi="Arial" w:cs="Arial"/>
          <w:i/>
          <w:color w:val="202020"/>
        </w:rPr>
        <w:t xml:space="preserve">financiada, en especial la posible subcontratación, cumpliendo los siguientes trámites: </w:t>
      </w:r>
    </w:p>
    <w:p w:rsidR="00FF384B" w:rsidRDefault="003E3BA9">
      <w:pPr>
        <w:numPr>
          <w:ilvl w:val="0"/>
          <w:numId w:val="80"/>
        </w:numPr>
        <w:spacing w:after="143" w:line="248" w:lineRule="auto"/>
        <w:ind w:right="244" w:hanging="10"/>
        <w:jc w:val="both"/>
      </w:pPr>
      <w:r>
        <w:rPr>
          <w:rFonts w:ascii="Arial" w:eastAsia="Arial" w:hAnsi="Arial" w:cs="Arial"/>
          <w:i/>
          <w:color w:val="202020"/>
        </w:rPr>
        <w:t xml:space="preserve">Presentación, en plazo, de la documentación justificativa de la subvención, en el lugar donde la convocatoria o el convenio prevean y de acuerdo con lo previsto en la </w:t>
      </w:r>
      <w:r>
        <w:rPr>
          <w:rFonts w:ascii="Arial" w:eastAsia="Arial" w:hAnsi="Arial" w:cs="Arial"/>
          <w:i/>
          <w:color w:val="202020"/>
        </w:rPr>
        <w:t xml:space="preserve">legislación vigente de Procedimiento Administrativo Común. </w:t>
      </w:r>
    </w:p>
    <w:p w:rsidR="00FF384B" w:rsidRDefault="003E3BA9">
      <w:pPr>
        <w:numPr>
          <w:ilvl w:val="0"/>
          <w:numId w:val="80"/>
        </w:numPr>
        <w:spacing w:after="143" w:line="248" w:lineRule="auto"/>
        <w:ind w:right="244" w:hanging="10"/>
        <w:jc w:val="both"/>
      </w:pPr>
      <w:r>
        <w:rPr>
          <w:rFonts w:ascii="Arial" w:eastAsia="Arial" w:hAnsi="Arial" w:cs="Arial"/>
          <w:i/>
          <w:color w:val="202020"/>
        </w:rPr>
        <w:t>Comprobación material por el órgano gestor, de que la documentación presentada cumple los requisitos establecidos en esta Ordenanza, en la convocatoria de la subvención o en el convenio de colabor</w:t>
      </w:r>
      <w:r>
        <w:rPr>
          <w:rFonts w:ascii="Arial" w:eastAsia="Arial" w:hAnsi="Arial" w:cs="Arial"/>
          <w:i/>
          <w:color w:val="202020"/>
        </w:rPr>
        <w:t xml:space="preserve">ación y en el acuerdo de aprobación. </w:t>
      </w:r>
    </w:p>
    <w:p w:rsidR="00FF384B" w:rsidRDefault="003E3BA9">
      <w:pPr>
        <w:numPr>
          <w:ilvl w:val="0"/>
          <w:numId w:val="80"/>
        </w:numPr>
        <w:spacing w:after="143" w:line="248" w:lineRule="auto"/>
        <w:ind w:right="244" w:hanging="10"/>
        <w:jc w:val="both"/>
      </w:pPr>
      <w:r>
        <w:rPr>
          <w:rFonts w:ascii="Arial" w:eastAsia="Arial" w:hAnsi="Arial" w:cs="Arial"/>
          <w:i/>
          <w:color w:val="202020"/>
        </w:rPr>
        <w:t xml:space="preserve">Emisión por el órgano gestor de informe en el que se constate el cumplimiento, desde un punto de vista material, del objeto de la subvención o convenio. </w:t>
      </w:r>
    </w:p>
    <w:p w:rsidR="00FF384B" w:rsidRDefault="003E3BA9">
      <w:pPr>
        <w:spacing w:after="143" w:line="248" w:lineRule="auto"/>
        <w:ind w:left="278" w:right="244" w:hanging="10"/>
        <w:jc w:val="both"/>
      </w:pPr>
      <w:r>
        <w:rPr>
          <w:rFonts w:ascii="Arial" w:eastAsia="Arial" w:hAnsi="Arial" w:cs="Arial"/>
          <w:i/>
          <w:color w:val="202020"/>
        </w:rPr>
        <w:t>En dicho informe ha de constar la aportación municipal, así como</w:t>
      </w:r>
      <w:r>
        <w:rPr>
          <w:rFonts w:ascii="Arial" w:eastAsia="Arial" w:hAnsi="Arial" w:cs="Arial"/>
          <w:i/>
          <w:color w:val="202020"/>
        </w:rPr>
        <w:t xml:space="preserve">, en su caso, el resto de recursos financieros de que ha dispuesto el beneficiario (otras subvenciones, fondos propios, otros recursos...), datos que deberán reflejarse por dicho beneficiario en la memoria de evaluación. </w:t>
      </w:r>
    </w:p>
    <w:p w:rsidR="00FF384B" w:rsidRDefault="003E3BA9">
      <w:pPr>
        <w:numPr>
          <w:ilvl w:val="0"/>
          <w:numId w:val="80"/>
        </w:numPr>
        <w:spacing w:after="143" w:line="248" w:lineRule="auto"/>
        <w:ind w:right="244" w:hanging="10"/>
        <w:jc w:val="both"/>
      </w:pPr>
      <w:r>
        <w:rPr>
          <w:rFonts w:ascii="Arial" w:eastAsia="Arial" w:hAnsi="Arial" w:cs="Arial"/>
          <w:i/>
          <w:color w:val="202020"/>
        </w:rPr>
        <w:t>Remisión del expediente completo a</w:t>
      </w:r>
      <w:r>
        <w:rPr>
          <w:rFonts w:ascii="Arial" w:eastAsia="Arial" w:hAnsi="Arial" w:cs="Arial"/>
          <w:i/>
          <w:color w:val="202020"/>
        </w:rPr>
        <w:t xml:space="preserve"> la Intervención General, a los efectos de la emisión del correspondiente informe, acerca de la justificación formal de la subvención. </w:t>
      </w:r>
    </w:p>
    <w:p w:rsidR="00FF384B" w:rsidRDefault="003E3BA9">
      <w:pPr>
        <w:spacing w:after="143" w:line="248" w:lineRule="auto"/>
        <w:ind w:left="278" w:right="244" w:hanging="10"/>
        <w:jc w:val="both"/>
      </w:pPr>
      <w:r>
        <w:rPr>
          <w:rFonts w:ascii="Arial" w:eastAsia="Arial" w:hAnsi="Arial" w:cs="Arial"/>
          <w:i/>
          <w:color w:val="202020"/>
        </w:rPr>
        <w:t>El expediente habrá de contener todas y cada una de las actuaciones administrativas, desde su origen. En el caso de subv</w:t>
      </w:r>
      <w:r>
        <w:rPr>
          <w:rFonts w:ascii="Arial" w:eastAsia="Arial" w:hAnsi="Arial" w:cs="Arial"/>
          <w:i/>
          <w:color w:val="202020"/>
        </w:rPr>
        <w:t>enciones: convocatoria de la subvención debidamente aprobada y publicada, documentación relativa a la solicitud del beneficiario, así como acuerdo de concesión por el órgano municipal competente. En el caso de convenios de colaboración: original del conven</w:t>
      </w:r>
      <w:r>
        <w:rPr>
          <w:rFonts w:ascii="Arial" w:eastAsia="Arial" w:hAnsi="Arial" w:cs="Arial"/>
          <w:i/>
          <w:color w:val="202020"/>
        </w:rPr>
        <w:t>io debidamente suscrito así como acuerdo de aprobación por el órgano municipal competente. Igualmente habrá de constar en el expediente, en todos los casos, todos y cada uno de los documentos contables correspondientes al gasto a fiscalizar, así como la me</w:t>
      </w:r>
      <w:r>
        <w:rPr>
          <w:rFonts w:ascii="Arial" w:eastAsia="Arial" w:hAnsi="Arial" w:cs="Arial"/>
          <w:i/>
          <w:color w:val="202020"/>
        </w:rPr>
        <w:t xml:space="preserve">moria de evaluación, relación numerada de justificantes y documentos justificativos.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7483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1898" name="Group 45189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512" name="Picture 20512"/>
                          <pic:cNvPicPr/>
                        </pic:nvPicPr>
                        <pic:blipFill>
                          <a:blip r:embed="rId62"/>
                          <a:stretch>
                            <a:fillRect/>
                          </a:stretch>
                        </pic:blipFill>
                        <pic:spPr>
                          <a:xfrm rot="-5399999">
                            <a:off x="-1720849" y="1720849"/>
                            <a:ext cx="3797300" cy="355601"/>
                          </a:xfrm>
                          <a:prstGeom prst="rect">
                            <a:avLst/>
                          </a:prstGeom>
                        </pic:spPr>
                      </pic:pic>
                      <wps:wsp>
                        <wps:cNvPr id="20513" name="Rectangle 2051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0514" name="Rectangle 20514"/>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w:t>
                              </w:r>
                              <w:r>
                                <w:rPr>
                                  <w:rFonts w:ascii="Arial" w:eastAsia="Arial" w:hAnsi="Arial" w:cs="Arial"/>
                                  <w:sz w:val="12"/>
                                </w:rPr>
                                <w:t xml:space="preserve">stiona | Página 87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1898" style="width:41.2715pt;height:299pt;position:absolute;mso-position-horizontal-relative:page;mso-position-horizontal:absolute;margin-left:653.71pt;mso-position-vertical-relative:page;margin-top:512.92pt;" coordsize="5241,37973">
                <v:shape id="Picture 20512" style="position:absolute;width:37973;height:3556;left:-17208;top:17208;rotation:-89;" filled="f">
                  <v:imagedata r:id="rId63"/>
                </v:shape>
                <v:rect id="Rectangle 205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514"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353 </w:t>
                        </w:r>
                      </w:p>
                    </w:txbxContent>
                  </v:textbox>
                </v:rect>
                <w10:wrap type="square"/>
              </v:group>
            </w:pict>
          </mc:Fallback>
        </mc:AlternateContent>
      </w:r>
      <w:r>
        <w:rPr>
          <w:rFonts w:ascii="Arial" w:eastAsia="Arial" w:hAnsi="Arial" w:cs="Arial"/>
          <w:i/>
          <w:color w:val="202020"/>
        </w:rPr>
        <w:t>Una vez emitido el informe en ejercicio de la función interventora se devolverá el expediente al órgano gestor, para aprobación de la justificación (si la justificación es correcta) o para la notificación al interesado de los rep</w:t>
      </w:r>
      <w:r>
        <w:rPr>
          <w:rFonts w:ascii="Arial" w:eastAsia="Arial" w:hAnsi="Arial" w:cs="Arial"/>
          <w:i/>
          <w:color w:val="202020"/>
        </w:rPr>
        <w:t xml:space="preserve">aros formulados (si la justificación es incorrecta). </w:t>
      </w:r>
    </w:p>
    <w:p w:rsidR="00FF384B" w:rsidRDefault="003E3BA9">
      <w:pPr>
        <w:numPr>
          <w:ilvl w:val="0"/>
          <w:numId w:val="80"/>
        </w:numPr>
        <w:spacing w:after="143" w:line="248" w:lineRule="auto"/>
        <w:ind w:right="244" w:hanging="10"/>
        <w:jc w:val="both"/>
      </w:pPr>
      <w:r>
        <w:rPr>
          <w:rFonts w:ascii="Arial" w:eastAsia="Arial" w:hAnsi="Arial" w:cs="Arial"/>
          <w:i/>
          <w:color w:val="202020"/>
        </w:rPr>
        <w:t>En el caso de establecerse pagos a cuenta de las subvenciones, que tendrán la consideración de pagos fraccionados, sólo por el importe igual a la cuantía equivalente de la justificación presentada, dich</w:t>
      </w:r>
      <w:r>
        <w:rPr>
          <w:rFonts w:ascii="Arial" w:eastAsia="Arial" w:hAnsi="Arial" w:cs="Arial"/>
          <w:i/>
          <w:color w:val="202020"/>
        </w:rPr>
        <w:t xml:space="preserve">a justificación deberá efectuarse de forma similar a la prevista para la totalidad de la subvención o convenio y con los requisitos previstos en cuanto a justificación en la presente normativa. </w:t>
      </w:r>
    </w:p>
    <w:p w:rsidR="00FF384B" w:rsidRDefault="003E3BA9">
      <w:pPr>
        <w:numPr>
          <w:ilvl w:val="0"/>
          <w:numId w:val="80"/>
        </w:numPr>
        <w:spacing w:after="143" w:line="248" w:lineRule="auto"/>
        <w:ind w:right="244" w:hanging="10"/>
        <w:jc w:val="both"/>
      </w:pPr>
      <w:r>
        <w:rPr>
          <w:rFonts w:ascii="Arial" w:eastAsia="Arial" w:hAnsi="Arial" w:cs="Arial"/>
          <w:i/>
          <w:color w:val="202020"/>
        </w:rPr>
        <w:t xml:space="preserve">En el caso de subvenciones de capital iguales o superiores a </w:t>
      </w:r>
      <w:r>
        <w:rPr>
          <w:rFonts w:ascii="Arial" w:eastAsia="Arial" w:hAnsi="Arial" w:cs="Arial"/>
          <w:i/>
          <w:color w:val="202020"/>
        </w:rPr>
        <w:t>90.000 euros, en su cómputo individual, destinadas a inversiones en activos tangibles, el órgano concedente deberá proceder a realizar la comprobación material de la inversión, levantando la correspondiente acta que lo acredite, firmada, tanto por el repre</w:t>
      </w:r>
      <w:r>
        <w:rPr>
          <w:rFonts w:ascii="Arial" w:eastAsia="Arial" w:hAnsi="Arial" w:cs="Arial"/>
          <w:i/>
          <w:color w:val="202020"/>
        </w:rPr>
        <w:t>sentante de la Administración, como por el beneficiario, que deberá unirse al resto de la documentación justificativa. Cuando por la naturaleza de la inversión realizada no fuera posible comprobar materialmente su existencia, se podrá sustituir el acta por</w:t>
      </w:r>
      <w:r>
        <w:rPr>
          <w:rFonts w:ascii="Arial" w:eastAsia="Arial" w:hAnsi="Arial" w:cs="Arial"/>
          <w:i/>
          <w:color w:val="202020"/>
        </w:rPr>
        <w:t xml:space="preserve"> una justificación documental que constate de forma razonable y suficiente la realización de la actividad subvencionada. Si existen pagos fraccionados o anticipados de la subvención, se efectuará, en todo caso, una comprobación antes del pago final o liqui</w:t>
      </w:r>
      <w:r>
        <w:rPr>
          <w:rFonts w:ascii="Arial" w:eastAsia="Arial" w:hAnsi="Arial" w:cs="Arial"/>
          <w:i/>
          <w:color w:val="202020"/>
        </w:rPr>
        <w:t xml:space="preserve">dación de la misma. </w:t>
      </w:r>
    </w:p>
    <w:p w:rsidR="00FF384B" w:rsidRDefault="003E3BA9">
      <w:pPr>
        <w:spacing w:after="142" w:line="248" w:lineRule="auto"/>
        <w:ind w:left="278" w:right="244" w:hanging="10"/>
        <w:jc w:val="both"/>
      </w:pPr>
      <w:r>
        <w:rPr>
          <w:rFonts w:ascii="Arial" w:eastAsia="Arial" w:hAnsi="Arial" w:cs="Arial"/>
          <w:color w:val="202020"/>
        </w:rPr>
        <w:t xml:space="preserve">Artículo 56. Comprobación de valores. </w:t>
      </w:r>
    </w:p>
    <w:p w:rsidR="00FF384B" w:rsidRDefault="003E3BA9">
      <w:pPr>
        <w:spacing w:after="143" w:line="248" w:lineRule="auto"/>
        <w:ind w:left="278" w:right="244" w:hanging="10"/>
        <w:jc w:val="both"/>
      </w:pPr>
      <w:r>
        <w:rPr>
          <w:rFonts w:ascii="Arial" w:eastAsia="Arial" w:hAnsi="Arial" w:cs="Arial"/>
          <w:i/>
          <w:color w:val="202020"/>
        </w:rPr>
        <w:t>Por los órganos gestores podrá efectuarse la comprobación del valor de mercado de los gastos subvencionados, empleando cualquiera de los medios previstos en la legislación de subvenciones vigente.</w:t>
      </w:r>
      <w:r>
        <w:rPr>
          <w:rFonts w:ascii="Arial" w:eastAsia="Arial" w:hAnsi="Arial" w:cs="Arial"/>
          <w:i/>
          <w:color w:val="202020"/>
        </w:rPr>
        <w:t xml:space="preserve"> El resultado de dichas comprobaciones efectuadas en su caso, deberá notificarse al beneficiario, debidamente motivado, con expresión de los criterios empleados junto con la resolución del acto que contiene la resolución de la subvención. </w:t>
      </w:r>
    </w:p>
    <w:p w:rsidR="00FF384B" w:rsidRDefault="003E3BA9">
      <w:pPr>
        <w:spacing w:after="143" w:line="248" w:lineRule="auto"/>
        <w:ind w:left="278" w:right="244" w:hanging="10"/>
        <w:jc w:val="both"/>
      </w:pPr>
      <w:r>
        <w:rPr>
          <w:rFonts w:ascii="Arial" w:eastAsia="Arial" w:hAnsi="Arial" w:cs="Arial"/>
          <w:i/>
          <w:color w:val="202020"/>
        </w:rPr>
        <w:t xml:space="preserve">El beneficiario </w:t>
      </w:r>
      <w:r>
        <w:rPr>
          <w:rFonts w:ascii="Arial" w:eastAsia="Arial" w:hAnsi="Arial" w:cs="Arial"/>
          <w:i/>
          <w:color w:val="202020"/>
        </w:rPr>
        <w:t xml:space="preserve">podrá promover la tasación pericial contradictoria. La solicitud de la misma suspenderá la ejecución del procedimiento resuelto y del plazo para interponer recurso contra éste. </w:t>
      </w:r>
    </w:p>
    <w:p w:rsidR="00FF384B" w:rsidRDefault="003E3BA9">
      <w:pPr>
        <w:spacing w:after="0" w:line="248" w:lineRule="auto"/>
        <w:ind w:left="278" w:right="244" w:hanging="10"/>
        <w:jc w:val="both"/>
      </w:pPr>
      <w:r>
        <w:rPr>
          <w:rFonts w:ascii="Arial" w:eastAsia="Arial" w:hAnsi="Arial" w:cs="Arial"/>
          <w:i/>
          <w:color w:val="202020"/>
        </w:rPr>
        <w:t xml:space="preserve">Si la diferencia entre el valor comprobado por la Administración y la </w:t>
      </w:r>
      <w:r>
        <w:rPr>
          <w:rFonts w:ascii="Arial" w:eastAsia="Arial" w:hAnsi="Arial" w:cs="Arial"/>
          <w:i/>
          <w:color w:val="202020"/>
        </w:rPr>
        <w:t>tasación practicada por el perito de la persona beneficiaria es inferior a 120.000 euros y al 10 por 100 del valor comprobado por la Administración, la tasación del perito de la persona beneficiaria servirá de base para el cálculo de la subvención. En caso</w:t>
      </w:r>
      <w:r>
        <w:rPr>
          <w:rFonts w:ascii="Arial" w:eastAsia="Arial" w:hAnsi="Arial" w:cs="Arial"/>
          <w:i/>
          <w:color w:val="202020"/>
        </w:rPr>
        <w:t xml:space="preserve"> contrario, deberá designarse un perito tercero en los términos que se determinen reglamentariamente. </w:t>
      </w:r>
    </w:p>
    <w:p w:rsidR="00FF384B" w:rsidRDefault="003E3BA9">
      <w:pPr>
        <w:spacing w:after="0"/>
        <w:ind w:left="283"/>
      </w:pPr>
      <w:r>
        <w:rPr>
          <w:rFonts w:ascii="Arial" w:eastAsia="Arial" w:hAnsi="Arial" w:cs="Arial"/>
          <w:i/>
          <w:color w:val="202020"/>
        </w:rPr>
        <w:t xml:space="preserve"> </w:t>
      </w:r>
    </w:p>
    <w:p w:rsidR="00FF384B" w:rsidRDefault="003E3BA9">
      <w:pPr>
        <w:spacing w:after="0" w:line="248" w:lineRule="auto"/>
        <w:ind w:left="278" w:right="244" w:hanging="10"/>
        <w:jc w:val="both"/>
      </w:pPr>
      <w:r>
        <w:rPr>
          <w:rFonts w:ascii="Arial" w:eastAsia="Arial" w:hAnsi="Arial" w:cs="Arial"/>
          <w:i/>
          <w:color w:val="202020"/>
        </w:rPr>
        <w:t xml:space="preserve">Los honorarios del perito de la persona beneficiaria serán satisfechos por ésta. Cuando la tasación practicada por el perito tercero fuese inferior al </w:t>
      </w:r>
      <w:r>
        <w:rPr>
          <w:rFonts w:ascii="Arial" w:eastAsia="Arial" w:hAnsi="Arial" w:cs="Arial"/>
          <w:i/>
          <w:color w:val="202020"/>
        </w:rPr>
        <w:t xml:space="preserve">valor justificado por la persona beneficiaria, todos los gastos de la pericia serán abonados por éste, y, por el contrario, en caso de ser superior, serán de cuenta de la Administración. </w:t>
      </w:r>
    </w:p>
    <w:p w:rsidR="00FF384B" w:rsidRDefault="003E3BA9">
      <w:pPr>
        <w:spacing w:after="143" w:line="248" w:lineRule="auto"/>
        <w:ind w:left="278" w:right="244" w:hanging="10"/>
        <w:jc w:val="both"/>
      </w:pPr>
      <w:r>
        <w:rPr>
          <w:rFonts w:ascii="Arial" w:eastAsia="Arial" w:hAnsi="Arial" w:cs="Arial"/>
          <w:i/>
          <w:color w:val="202020"/>
        </w:rPr>
        <w:t>La valoración del perito tercero servirá de base para la determinaci</w:t>
      </w:r>
      <w:r>
        <w:rPr>
          <w:rFonts w:ascii="Arial" w:eastAsia="Arial" w:hAnsi="Arial" w:cs="Arial"/>
          <w:i/>
          <w:color w:val="202020"/>
        </w:rPr>
        <w:t xml:space="preserve">ón del importe de la subvención. </w:t>
      </w:r>
    </w:p>
    <w:p w:rsidR="00FF384B" w:rsidRDefault="003E3BA9">
      <w:pPr>
        <w:spacing w:after="142" w:line="248" w:lineRule="auto"/>
        <w:ind w:left="278" w:right="244" w:hanging="10"/>
        <w:jc w:val="both"/>
      </w:pPr>
      <w:r>
        <w:rPr>
          <w:rFonts w:ascii="Arial" w:eastAsia="Arial" w:hAnsi="Arial" w:cs="Arial"/>
          <w:color w:val="202020"/>
        </w:rPr>
        <w:t xml:space="preserve">Artículo 57. Revocación. </w:t>
      </w:r>
    </w:p>
    <w:p w:rsidR="00FF384B" w:rsidRDefault="003E3BA9">
      <w:pPr>
        <w:numPr>
          <w:ilvl w:val="0"/>
          <w:numId w:val="81"/>
        </w:numPr>
        <w:spacing w:after="151" w:line="240" w:lineRule="auto"/>
        <w:ind w:right="244" w:hanging="10"/>
      </w:pPr>
      <w:r>
        <w:rPr>
          <w:noProof/>
        </w:rPr>
        <mc:AlternateContent>
          <mc:Choice Requires="wpg">
            <w:drawing>
              <wp:anchor distT="0" distB="0" distL="114300" distR="114300" simplePos="0" relativeHeight="2517493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1849" name="Group 4518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655" name="Picture 20655"/>
                          <pic:cNvPicPr/>
                        </pic:nvPicPr>
                        <pic:blipFill>
                          <a:blip r:embed="rId62"/>
                          <a:stretch>
                            <a:fillRect/>
                          </a:stretch>
                        </pic:blipFill>
                        <pic:spPr>
                          <a:xfrm rot="-5399999">
                            <a:off x="-1720849" y="1720849"/>
                            <a:ext cx="3797300" cy="355601"/>
                          </a:xfrm>
                          <a:prstGeom prst="rect">
                            <a:avLst/>
                          </a:prstGeom>
                        </pic:spPr>
                      </pic:pic>
                      <wps:wsp>
                        <wps:cNvPr id="20656" name="Rectangle 2065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0657" name="Rectangle 2065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1849" style="width:41.2715pt;height:299pt;position:absolute;mso-position-horizontal-relative:page;mso-position-horizontal:absolute;margin-left:653.71pt;mso-position-vertical-relative:page;margin-top:512.92pt;" coordsize="5241,37973">
                <v:shape id="Picture 20655" style="position:absolute;width:37973;height:3556;left:-17208;top:17208;rotation:-89;" filled="f">
                  <v:imagedata r:id="rId63"/>
                </v:shape>
                <v:rect id="Rectangle 2065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65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353 </w:t>
                        </w:r>
                      </w:p>
                    </w:txbxContent>
                  </v:textbox>
                </v:rect>
                <w10:wrap type="square"/>
              </v:group>
            </w:pict>
          </mc:Fallback>
        </mc:AlternateContent>
      </w:r>
      <w:r>
        <w:rPr>
          <w:rFonts w:ascii="Arial" w:eastAsia="Arial" w:hAnsi="Arial" w:cs="Arial"/>
          <w:i/>
          <w:color w:val="202020"/>
        </w:rPr>
        <w:t>Se producirá la revocación del acto de concesión válidamente adoptado, con la consiguiente pérdida del derecho al cobro de la subvención, en todo caso, cuando se compruebe que el proyecto defienda intereses corporativos o de grupos que sean ajenos a los i</w:t>
      </w:r>
      <w:r>
        <w:rPr>
          <w:rFonts w:ascii="Arial" w:eastAsia="Arial" w:hAnsi="Arial" w:cs="Arial"/>
          <w:i/>
          <w:color w:val="202020"/>
        </w:rPr>
        <w:t>ntereses de los vecinos o que tengan contenido imposible, inconstitucional, ilegal o constitutivo de delito, cuando el beneficiario incumpla las obligaciones de justificación o el resto de las obligaciones y compromisos contraídos o concurra cualquier otra</w:t>
      </w:r>
      <w:r>
        <w:rPr>
          <w:rFonts w:ascii="Arial" w:eastAsia="Arial" w:hAnsi="Arial" w:cs="Arial"/>
          <w:i/>
          <w:color w:val="202020"/>
        </w:rPr>
        <w:t xml:space="preserve"> causa de las previstas de reintegro en el artículo 59 de esta Ordenanza. </w:t>
      </w:r>
    </w:p>
    <w:p w:rsidR="00FF384B" w:rsidRDefault="003E3BA9">
      <w:pPr>
        <w:numPr>
          <w:ilvl w:val="0"/>
          <w:numId w:val="81"/>
        </w:numPr>
        <w:spacing w:after="294" w:line="248" w:lineRule="auto"/>
        <w:ind w:right="244" w:hanging="10"/>
      </w:pPr>
      <w:r>
        <w:rPr>
          <w:rFonts w:ascii="Arial" w:eastAsia="Arial" w:hAnsi="Arial" w:cs="Arial"/>
          <w:i/>
          <w:color w:val="202020"/>
        </w:rPr>
        <w:t xml:space="preserve">Si como consecuencia de los incumplimientos previstos en el apartado anterior, procediese el reintegro, total o parcial, de la subvención indebidamente percibida, la declaración de </w:t>
      </w:r>
      <w:r>
        <w:rPr>
          <w:rFonts w:ascii="Arial" w:eastAsia="Arial" w:hAnsi="Arial" w:cs="Arial"/>
          <w:i/>
          <w:color w:val="202020"/>
        </w:rPr>
        <w:t xml:space="preserve">revocación se producirá en el procedimiento de reintegro de esta Ordenanza. </w:t>
      </w:r>
    </w:p>
    <w:p w:rsidR="00FF384B" w:rsidRDefault="003E3BA9">
      <w:pPr>
        <w:spacing w:after="96" w:line="248" w:lineRule="auto"/>
        <w:ind w:left="278" w:right="244" w:hanging="10"/>
        <w:jc w:val="both"/>
      </w:pPr>
      <w:r>
        <w:rPr>
          <w:rFonts w:ascii="Arial" w:eastAsia="Arial" w:hAnsi="Arial" w:cs="Arial"/>
          <w:i/>
          <w:color w:val="202020"/>
        </w:rPr>
        <w:t>CAPÍTULO IV. Reintegro de las subvenciones.</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58. Causas de invalidez de la resolución de concesión. </w:t>
      </w:r>
    </w:p>
    <w:p w:rsidR="00FF384B" w:rsidRDefault="003E3BA9">
      <w:pPr>
        <w:numPr>
          <w:ilvl w:val="0"/>
          <w:numId w:val="82"/>
        </w:numPr>
        <w:spacing w:after="143" w:line="248" w:lineRule="auto"/>
        <w:ind w:right="244" w:hanging="247"/>
        <w:jc w:val="both"/>
      </w:pPr>
      <w:r>
        <w:rPr>
          <w:rFonts w:ascii="Arial" w:eastAsia="Arial" w:hAnsi="Arial" w:cs="Arial"/>
          <w:i/>
          <w:color w:val="202020"/>
        </w:rPr>
        <w:t xml:space="preserve">Son causas de nulidad de la resolución de concesión: </w:t>
      </w:r>
    </w:p>
    <w:p w:rsidR="00FF384B" w:rsidRDefault="003E3BA9">
      <w:pPr>
        <w:numPr>
          <w:ilvl w:val="1"/>
          <w:numId w:val="82"/>
        </w:numPr>
        <w:spacing w:after="93" w:line="248" w:lineRule="auto"/>
        <w:ind w:right="244" w:hanging="360"/>
        <w:jc w:val="both"/>
      </w:pPr>
      <w:r>
        <w:rPr>
          <w:rFonts w:ascii="Arial" w:eastAsia="Arial" w:hAnsi="Arial" w:cs="Arial"/>
          <w:i/>
          <w:color w:val="202020"/>
        </w:rPr>
        <w:t xml:space="preserve">a) Las previstas en la legislación vigente en materia de Régimen Jurídico de las Administraciones Públicas y Procedimiento Administrativo. </w:t>
      </w:r>
    </w:p>
    <w:p w:rsidR="00FF384B" w:rsidRDefault="003E3BA9">
      <w:pPr>
        <w:numPr>
          <w:ilvl w:val="1"/>
          <w:numId w:val="82"/>
        </w:numPr>
        <w:spacing w:after="92" w:line="248" w:lineRule="auto"/>
        <w:ind w:right="244" w:hanging="360"/>
        <w:jc w:val="both"/>
      </w:pPr>
      <w:r>
        <w:rPr>
          <w:rFonts w:ascii="Arial" w:eastAsia="Arial" w:hAnsi="Arial" w:cs="Arial"/>
          <w:i/>
          <w:color w:val="202020"/>
        </w:rPr>
        <w:t>b) La carencia o insuficiencia de crédito de conformidad con lo establecido en el Real Decreto legislativo 2/2004, d</w:t>
      </w:r>
      <w:r>
        <w:rPr>
          <w:rFonts w:ascii="Arial" w:eastAsia="Arial" w:hAnsi="Arial" w:cs="Arial"/>
          <w:i/>
          <w:color w:val="202020"/>
        </w:rPr>
        <w:t xml:space="preserve">e 5 de marzo, que aprueba el texto refundido de la Ley de Haciendas Locales. </w:t>
      </w:r>
    </w:p>
    <w:p w:rsidR="00FF384B" w:rsidRDefault="003E3BA9">
      <w:pPr>
        <w:numPr>
          <w:ilvl w:val="0"/>
          <w:numId w:val="82"/>
        </w:numPr>
        <w:spacing w:after="143" w:line="248" w:lineRule="auto"/>
        <w:ind w:right="244" w:hanging="247"/>
        <w:jc w:val="both"/>
      </w:pPr>
      <w:r>
        <w:rPr>
          <w:rFonts w:ascii="Arial" w:eastAsia="Arial" w:hAnsi="Arial" w:cs="Arial"/>
          <w:i/>
          <w:color w:val="202020"/>
        </w:rPr>
        <w:t>Son causas de anulabilidad de la resolución de concesión las demás infracciones del ordenamiento jurídico y, en especial, de las reglas contenidas en la presente ordenanza, de co</w:t>
      </w:r>
      <w:r>
        <w:rPr>
          <w:rFonts w:ascii="Arial" w:eastAsia="Arial" w:hAnsi="Arial" w:cs="Arial"/>
          <w:i/>
          <w:color w:val="202020"/>
        </w:rPr>
        <w:t xml:space="preserve">nformidad con lo previsto en la legislación vigente en materia de Régimen Jurídico de las Administraciones Públicas y Procedimiento Administrativo. </w:t>
      </w:r>
    </w:p>
    <w:p w:rsidR="00FF384B" w:rsidRDefault="003E3BA9">
      <w:pPr>
        <w:numPr>
          <w:ilvl w:val="0"/>
          <w:numId w:val="82"/>
        </w:numPr>
        <w:spacing w:after="143" w:line="248" w:lineRule="auto"/>
        <w:ind w:right="244" w:hanging="247"/>
        <w:jc w:val="both"/>
      </w:pPr>
      <w:r>
        <w:rPr>
          <w:rFonts w:ascii="Arial" w:eastAsia="Arial" w:hAnsi="Arial" w:cs="Arial"/>
          <w:i/>
          <w:color w:val="202020"/>
        </w:rPr>
        <w:t>Cuando el acto de concesión incurriera en alguna de las causas previstas anteriormente, el órgano concedent</w:t>
      </w:r>
      <w:r>
        <w:rPr>
          <w:rFonts w:ascii="Arial" w:eastAsia="Arial" w:hAnsi="Arial" w:cs="Arial"/>
          <w:i/>
          <w:color w:val="202020"/>
        </w:rPr>
        <w:t>e procederá a su revisión de oficio o, en su caso, a la declaración de lesividad y ulterior impugnación, de conformidad con lo previsto en la legislación vigente en materia de Régimen Jurídico de las Administraciones Públicas y Procedimiento Administrativo</w:t>
      </w:r>
      <w:r>
        <w:rPr>
          <w:rFonts w:ascii="Arial" w:eastAsia="Arial" w:hAnsi="Arial" w:cs="Arial"/>
          <w:i/>
          <w:color w:val="202020"/>
        </w:rPr>
        <w:t xml:space="preserve">. </w:t>
      </w:r>
    </w:p>
    <w:p w:rsidR="00FF384B" w:rsidRDefault="003E3BA9">
      <w:pPr>
        <w:numPr>
          <w:ilvl w:val="0"/>
          <w:numId w:val="82"/>
        </w:numPr>
        <w:spacing w:after="143" w:line="248" w:lineRule="auto"/>
        <w:ind w:right="244" w:hanging="247"/>
        <w:jc w:val="both"/>
      </w:pPr>
      <w:r>
        <w:rPr>
          <w:rFonts w:ascii="Arial" w:eastAsia="Arial" w:hAnsi="Arial" w:cs="Arial"/>
          <w:i/>
          <w:color w:val="202020"/>
        </w:rPr>
        <w:t xml:space="preserve">La declaración judicial o administrativa de nulidad o anulación llevará consigo la obligación de devolver las cantidades percibidas. </w:t>
      </w:r>
    </w:p>
    <w:p w:rsidR="00FF384B" w:rsidRDefault="003E3BA9">
      <w:pPr>
        <w:numPr>
          <w:ilvl w:val="0"/>
          <w:numId w:val="82"/>
        </w:numPr>
        <w:spacing w:after="143" w:line="248" w:lineRule="auto"/>
        <w:ind w:right="244" w:hanging="247"/>
        <w:jc w:val="both"/>
      </w:pPr>
      <w:r>
        <w:rPr>
          <w:rFonts w:ascii="Arial" w:eastAsia="Arial" w:hAnsi="Arial" w:cs="Arial"/>
          <w:i/>
          <w:color w:val="202020"/>
        </w:rPr>
        <w:t>No procederá la revisión de oficio del acto de concesión cuando concurra alguna de las causas de reintegro contempladas</w:t>
      </w:r>
      <w:r>
        <w:rPr>
          <w:rFonts w:ascii="Arial" w:eastAsia="Arial" w:hAnsi="Arial" w:cs="Arial"/>
          <w:i/>
          <w:color w:val="202020"/>
        </w:rPr>
        <w:t xml:space="preserve"> en el artículo siguiente. </w:t>
      </w:r>
    </w:p>
    <w:p w:rsidR="00FF384B" w:rsidRDefault="003E3BA9">
      <w:pPr>
        <w:spacing w:after="142" w:line="248" w:lineRule="auto"/>
        <w:ind w:left="278" w:right="244" w:hanging="10"/>
        <w:jc w:val="both"/>
      </w:pPr>
      <w:r>
        <w:rPr>
          <w:rFonts w:ascii="Arial" w:eastAsia="Arial" w:hAnsi="Arial" w:cs="Arial"/>
          <w:color w:val="202020"/>
        </w:rPr>
        <w:t xml:space="preserve">Artículo 59. Causas de reintegro. </w:t>
      </w:r>
    </w:p>
    <w:p w:rsidR="00FF384B" w:rsidRDefault="003E3BA9">
      <w:pPr>
        <w:spacing w:after="143" w:line="248" w:lineRule="auto"/>
        <w:ind w:left="278" w:right="244" w:hanging="10"/>
        <w:jc w:val="both"/>
      </w:pPr>
      <w:r>
        <w:rPr>
          <w:rFonts w:ascii="Arial" w:eastAsia="Arial" w:hAnsi="Arial" w:cs="Arial"/>
          <w:i/>
          <w:color w:val="202020"/>
        </w:rPr>
        <w:t>Procederá el reintegro de las cantidades percibidas y la exigencia del interés de demora correspondiente desde el momento del pago de la subvención hasta la fecha en que se acuerde la procedenc</w:t>
      </w:r>
      <w:r>
        <w:rPr>
          <w:rFonts w:ascii="Arial" w:eastAsia="Arial" w:hAnsi="Arial" w:cs="Arial"/>
          <w:i/>
          <w:color w:val="202020"/>
        </w:rPr>
        <w:t xml:space="preserve">ia del reintegro y, en su caso, la anulación de obligaciones pendientes de pago. </w:t>
      </w:r>
    </w:p>
    <w:p w:rsidR="00FF384B" w:rsidRDefault="003E3BA9">
      <w:pPr>
        <w:spacing w:after="142" w:line="248" w:lineRule="auto"/>
        <w:ind w:left="278" w:right="244" w:hanging="10"/>
        <w:jc w:val="both"/>
      </w:pPr>
      <w:r>
        <w:rPr>
          <w:rFonts w:ascii="Arial" w:eastAsia="Arial" w:hAnsi="Arial" w:cs="Arial"/>
          <w:color w:val="202020"/>
        </w:rPr>
        <w:t xml:space="preserve">Artículo 60. Naturaleza del crédito a reintegrar y de los procedimientos para su exigencia. </w:t>
      </w:r>
    </w:p>
    <w:p w:rsidR="00FF384B" w:rsidRDefault="003E3BA9">
      <w:pPr>
        <w:numPr>
          <w:ilvl w:val="0"/>
          <w:numId w:val="83"/>
        </w:numPr>
        <w:spacing w:after="143" w:line="248" w:lineRule="auto"/>
        <w:ind w:right="244" w:hanging="10"/>
        <w:jc w:val="both"/>
      </w:pPr>
      <w:r>
        <w:rPr>
          <w:rFonts w:ascii="Arial" w:eastAsia="Arial" w:hAnsi="Arial" w:cs="Arial"/>
          <w:i/>
          <w:color w:val="202020"/>
        </w:rPr>
        <w:t>Las cantidades a reintegrar tendrán la consideración de ingresos de derecho públi</w:t>
      </w:r>
      <w:r>
        <w:rPr>
          <w:rFonts w:ascii="Arial" w:eastAsia="Arial" w:hAnsi="Arial" w:cs="Arial"/>
          <w:i/>
          <w:color w:val="202020"/>
        </w:rPr>
        <w:t xml:space="preserve">co para su cobranza, aplicándose la Ley General Presupuestaria y el Reglamento General de Recaudación para ello; el procedimiento de reintegro tendrá siempre carácter administrativo. </w:t>
      </w:r>
    </w:p>
    <w:p w:rsidR="00FF384B" w:rsidRDefault="003E3BA9">
      <w:pPr>
        <w:numPr>
          <w:ilvl w:val="0"/>
          <w:numId w:val="83"/>
        </w:numPr>
        <w:spacing w:after="143" w:line="248" w:lineRule="auto"/>
        <w:ind w:right="244" w:hanging="10"/>
        <w:jc w:val="both"/>
      </w:pPr>
      <w:r>
        <w:rPr>
          <w:noProof/>
        </w:rPr>
        <mc:AlternateContent>
          <mc:Choice Requires="wpg">
            <w:drawing>
              <wp:anchor distT="0" distB="0" distL="114300" distR="114300" simplePos="0" relativeHeight="2517504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2004" name="Group 45200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790" name="Picture 20790"/>
                          <pic:cNvPicPr/>
                        </pic:nvPicPr>
                        <pic:blipFill>
                          <a:blip r:embed="rId62"/>
                          <a:stretch>
                            <a:fillRect/>
                          </a:stretch>
                        </pic:blipFill>
                        <pic:spPr>
                          <a:xfrm rot="-5399999">
                            <a:off x="-1720849" y="1720849"/>
                            <a:ext cx="3797300" cy="355601"/>
                          </a:xfrm>
                          <a:prstGeom prst="rect">
                            <a:avLst/>
                          </a:prstGeom>
                        </pic:spPr>
                      </pic:pic>
                      <wps:wsp>
                        <wps:cNvPr id="20791" name="Rectangle 2079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0792" name="Rectangle 2079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89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2004" style="width:41.2715pt;height:299pt;position:absolute;mso-position-horizontal-relative:page;mso-position-horizontal:absolute;margin-left:653.71pt;mso-position-vertical-relative:page;margin-top:512.92pt;" coordsize="5241,37973">
                <v:shape id="Picture 20790" style="position:absolute;width:37973;height:3556;left:-17208;top:17208;rotation:-89;" filled="f">
                  <v:imagedata r:id="rId63"/>
                </v:shape>
                <v:rect id="Rectangle 2079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79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353 </w:t>
                        </w:r>
                      </w:p>
                    </w:txbxContent>
                  </v:textbox>
                </v:rect>
                <w10:wrap type="square"/>
              </v:group>
            </w:pict>
          </mc:Fallback>
        </mc:AlternateContent>
      </w:r>
      <w:r>
        <w:rPr>
          <w:rFonts w:ascii="Arial" w:eastAsia="Arial" w:hAnsi="Arial" w:cs="Arial"/>
          <w:i/>
          <w:color w:val="202020"/>
        </w:rPr>
        <w:t>El reintegro de las cantidades percibidas llevará aparejada la</w:t>
      </w:r>
      <w:r>
        <w:rPr>
          <w:rFonts w:ascii="Arial" w:eastAsia="Arial" w:hAnsi="Arial" w:cs="Arial"/>
          <w:i/>
          <w:color w:val="202020"/>
        </w:rPr>
        <w:t xml:space="preserve"> exigencia del interés de demora correspondiente desde el momento del pago de la subvención hasta la fecha en que se acuerde la procedencia del reintegro. </w:t>
      </w:r>
    </w:p>
    <w:p w:rsidR="00FF384B" w:rsidRDefault="003E3BA9">
      <w:pPr>
        <w:numPr>
          <w:ilvl w:val="0"/>
          <w:numId w:val="83"/>
        </w:numPr>
        <w:spacing w:after="143" w:line="248" w:lineRule="auto"/>
        <w:ind w:right="244" w:hanging="10"/>
        <w:jc w:val="both"/>
      </w:pPr>
      <w:r>
        <w:rPr>
          <w:rFonts w:ascii="Arial" w:eastAsia="Arial" w:hAnsi="Arial" w:cs="Arial"/>
          <w:i/>
          <w:color w:val="202020"/>
        </w:rPr>
        <w:t>El interés de demora aplicable en materia de subvenciones será el interés legal del dinero increment</w:t>
      </w:r>
      <w:r>
        <w:rPr>
          <w:rFonts w:ascii="Arial" w:eastAsia="Arial" w:hAnsi="Arial" w:cs="Arial"/>
          <w:i/>
          <w:color w:val="202020"/>
        </w:rPr>
        <w:t xml:space="preserve">ado en un 25%, salvo que la Ley de Presupuestos Generales del Estado establezca otro diferente. </w:t>
      </w:r>
    </w:p>
    <w:p w:rsidR="00FF384B" w:rsidRDefault="003E3BA9">
      <w:pPr>
        <w:numPr>
          <w:ilvl w:val="0"/>
          <w:numId w:val="83"/>
        </w:numPr>
        <w:spacing w:after="143" w:line="248" w:lineRule="auto"/>
        <w:ind w:right="244" w:hanging="10"/>
        <w:jc w:val="both"/>
      </w:pPr>
      <w:r>
        <w:rPr>
          <w:rFonts w:ascii="Arial" w:eastAsia="Arial" w:hAnsi="Arial" w:cs="Arial"/>
          <w:i/>
          <w:color w:val="202020"/>
        </w:rPr>
        <w:t xml:space="preserve">El destino de los reintegros de los fondos procedentes de la Unión Europea tendrá el tratamiento que, en su caso, determine la normativa comunitaria. </w:t>
      </w:r>
    </w:p>
    <w:p w:rsidR="00FF384B" w:rsidRDefault="003E3BA9">
      <w:pPr>
        <w:spacing w:after="142" w:line="248" w:lineRule="auto"/>
        <w:ind w:left="278" w:right="244" w:hanging="10"/>
        <w:jc w:val="both"/>
      </w:pPr>
      <w:r>
        <w:rPr>
          <w:rFonts w:ascii="Arial" w:eastAsia="Arial" w:hAnsi="Arial" w:cs="Arial"/>
          <w:color w:val="202020"/>
        </w:rPr>
        <w:t>Artículo</w:t>
      </w:r>
      <w:r>
        <w:rPr>
          <w:rFonts w:ascii="Arial" w:eastAsia="Arial" w:hAnsi="Arial" w:cs="Arial"/>
          <w:color w:val="202020"/>
        </w:rPr>
        <w:t xml:space="preserve"> 61 Reintegro parcial. </w:t>
      </w:r>
    </w:p>
    <w:p w:rsidR="00FF384B" w:rsidRDefault="003E3BA9">
      <w:pPr>
        <w:numPr>
          <w:ilvl w:val="0"/>
          <w:numId w:val="84"/>
        </w:numPr>
        <w:spacing w:after="143" w:line="248" w:lineRule="auto"/>
        <w:ind w:right="244" w:hanging="10"/>
        <w:jc w:val="both"/>
      </w:pPr>
      <w:r>
        <w:rPr>
          <w:rFonts w:ascii="Arial" w:eastAsia="Arial" w:hAnsi="Arial" w:cs="Arial"/>
          <w:i/>
          <w:color w:val="202020"/>
        </w:rPr>
        <w:t xml:space="preserve">El reintegro parcial de la subvención se regirá por los criterios de gradación de los posibles incumplimientos de las condiciones impuestas con motivo de la concesión y por el principio de proporcionalidad. </w:t>
      </w:r>
    </w:p>
    <w:p w:rsidR="00FF384B" w:rsidRDefault="003E3BA9">
      <w:pPr>
        <w:numPr>
          <w:ilvl w:val="0"/>
          <w:numId w:val="84"/>
        </w:numPr>
        <w:spacing w:after="143" w:line="248" w:lineRule="auto"/>
        <w:ind w:right="244" w:hanging="10"/>
        <w:jc w:val="both"/>
      </w:pPr>
      <w:r>
        <w:rPr>
          <w:rFonts w:ascii="Arial" w:eastAsia="Arial" w:hAnsi="Arial" w:cs="Arial"/>
          <w:i/>
          <w:color w:val="202020"/>
        </w:rPr>
        <w:t>Los criterios de gradaci</w:t>
      </w:r>
      <w:r>
        <w:rPr>
          <w:rFonts w:ascii="Arial" w:eastAsia="Arial" w:hAnsi="Arial" w:cs="Arial"/>
          <w:i/>
          <w:color w:val="202020"/>
        </w:rPr>
        <w:t xml:space="preserve">ón que se fijen en las convocatorias deberán tener en cuenta, entre otros, el porcentaje de ejecución de la acción que se subvenciona y el cumplimiento de las obligaciones por los beneficiarios. </w:t>
      </w:r>
    </w:p>
    <w:p w:rsidR="00FF384B" w:rsidRDefault="003E3BA9">
      <w:pPr>
        <w:spacing w:after="142" w:line="248" w:lineRule="auto"/>
        <w:ind w:left="278" w:right="244" w:hanging="10"/>
        <w:jc w:val="both"/>
      </w:pPr>
      <w:r>
        <w:rPr>
          <w:rFonts w:ascii="Arial" w:eastAsia="Arial" w:hAnsi="Arial" w:cs="Arial"/>
          <w:color w:val="202020"/>
        </w:rPr>
        <w:t xml:space="preserve">Artículo 62. Prescripción. </w:t>
      </w:r>
    </w:p>
    <w:p w:rsidR="00FF384B" w:rsidRDefault="003E3BA9">
      <w:pPr>
        <w:spacing w:after="143" w:line="248" w:lineRule="auto"/>
        <w:ind w:left="278" w:right="244" w:hanging="10"/>
        <w:jc w:val="both"/>
      </w:pPr>
      <w:r>
        <w:rPr>
          <w:rFonts w:ascii="Arial" w:eastAsia="Arial" w:hAnsi="Arial" w:cs="Arial"/>
          <w:i/>
          <w:color w:val="202020"/>
        </w:rPr>
        <w:t>1. Prescribirá a los cuatro años</w:t>
      </w:r>
      <w:r>
        <w:rPr>
          <w:rFonts w:ascii="Arial" w:eastAsia="Arial" w:hAnsi="Arial" w:cs="Arial"/>
          <w:i/>
          <w:color w:val="202020"/>
        </w:rPr>
        <w:t xml:space="preserve"> el derecho a reconocer o liquidar el reintegro. 2. El cómputo del plazo y la interrupción de la prescripción se regirán por lo dispuesto en la Ley General Tributaria. </w:t>
      </w:r>
    </w:p>
    <w:p w:rsidR="00FF384B" w:rsidRDefault="003E3BA9">
      <w:pPr>
        <w:spacing w:after="142" w:line="248" w:lineRule="auto"/>
        <w:ind w:left="278" w:right="244" w:hanging="10"/>
        <w:jc w:val="both"/>
      </w:pPr>
      <w:r>
        <w:rPr>
          <w:rFonts w:ascii="Arial" w:eastAsia="Arial" w:hAnsi="Arial" w:cs="Arial"/>
          <w:color w:val="202020"/>
        </w:rPr>
        <w:t xml:space="preserve">Artículo 63. Obligados al reintegro. </w:t>
      </w:r>
    </w:p>
    <w:p w:rsidR="00FF384B" w:rsidRDefault="003E3BA9">
      <w:pPr>
        <w:numPr>
          <w:ilvl w:val="0"/>
          <w:numId w:val="85"/>
        </w:numPr>
        <w:spacing w:after="143" w:line="248" w:lineRule="auto"/>
        <w:ind w:right="244" w:hanging="10"/>
        <w:jc w:val="both"/>
      </w:pPr>
      <w:r>
        <w:rPr>
          <w:rFonts w:ascii="Arial" w:eastAsia="Arial" w:hAnsi="Arial" w:cs="Arial"/>
          <w:i/>
          <w:color w:val="202020"/>
        </w:rPr>
        <w:t>Los beneficiarios y entidades colaboradoras deber</w:t>
      </w:r>
      <w:r>
        <w:rPr>
          <w:rFonts w:ascii="Arial" w:eastAsia="Arial" w:hAnsi="Arial" w:cs="Arial"/>
          <w:i/>
          <w:color w:val="202020"/>
        </w:rPr>
        <w:t xml:space="preserve">án reintegrar la totalidad o parte de las cantidades percibidas más los correspondientes intereses de demora. Esta obligación será independiente de las sanciones que, en su caso, resulten exigibles. </w:t>
      </w:r>
    </w:p>
    <w:p w:rsidR="00FF384B" w:rsidRDefault="003E3BA9">
      <w:pPr>
        <w:numPr>
          <w:ilvl w:val="0"/>
          <w:numId w:val="85"/>
        </w:numPr>
        <w:spacing w:after="143" w:line="248" w:lineRule="auto"/>
        <w:ind w:right="244" w:hanging="10"/>
        <w:jc w:val="both"/>
      </w:pPr>
      <w:r>
        <w:rPr>
          <w:rFonts w:ascii="Arial" w:eastAsia="Arial" w:hAnsi="Arial" w:cs="Arial"/>
          <w:i/>
          <w:color w:val="202020"/>
        </w:rPr>
        <w:t>Estarán obligados al reintegro los beneficiarios y entid</w:t>
      </w:r>
      <w:r>
        <w:rPr>
          <w:rFonts w:ascii="Arial" w:eastAsia="Arial" w:hAnsi="Arial" w:cs="Arial"/>
          <w:i/>
          <w:color w:val="202020"/>
        </w:rPr>
        <w:t xml:space="preserve">ades colaboradoras, definidos en los artículos 9 y 10 de esta Ordenanza. </w:t>
      </w:r>
    </w:p>
    <w:p w:rsidR="00FF384B" w:rsidRDefault="003E3BA9">
      <w:pPr>
        <w:numPr>
          <w:ilvl w:val="0"/>
          <w:numId w:val="85"/>
        </w:numPr>
        <w:spacing w:after="143" w:line="248" w:lineRule="auto"/>
        <w:ind w:right="244" w:hanging="10"/>
        <w:jc w:val="both"/>
      </w:pPr>
      <w:r>
        <w:rPr>
          <w:rFonts w:ascii="Arial" w:eastAsia="Arial" w:hAnsi="Arial" w:cs="Arial"/>
          <w:i/>
          <w:color w:val="202020"/>
        </w:rPr>
        <w:t xml:space="preserve">A los efectos de reintegro, será de aplicación lo establecido en la Ley General de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64. Competencia para la resolución del procedimiento de reintegro. </w:t>
      </w:r>
    </w:p>
    <w:p w:rsidR="00FF384B" w:rsidRDefault="003E3BA9">
      <w:pPr>
        <w:numPr>
          <w:ilvl w:val="0"/>
          <w:numId w:val="86"/>
        </w:numPr>
        <w:spacing w:after="143" w:line="248" w:lineRule="auto"/>
        <w:ind w:right="244" w:hanging="10"/>
        <w:jc w:val="both"/>
      </w:pPr>
      <w:r>
        <w:rPr>
          <w:rFonts w:ascii="Arial" w:eastAsia="Arial" w:hAnsi="Arial" w:cs="Arial"/>
          <w:i/>
          <w:color w:val="202020"/>
        </w:rPr>
        <w:t xml:space="preserve">El órgano concedente será el competente para exigir del beneficiario o entidad colaboradora el reintegro de subvenciones, cuando aprecie la existencia de alguno de los supuestos de reintegro establecidos en el artículo 60 de esta ordenanza. </w:t>
      </w:r>
    </w:p>
    <w:p w:rsidR="00FF384B" w:rsidRDefault="003E3BA9">
      <w:pPr>
        <w:numPr>
          <w:ilvl w:val="0"/>
          <w:numId w:val="86"/>
        </w:numPr>
        <w:spacing w:after="143" w:line="248" w:lineRule="auto"/>
        <w:ind w:right="244" w:hanging="10"/>
        <w:jc w:val="both"/>
      </w:pPr>
      <w:r>
        <w:rPr>
          <w:rFonts w:ascii="Arial" w:eastAsia="Arial" w:hAnsi="Arial" w:cs="Arial"/>
          <w:i/>
          <w:color w:val="202020"/>
        </w:rPr>
        <w:t>Si el reintegr</w:t>
      </w:r>
      <w:r>
        <w:rPr>
          <w:rFonts w:ascii="Arial" w:eastAsia="Arial" w:hAnsi="Arial" w:cs="Arial"/>
          <w:i/>
          <w:color w:val="202020"/>
        </w:rPr>
        <w:t xml:space="preserve">o es acordado por los órganos de la Unión Europea, el órgano a quien corresponda la gestión del recurso ejecutará dichos acuerdos. </w:t>
      </w:r>
    </w:p>
    <w:p w:rsidR="00FF384B" w:rsidRDefault="003E3BA9">
      <w:pPr>
        <w:numPr>
          <w:ilvl w:val="0"/>
          <w:numId w:val="86"/>
        </w:numPr>
        <w:spacing w:after="291" w:line="248" w:lineRule="auto"/>
        <w:ind w:right="244" w:hanging="10"/>
        <w:jc w:val="both"/>
      </w:pPr>
      <w:r>
        <w:rPr>
          <w:noProof/>
        </w:rPr>
        <mc:AlternateContent>
          <mc:Choice Requires="wpg">
            <w:drawing>
              <wp:anchor distT="0" distB="0" distL="114300" distR="114300" simplePos="0" relativeHeight="2517514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2269" name="Group 45226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0937" name="Picture 20937"/>
                          <pic:cNvPicPr/>
                        </pic:nvPicPr>
                        <pic:blipFill>
                          <a:blip r:embed="rId62"/>
                          <a:stretch>
                            <a:fillRect/>
                          </a:stretch>
                        </pic:blipFill>
                        <pic:spPr>
                          <a:xfrm rot="-5399999">
                            <a:off x="-1720849" y="1720849"/>
                            <a:ext cx="3797300" cy="355601"/>
                          </a:xfrm>
                          <a:prstGeom prst="rect">
                            <a:avLst/>
                          </a:prstGeom>
                        </pic:spPr>
                      </pic:pic>
                      <wps:wsp>
                        <wps:cNvPr id="20938" name="Rectangle 2093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0939" name="Rectangle 20939"/>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Documento firmado ele</w:t>
                              </w:r>
                              <w:r>
                                <w:rPr>
                                  <w:rFonts w:ascii="Arial" w:eastAsia="Arial" w:hAnsi="Arial" w:cs="Arial"/>
                                  <w:sz w:val="12"/>
                                </w:rPr>
                                <w:t xml:space="preserve">ctrónicamente desde la plataforma esPublico Gestiona | Página 90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2269" style="width:41.2715pt;height:299pt;position:absolute;mso-position-horizontal-relative:page;mso-position-horizontal:absolute;margin-left:653.71pt;mso-position-vertical-relative:page;margin-top:512.92pt;" coordsize="5241,37973">
                <v:shape id="Picture 20937" style="position:absolute;width:37973;height:3556;left:-17208;top:17208;rotation:-89;" filled="f">
                  <v:imagedata r:id="rId63"/>
                </v:shape>
                <v:rect id="Rectangle 2093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0939"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353 </w:t>
                        </w:r>
                      </w:p>
                    </w:txbxContent>
                  </v:textbox>
                </v:rect>
                <w10:wrap type="square"/>
              </v:group>
            </w:pict>
          </mc:Fallback>
        </mc:AlternateContent>
      </w:r>
      <w:r>
        <w:rPr>
          <w:rFonts w:ascii="Arial" w:eastAsia="Arial" w:hAnsi="Arial" w:cs="Arial"/>
          <w:i/>
          <w:color w:val="202020"/>
        </w:rPr>
        <w:t xml:space="preserve">Cuando la subvención haya sido concedida por la Comisión Europea u otra institución comunitaria y la obligación de restituir surgiera como consecuencia de la actuación fiscalizadora, </w:t>
      </w:r>
      <w:r>
        <w:rPr>
          <w:rFonts w:ascii="Arial" w:eastAsia="Arial" w:hAnsi="Arial" w:cs="Arial"/>
          <w:i/>
          <w:color w:val="202020"/>
        </w:rPr>
        <w:t>distinta del control financiero de subvenciones, correspondiente a las instituciones españolas habilitadas legalmente para la realización de estas actuaciones, el acuerdo de reintegro será dictado por el órgano gestor de la subvención. El mencionado acuerd</w:t>
      </w:r>
      <w:r>
        <w:rPr>
          <w:rFonts w:ascii="Arial" w:eastAsia="Arial" w:hAnsi="Arial" w:cs="Arial"/>
          <w:i/>
          <w:color w:val="202020"/>
        </w:rPr>
        <w:t xml:space="preserve">o se dictará de oficio o a propuesta de otras instituciones y órganos de la Administración habilitados legalmente para fiscalizar fondos públicos. </w:t>
      </w:r>
    </w:p>
    <w:p w:rsidR="00FF384B" w:rsidRDefault="003E3BA9">
      <w:pPr>
        <w:spacing w:after="0"/>
        <w:ind w:left="283"/>
      </w:pPr>
      <w:r>
        <w:rPr>
          <w:rFonts w:ascii="Arial" w:eastAsia="Arial" w:hAnsi="Arial" w:cs="Arial"/>
          <w:i/>
          <w:color w:val="202020"/>
        </w:rPr>
        <w:t xml:space="preserve"> </w:t>
      </w:r>
    </w:p>
    <w:p w:rsidR="00FF384B" w:rsidRDefault="003E3BA9">
      <w:pPr>
        <w:spacing w:after="93" w:line="248" w:lineRule="auto"/>
        <w:ind w:left="278" w:right="244" w:hanging="10"/>
        <w:jc w:val="both"/>
      </w:pPr>
      <w:r>
        <w:rPr>
          <w:rFonts w:ascii="Arial" w:eastAsia="Arial" w:hAnsi="Arial" w:cs="Arial"/>
          <w:i/>
          <w:color w:val="202020"/>
        </w:rPr>
        <w:t>CAPÍTULO V. Procedimiento de reintegro.</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65. Legislación aplicable. </w:t>
      </w:r>
    </w:p>
    <w:p w:rsidR="00FF384B" w:rsidRDefault="003E3BA9">
      <w:pPr>
        <w:spacing w:after="143" w:line="248" w:lineRule="auto"/>
        <w:ind w:left="278" w:right="244" w:hanging="10"/>
        <w:jc w:val="both"/>
      </w:pPr>
      <w:r>
        <w:rPr>
          <w:rFonts w:ascii="Arial" w:eastAsia="Arial" w:hAnsi="Arial" w:cs="Arial"/>
          <w:i/>
          <w:color w:val="202020"/>
        </w:rPr>
        <w:t>El procedimiento de reintegro de subvenciones se regirá por las disposiciones generales sobre procedimientos administrativos previstos en la legislación vigente en materia de Régimen Jurídico de las Administraciones Públicas y Procedimiento Administrativo,</w:t>
      </w:r>
      <w:r>
        <w:rPr>
          <w:rFonts w:ascii="Arial" w:eastAsia="Arial" w:hAnsi="Arial" w:cs="Arial"/>
          <w:i/>
          <w:color w:val="202020"/>
        </w:rPr>
        <w:t xml:space="preserve"> sin perjuicio de las especialidades establecidas en la normativa se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66. Inicio del procedimiento. </w:t>
      </w:r>
    </w:p>
    <w:p w:rsidR="00FF384B" w:rsidRDefault="003E3BA9">
      <w:pPr>
        <w:spacing w:after="143" w:line="248" w:lineRule="auto"/>
        <w:ind w:left="278" w:right="244" w:hanging="10"/>
        <w:jc w:val="both"/>
      </w:pPr>
      <w:r>
        <w:rPr>
          <w:rFonts w:ascii="Arial" w:eastAsia="Arial" w:hAnsi="Arial" w:cs="Arial"/>
          <w:i/>
          <w:color w:val="202020"/>
        </w:rPr>
        <w:t xml:space="preserve">El procedimiento de reintegro de subvenciones se iniciará </w:t>
      </w:r>
      <w:r>
        <w:rPr>
          <w:rFonts w:ascii="Arial" w:eastAsia="Arial" w:hAnsi="Arial" w:cs="Arial"/>
          <w:i/>
          <w:color w:val="202020"/>
        </w:rPr>
        <w:t>de oficio por acuerdo del órgano competente, bien por propia iniciativa, bien como consecuencia de orden superior, a petición razonada de otros órganos o por denuncia. También se iniciará a consecuencia del informe de control financiero emitido por la Inte</w:t>
      </w:r>
      <w:r>
        <w:rPr>
          <w:rFonts w:ascii="Arial" w:eastAsia="Arial" w:hAnsi="Arial" w:cs="Arial"/>
          <w:i/>
          <w:color w:val="202020"/>
        </w:rPr>
        <w:t xml:space="preserve">rvención Municipal. </w:t>
      </w:r>
    </w:p>
    <w:p w:rsidR="00FF384B" w:rsidRDefault="003E3BA9">
      <w:pPr>
        <w:spacing w:after="142" w:line="248" w:lineRule="auto"/>
        <w:ind w:left="278" w:right="244" w:hanging="10"/>
        <w:jc w:val="both"/>
      </w:pPr>
      <w:r>
        <w:rPr>
          <w:rFonts w:ascii="Arial" w:eastAsia="Arial" w:hAnsi="Arial" w:cs="Arial"/>
          <w:color w:val="202020"/>
        </w:rPr>
        <w:t xml:space="preserve">Artículo 67. Retención de pagos. </w:t>
      </w:r>
    </w:p>
    <w:p w:rsidR="00FF384B" w:rsidRDefault="003E3BA9">
      <w:pPr>
        <w:numPr>
          <w:ilvl w:val="0"/>
          <w:numId w:val="87"/>
        </w:numPr>
        <w:spacing w:after="143" w:line="248" w:lineRule="auto"/>
        <w:ind w:right="244" w:hanging="10"/>
        <w:jc w:val="both"/>
      </w:pPr>
      <w:r>
        <w:rPr>
          <w:rFonts w:ascii="Arial" w:eastAsia="Arial" w:hAnsi="Arial" w:cs="Arial"/>
          <w:i/>
          <w:color w:val="202020"/>
        </w:rPr>
        <w:t>Como medida cautelar, el órgano concedente de la subvención, una vez acordado el inicio del procedimiento de reintegro, o bien la autoridad pagadora, o a propuesta de la Intervención General, podrá aco</w:t>
      </w:r>
      <w:r>
        <w:rPr>
          <w:rFonts w:ascii="Arial" w:eastAsia="Arial" w:hAnsi="Arial" w:cs="Arial"/>
          <w:i/>
          <w:color w:val="202020"/>
        </w:rPr>
        <w:t>rdar la suspensión de los libramientos de pago al beneficiario o entidad colaboradora, por el importe que fije la resolución de inicio del expediente de reintegro y con los intereses de demora devengados hasta la fecha, lo cual debe efectuarse de forma mot</w:t>
      </w:r>
      <w:r>
        <w:rPr>
          <w:rFonts w:ascii="Arial" w:eastAsia="Arial" w:hAnsi="Arial" w:cs="Arial"/>
          <w:i/>
          <w:color w:val="202020"/>
        </w:rPr>
        <w:t xml:space="preserve">ivada y con notificación al beneficiario con independencia de los recursos pertinentes. </w:t>
      </w:r>
    </w:p>
    <w:p w:rsidR="00FF384B" w:rsidRDefault="003E3BA9">
      <w:pPr>
        <w:numPr>
          <w:ilvl w:val="0"/>
          <w:numId w:val="87"/>
        </w:numPr>
        <w:spacing w:after="143" w:line="248" w:lineRule="auto"/>
        <w:ind w:right="244" w:hanging="10"/>
        <w:jc w:val="both"/>
      </w:pPr>
      <w:r>
        <w:rPr>
          <w:rFonts w:ascii="Arial" w:eastAsia="Arial" w:hAnsi="Arial" w:cs="Arial"/>
          <w:i/>
          <w:color w:val="202020"/>
        </w:rPr>
        <w:t>Dicha retención deberá ser proporcional, mantenerse hasta que se dicte resolución sin superar el período que se fija para su trámite, deberá levantarse cuando desapare</w:t>
      </w:r>
      <w:r>
        <w:rPr>
          <w:rFonts w:ascii="Arial" w:eastAsia="Arial" w:hAnsi="Arial" w:cs="Arial"/>
          <w:i/>
          <w:color w:val="202020"/>
        </w:rPr>
        <w:t xml:space="preserve">zcan las causas que en su caso las justificaban, pudiendo ser sustituida a solicitud del beneficiario por la constitución de una garantía suficiente. </w:t>
      </w:r>
    </w:p>
    <w:p w:rsidR="00FF384B" w:rsidRDefault="003E3BA9">
      <w:pPr>
        <w:numPr>
          <w:ilvl w:val="0"/>
          <w:numId w:val="87"/>
        </w:numPr>
        <w:spacing w:after="143" w:line="248" w:lineRule="auto"/>
        <w:ind w:right="244" w:hanging="10"/>
        <w:jc w:val="both"/>
      </w:pPr>
      <w:r>
        <w:rPr>
          <w:rFonts w:ascii="Arial" w:eastAsia="Arial" w:hAnsi="Arial" w:cs="Arial"/>
          <w:i/>
          <w:color w:val="202020"/>
        </w:rPr>
        <w:t>En todo caso, procederá la suspensión si existen indicios racionales que permitan prever la imposibilidad</w:t>
      </w:r>
      <w:r>
        <w:rPr>
          <w:rFonts w:ascii="Arial" w:eastAsia="Arial" w:hAnsi="Arial" w:cs="Arial"/>
          <w:i/>
          <w:color w:val="202020"/>
        </w:rPr>
        <w:t xml:space="preserve"> de obtener el resarcimiento, o si este puede verse frustrado o gravemente dificultado y, en especial, si el perceptor hace actos de ocultación, gravamen o disposición de sus bienes. </w:t>
      </w:r>
      <w:r>
        <w:rPr>
          <w:rFonts w:ascii="Arial" w:eastAsia="Arial" w:hAnsi="Arial" w:cs="Arial"/>
          <w:color w:val="202020"/>
        </w:rPr>
        <w:t xml:space="preserve">Artículo 68 Audiencia del interesado. </w:t>
      </w:r>
    </w:p>
    <w:p w:rsidR="00FF384B" w:rsidRDefault="003E3BA9">
      <w:pPr>
        <w:spacing w:after="79" w:line="309" w:lineRule="auto"/>
        <w:ind w:left="278" w:right="244" w:hanging="10"/>
        <w:jc w:val="both"/>
      </w:pPr>
      <w:r>
        <w:rPr>
          <w:rFonts w:ascii="Arial" w:eastAsia="Arial" w:hAnsi="Arial" w:cs="Arial"/>
          <w:i/>
          <w:color w:val="202020"/>
        </w:rPr>
        <w:t>En la tramitación del procedimient</w:t>
      </w:r>
      <w:r>
        <w:rPr>
          <w:rFonts w:ascii="Arial" w:eastAsia="Arial" w:hAnsi="Arial" w:cs="Arial"/>
          <w:i/>
          <w:color w:val="202020"/>
        </w:rPr>
        <w:t xml:space="preserve">o se garantizará en todo caso el derecho del interesado a la audiencia. </w:t>
      </w:r>
      <w:r>
        <w:rPr>
          <w:rFonts w:ascii="Arial" w:eastAsia="Arial" w:hAnsi="Arial" w:cs="Arial"/>
          <w:color w:val="202020"/>
        </w:rPr>
        <w:t xml:space="preserve">Artículo 69. Resolución. </w:t>
      </w:r>
    </w:p>
    <w:p w:rsidR="00FF384B" w:rsidRDefault="003E3BA9">
      <w:pPr>
        <w:numPr>
          <w:ilvl w:val="0"/>
          <w:numId w:val="88"/>
        </w:numPr>
        <w:spacing w:after="143" w:line="248" w:lineRule="auto"/>
        <w:ind w:right="244" w:hanging="247"/>
        <w:jc w:val="both"/>
      </w:pPr>
      <w:r>
        <w:rPr>
          <w:rFonts w:ascii="Arial" w:eastAsia="Arial" w:hAnsi="Arial" w:cs="Arial"/>
          <w:i/>
          <w:color w:val="202020"/>
        </w:rPr>
        <w:t>El plazo máximo para resolver y notificar la resolución del procedimiento de reintegro será de doce meses desde la fecha del acuerdo de iniciación. Dicho plaz</w:t>
      </w:r>
      <w:r>
        <w:rPr>
          <w:rFonts w:ascii="Arial" w:eastAsia="Arial" w:hAnsi="Arial" w:cs="Arial"/>
          <w:i/>
          <w:color w:val="202020"/>
        </w:rPr>
        <w:t xml:space="preserve">o podrá suspenderse o ampliarse de acuerdo con lo previsto en la legislación vigente en materia de Régimen Jurídico de las Administraciones Públicas y Procedimiento Administrativo. </w:t>
      </w:r>
    </w:p>
    <w:p w:rsidR="00FF384B" w:rsidRDefault="003E3BA9">
      <w:pPr>
        <w:numPr>
          <w:ilvl w:val="0"/>
          <w:numId w:val="88"/>
        </w:numPr>
        <w:spacing w:after="143" w:line="248" w:lineRule="auto"/>
        <w:ind w:right="244" w:hanging="247"/>
        <w:jc w:val="both"/>
      </w:pPr>
      <w:r>
        <w:rPr>
          <w:noProof/>
        </w:rPr>
        <mc:AlternateContent>
          <mc:Choice Requires="wpg">
            <w:drawing>
              <wp:anchor distT="0" distB="0" distL="114300" distR="114300" simplePos="0" relativeHeight="2517524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2764" name="Group 45276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075" name="Picture 21075"/>
                          <pic:cNvPicPr/>
                        </pic:nvPicPr>
                        <pic:blipFill>
                          <a:blip r:embed="rId62"/>
                          <a:stretch>
                            <a:fillRect/>
                          </a:stretch>
                        </pic:blipFill>
                        <pic:spPr>
                          <a:xfrm rot="-5399999">
                            <a:off x="-1720849" y="1720849"/>
                            <a:ext cx="3797300" cy="355601"/>
                          </a:xfrm>
                          <a:prstGeom prst="rect">
                            <a:avLst/>
                          </a:prstGeom>
                        </pic:spPr>
                      </pic:pic>
                      <wps:wsp>
                        <wps:cNvPr id="21076" name="Rectangle 2107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w:t>
                              </w:r>
                              <w:r>
                                <w:rPr>
                                  <w:rFonts w:ascii="Arial" w:eastAsia="Arial" w:hAnsi="Arial" w:cs="Arial"/>
                                  <w:sz w:val="12"/>
                                </w:rPr>
                                <w:t xml:space="preserve">elaria.sedelectronica.es/ </w:t>
                              </w:r>
                            </w:p>
                          </w:txbxContent>
                        </wps:txbx>
                        <wps:bodyPr horzOverflow="overflow" vert="horz" lIns="0" tIns="0" rIns="0" bIns="0" rtlCol="0">
                          <a:noAutofit/>
                        </wps:bodyPr>
                      </wps:wsp>
                      <wps:wsp>
                        <wps:cNvPr id="21077" name="Rectangle 2107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2764" style="width:41.2715pt;height:299pt;position:absolute;mso-position-horizontal-relative:page;mso-position-horizontal:absolute;margin-left:653.71pt;mso-position-vertical-relative:page;margin-top:512.92pt;" coordsize="5241,37973">
                <v:shape id="Picture 21075" style="position:absolute;width:37973;height:3556;left:-17208;top:17208;rotation:-89;" filled="f">
                  <v:imagedata r:id="rId63"/>
                </v:shape>
                <v:rect id="Rectangle 2107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07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353 </w:t>
                        </w:r>
                      </w:p>
                    </w:txbxContent>
                  </v:textbox>
                </v:rect>
                <w10:wrap type="square"/>
              </v:group>
            </w:pict>
          </mc:Fallback>
        </mc:AlternateContent>
      </w:r>
      <w:r>
        <w:rPr>
          <w:rFonts w:ascii="Arial" w:eastAsia="Arial" w:hAnsi="Arial" w:cs="Arial"/>
          <w:i/>
          <w:color w:val="202020"/>
        </w:rPr>
        <w:t>Si transcurriese ese plazo máximo para resolver sin que se haya notificado la resolución expresa, se producirá la caducidad del proce</w:t>
      </w:r>
      <w:r>
        <w:rPr>
          <w:rFonts w:ascii="Arial" w:eastAsia="Arial" w:hAnsi="Arial" w:cs="Arial"/>
          <w:i/>
          <w:color w:val="202020"/>
        </w:rPr>
        <w:t xml:space="preserve">dimiento, sin perjuicio de continuar las actuaciones hasta su terminación y sin que se considere interrumpida la prescripción por las actuaciones realizadas hasta la finalización del citado plazo. </w:t>
      </w:r>
    </w:p>
    <w:p w:rsidR="00FF384B" w:rsidRDefault="003E3BA9">
      <w:pPr>
        <w:numPr>
          <w:ilvl w:val="0"/>
          <w:numId w:val="88"/>
        </w:numPr>
        <w:spacing w:after="291" w:line="248" w:lineRule="auto"/>
        <w:ind w:right="244" w:hanging="247"/>
        <w:jc w:val="both"/>
      </w:pPr>
      <w:r>
        <w:rPr>
          <w:rFonts w:ascii="Arial" w:eastAsia="Arial" w:hAnsi="Arial" w:cs="Arial"/>
          <w:i/>
          <w:color w:val="202020"/>
        </w:rPr>
        <w:t xml:space="preserve">La resolución del procedimiento de reintegro pondrá fin a la vía administrativa. </w:t>
      </w:r>
    </w:p>
    <w:p w:rsidR="00FF384B" w:rsidRDefault="003E3BA9">
      <w:pPr>
        <w:spacing w:after="247" w:line="248" w:lineRule="auto"/>
        <w:ind w:left="278" w:right="244" w:hanging="10"/>
        <w:jc w:val="both"/>
      </w:pPr>
      <w:r>
        <w:rPr>
          <w:rFonts w:ascii="Arial" w:eastAsia="Arial" w:hAnsi="Arial" w:cs="Arial"/>
          <w:i/>
          <w:color w:val="202020"/>
        </w:rPr>
        <w:t>TÍTULO V. CONTROL DE SUBVENCIONES</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CAPÍTULO I. Disposiciones comunes. </w:t>
      </w:r>
    </w:p>
    <w:p w:rsidR="00FF384B" w:rsidRDefault="003E3BA9">
      <w:pPr>
        <w:spacing w:after="142" w:line="248" w:lineRule="auto"/>
        <w:ind w:left="278" w:right="244" w:hanging="10"/>
        <w:jc w:val="both"/>
      </w:pPr>
      <w:r>
        <w:rPr>
          <w:rFonts w:ascii="Arial" w:eastAsia="Arial" w:hAnsi="Arial" w:cs="Arial"/>
          <w:color w:val="202020"/>
        </w:rPr>
        <w:t xml:space="preserve">Artículo 70. Objeto y competencia. </w:t>
      </w:r>
    </w:p>
    <w:p w:rsidR="00FF384B" w:rsidRDefault="003E3BA9">
      <w:pPr>
        <w:numPr>
          <w:ilvl w:val="0"/>
          <w:numId w:val="89"/>
        </w:numPr>
        <w:spacing w:after="143" w:line="248" w:lineRule="auto"/>
        <w:ind w:right="244" w:hanging="247"/>
        <w:jc w:val="both"/>
      </w:pPr>
      <w:r>
        <w:rPr>
          <w:rFonts w:ascii="Arial" w:eastAsia="Arial" w:hAnsi="Arial" w:cs="Arial"/>
          <w:i/>
          <w:color w:val="202020"/>
        </w:rPr>
        <w:t>El control de subvenciones se ejercerá sobre los beneficiarios y, e</w:t>
      </w:r>
      <w:r>
        <w:rPr>
          <w:rFonts w:ascii="Arial" w:eastAsia="Arial" w:hAnsi="Arial" w:cs="Arial"/>
          <w:i/>
          <w:color w:val="202020"/>
        </w:rPr>
        <w:t xml:space="preserve">n su caso, entidades colaboradoras, por las subvenciones concedidas con cargo Presupuesto General municipal, en la modalidad dispuesta por el Texto Refundido de la Ley de Haciendas Locales y de acuerdo a lo previsto en la legislación vigente en materia de </w:t>
      </w:r>
      <w:r>
        <w:rPr>
          <w:rFonts w:ascii="Arial" w:eastAsia="Arial" w:hAnsi="Arial" w:cs="Arial"/>
          <w:i/>
          <w:color w:val="202020"/>
        </w:rPr>
        <w:t xml:space="preserve">Régimen Jurídico de las Administraciones Públicas y Procedimiento Administrativo. </w:t>
      </w:r>
    </w:p>
    <w:p w:rsidR="00FF384B" w:rsidRDefault="003E3BA9">
      <w:pPr>
        <w:numPr>
          <w:ilvl w:val="0"/>
          <w:numId w:val="89"/>
        </w:numPr>
        <w:spacing w:after="11" w:line="248" w:lineRule="auto"/>
        <w:ind w:right="244" w:hanging="247"/>
        <w:jc w:val="both"/>
      </w:pPr>
      <w:r>
        <w:rPr>
          <w:rFonts w:ascii="Arial" w:eastAsia="Arial" w:hAnsi="Arial" w:cs="Arial"/>
          <w:i/>
          <w:color w:val="202020"/>
        </w:rPr>
        <w:t xml:space="preserve">En todo caso, el control de las subvenciones tendrá como objeto verificar: </w:t>
      </w:r>
    </w:p>
    <w:p w:rsidR="00FF384B" w:rsidRDefault="003E3BA9">
      <w:pPr>
        <w:spacing w:after="0"/>
        <w:ind w:left="283"/>
      </w:pPr>
      <w:r>
        <w:rPr>
          <w:rFonts w:ascii="Arial" w:eastAsia="Arial" w:hAnsi="Arial" w:cs="Arial"/>
          <w:i/>
          <w:color w:val="202020"/>
        </w:rPr>
        <w:t xml:space="preserve"> </w:t>
      </w:r>
    </w:p>
    <w:p w:rsidR="00FF384B" w:rsidRDefault="003E3BA9">
      <w:pPr>
        <w:numPr>
          <w:ilvl w:val="1"/>
          <w:numId w:val="89"/>
        </w:numPr>
        <w:spacing w:after="0"/>
        <w:ind w:right="244" w:firstLine="360"/>
        <w:jc w:val="right"/>
      </w:pPr>
      <w:r>
        <w:rPr>
          <w:rFonts w:ascii="Arial" w:eastAsia="Arial" w:hAnsi="Arial" w:cs="Arial"/>
          <w:i/>
        </w:rPr>
        <w:t xml:space="preserve">La adecuada y correcta obtención de la subvención por parte del beneficiario. </w:t>
      </w:r>
    </w:p>
    <w:p w:rsidR="00FF384B" w:rsidRDefault="003E3BA9">
      <w:pPr>
        <w:numPr>
          <w:ilvl w:val="1"/>
          <w:numId w:val="89"/>
        </w:numPr>
        <w:spacing w:after="4" w:line="250" w:lineRule="auto"/>
        <w:ind w:right="244" w:firstLine="360"/>
        <w:jc w:val="right"/>
      </w:pPr>
      <w:r>
        <w:rPr>
          <w:rFonts w:ascii="Arial" w:eastAsia="Arial" w:hAnsi="Arial" w:cs="Arial"/>
          <w:i/>
        </w:rPr>
        <w:t xml:space="preserve">El cumplimiento </w:t>
      </w:r>
      <w:r>
        <w:rPr>
          <w:rFonts w:ascii="Arial" w:eastAsia="Arial" w:hAnsi="Arial" w:cs="Arial"/>
          <w:i/>
        </w:rPr>
        <w:t xml:space="preserve">por parte de beneficiarios y entidades colaboradoras de sus </w:t>
      </w:r>
    </w:p>
    <w:p w:rsidR="00FF384B" w:rsidRDefault="003E3BA9">
      <w:pPr>
        <w:spacing w:after="4" w:line="247" w:lineRule="auto"/>
        <w:ind w:left="278" w:right="244" w:hanging="10"/>
        <w:jc w:val="both"/>
      </w:pPr>
      <w:r>
        <w:rPr>
          <w:rFonts w:ascii="Arial" w:eastAsia="Arial" w:hAnsi="Arial" w:cs="Arial"/>
          <w:i/>
        </w:rPr>
        <w:t xml:space="preserve">obligaciones en la gestión y aplicación de la subvención. </w:t>
      </w:r>
    </w:p>
    <w:p w:rsidR="00FF384B" w:rsidRDefault="003E3BA9">
      <w:pPr>
        <w:numPr>
          <w:ilvl w:val="1"/>
          <w:numId w:val="89"/>
        </w:numPr>
        <w:spacing w:after="4" w:line="250" w:lineRule="auto"/>
        <w:ind w:right="244" w:firstLine="360"/>
        <w:jc w:val="right"/>
      </w:pPr>
      <w:r>
        <w:rPr>
          <w:rFonts w:ascii="Arial" w:eastAsia="Arial" w:hAnsi="Arial" w:cs="Arial"/>
          <w:i/>
        </w:rPr>
        <w:t xml:space="preserve">La adecuada y correcta justificación de la subvención por parte de beneficiarios y </w:t>
      </w:r>
    </w:p>
    <w:p w:rsidR="00FF384B" w:rsidRDefault="003E3BA9">
      <w:pPr>
        <w:spacing w:after="4" w:line="247" w:lineRule="auto"/>
        <w:ind w:left="278" w:right="244" w:hanging="10"/>
        <w:jc w:val="both"/>
      </w:pPr>
      <w:r>
        <w:rPr>
          <w:rFonts w:ascii="Arial" w:eastAsia="Arial" w:hAnsi="Arial" w:cs="Arial"/>
          <w:i/>
        </w:rPr>
        <w:t xml:space="preserve">entidades colaboradoras. </w:t>
      </w:r>
    </w:p>
    <w:p w:rsidR="00FF384B" w:rsidRDefault="003E3BA9">
      <w:pPr>
        <w:numPr>
          <w:ilvl w:val="1"/>
          <w:numId w:val="89"/>
        </w:numPr>
        <w:spacing w:after="4" w:line="250" w:lineRule="auto"/>
        <w:ind w:right="244" w:firstLine="360"/>
        <w:jc w:val="right"/>
      </w:pPr>
      <w:r>
        <w:rPr>
          <w:rFonts w:ascii="Arial" w:eastAsia="Arial" w:hAnsi="Arial" w:cs="Arial"/>
          <w:i/>
        </w:rPr>
        <w:t xml:space="preserve">La realidad y la regularidad de las operaciones que, de acuerdo con la justificación presentada por beneficiarios y entidades colaboradoras, han sido financiadas con la subvención. </w:t>
      </w:r>
    </w:p>
    <w:p w:rsidR="00FF384B" w:rsidRDefault="003E3BA9">
      <w:pPr>
        <w:numPr>
          <w:ilvl w:val="1"/>
          <w:numId w:val="89"/>
        </w:numPr>
        <w:spacing w:after="4" w:line="247" w:lineRule="auto"/>
        <w:ind w:right="244" w:firstLine="360"/>
        <w:jc w:val="right"/>
      </w:pPr>
      <w:r>
        <w:rPr>
          <w:rFonts w:ascii="Arial" w:eastAsia="Arial" w:hAnsi="Arial" w:cs="Arial"/>
          <w:i/>
        </w:rPr>
        <w:t>La adecuada y correcta financiación de las actividades subvencionadas, par</w:t>
      </w:r>
      <w:r>
        <w:rPr>
          <w:rFonts w:ascii="Arial" w:eastAsia="Arial" w:hAnsi="Arial" w:cs="Arial"/>
          <w:i/>
        </w:rPr>
        <w:t xml:space="preserve">a comprobar que el importe de la subvención abonada o de la suma de ellas con otras subvenciones, ayudas, ingresos o recursos, no supere el coste de la actividad subvencionada. </w:t>
      </w:r>
    </w:p>
    <w:p w:rsidR="00FF384B" w:rsidRDefault="003E3BA9">
      <w:pPr>
        <w:numPr>
          <w:ilvl w:val="1"/>
          <w:numId w:val="89"/>
        </w:numPr>
        <w:spacing w:after="4" w:line="247" w:lineRule="auto"/>
        <w:ind w:right="244" w:firstLine="360"/>
        <w:jc w:val="right"/>
      </w:pPr>
      <w:r>
        <w:rPr>
          <w:rFonts w:ascii="Arial" w:eastAsia="Arial" w:hAnsi="Arial" w:cs="Arial"/>
          <w:i/>
        </w:rPr>
        <w:t>La existencia de hechos, circunstancias o situaciones no declaradas a la Admin</w:t>
      </w:r>
      <w:r>
        <w:rPr>
          <w:rFonts w:ascii="Arial" w:eastAsia="Arial" w:hAnsi="Arial" w:cs="Arial"/>
          <w:i/>
        </w:rPr>
        <w:t>istración por beneficiarios y entidades colaboradoras y que pudieran afectar a la financiación de las actividades subvencionadas, a la adecuada y correcta obtención, utilización, disfrute o justificación de la subvención, así como a la realidad y regularid</w:t>
      </w:r>
      <w:r>
        <w:rPr>
          <w:rFonts w:ascii="Arial" w:eastAsia="Arial" w:hAnsi="Arial" w:cs="Arial"/>
          <w:i/>
        </w:rPr>
        <w:t xml:space="preserve">ad de las operaciones con ella financiadas. </w:t>
      </w:r>
    </w:p>
    <w:p w:rsidR="00FF384B" w:rsidRDefault="003E3BA9">
      <w:pPr>
        <w:spacing w:after="0"/>
        <w:ind w:left="283"/>
      </w:pPr>
      <w:r>
        <w:rPr>
          <w:rFonts w:ascii="Arial" w:eastAsia="Arial" w:hAnsi="Arial" w:cs="Arial"/>
          <w:i/>
          <w:color w:val="202020"/>
        </w:rPr>
        <w:t xml:space="preserve"> </w:t>
      </w:r>
    </w:p>
    <w:p w:rsidR="00FF384B" w:rsidRDefault="003E3BA9">
      <w:pPr>
        <w:numPr>
          <w:ilvl w:val="0"/>
          <w:numId w:val="89"/>
        </w:numPr>
        <w:spacing w:after="0" w:line="248" w:lineRule="auto"/>
        <w:ind w:right="244" w:hanging="247"/>
        <w:jc w:val="both"/>
      </w:pPr>
      <w:r>
        <w:rPr>
          <w:rFonts w:ascii="Arial" w:eastAsia="Arial" w:hAnsi="Arial" w:cs="Arial"/>
          <w:i/>
          <w:color w:val="202020"/>
        </w:rPr>
        <w:t xml:space="preserve">La competencia para el ejercicio del control de subvenciones corresponde a la Intervención, a través del Control financiero permanente. </w:t>
      </w:r>
    </w:p>
    <w:p w:rsidR="00FF384B" w:rsidRDefault="003E3BA9">
      <w:pPr>
        <w:spacing w:after="0"/>
        <w:ind w:left="283"/>
      </w:pPr>
      <w:r>
        <w:rPr>
          <w:rFonts w:ascii="Arial" w:eastAsia="Arial" w:hAnsi="Arial" w:cs="Arial"/>
          <w:i/>
          <w:color w:val="202020"/>
        </w:rPr>
        <w:t xml:space="preserve"> </w:t>
      </w:r>
    </w:p>
    <w:p w:rsidR="00FF384B" w:rsidRDefault="003E3BA9">
      <w:pPr>
        <w:numPr>
          <w:ilvl w:val="0"/>
          <w:numId w:val="89"/>
        </w:numPr>
        <w:spacing w:after="0" w:line="248" w:lineRule="auto"/>
        <w:ind w:right="244" w:hanging="247"/>
        <w:jc w:val="both"/>
      </w:pPr>
      <w:r>
        <w:rPr>
          <w:rFonts w:ascii="Arial" w:eastAsia="Arial" w:hAnsi="Arial" w:cs="Arial"/>
          <w:i/>
          <w:color w:val="202020"/>
        </w:rPr>
        <w:t>El control podrá extenderse a las personas físicas o jurídicas a las que se encuentren asociados los beneficiarios, así como a cualquier otra persona susceptible de presentar un interés en la consecución de los objetivos, en la realización de las actividad</w:t>
      </w:r>
      <w:r>
        <w:rPr>
          <w:rFonts w:ascii="Arial" w:eastAsia="Arial" w:hAnsi="Arial" w:cs="Arial"/>
          <w:i/>
          <w:color w:val="202020"/>
        </w:rPr>
        <w:t xml:space="preserve">es, en la ejecución de los proyectos o en la adopción de los comportamientos. </w:t>
      </w:r>
    </w:p>
    <w:p w:rsidR="00FF384B" w:rsidRDefault="003E3BA9">
      <w:pPr>
        <w:spacing w:after="127"/>
        <w:ind w:left="283"/>
      </w:pPr>
      <w:r>
        <w:rPr>
          <w:rFonts w:ascii="Arial" w:eastAsia="Arial" w:hAnsi="Arial" w:cs="Arial"/>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71. Obligación de colaboración. </w:t>
      </w:r>
    </w:p>
    <w:p w:rsidR="00FF384B" w:rsidRDefault="003E3BA9">
      <w:pPr>
        <w:numPr>
          <w:ilvl w:val="0"/>
          <w:numId w:val="90"/>
        </w:numPr>
        <w:spacing w:after="143" w:line="248" w:lineRule="auto"/>
        <w:ind w:right="244" w:hanging="10"/>
        <w:jc w:val="both"/>
      </w:pPr>
      <w:r>
        <w:rPr>
          <w:noProof/>
        </w:rPr>
        <mc:AlternateContent>
          <mc:Choice Requires="wpg">
            <w:drawing>
              <wp:anchor distT="0" distB="0" distL="114300" distR="114300" simplePos="0" relativeHeight="2517534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2671" name="Group 45267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210" name="Picture 21210"/>
                          <pic:cNvPicPr/>
                        </pic:nvPicPr>
                        <pic:blipFill>
                          <a:blip r:embed="rId62"/>
                          <a:stretch>
                            <a:fillRect/>
                          </a:stretch>
                        </pic:blipFill>
                        <pic:spPr>
                          <a:xfrm rot="-5399999">
                            <a:off x="-1720849" y="1720849"/>
                            <a:ext cx="3797300" cy="355601"/>
                          </a:xfrm>
                          <a:prstGeom prst="rect">
                            <a:avLst/>
                          </a:prstGeom>
                        </pic:spPr>
                      </pic:pic>
                      <wps:wsp>
                        <wps:cNvPr id="21211" name="Rectangle 2121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212" name="Rectangle 2121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2671" style="width:41.2715pt;height:299pt;position:absolute;mso-position-horizontal-relative:page;mso-position-horizontal:absolute;margin-left:653.71pt;mso-position-vertical-relative:page;margin-top:512.92pt;" coordsize="5241,37973">
                <v:shape id="Picture 21210" style="position:absolute;width:37973;height:3556;left:-17208;top:17208;rotation:-89;" filled="f">
                  <v:imagedata r:id="rId63"/>
                </v:shape>
                <v:rect id="Rectangle 212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21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353 </w:t>
                        </w:r>
                      </w:p>
                    </w:txbxContent>
                  </v:textbox>
                </v:rect>
                <w10:wrap type="square"/>
              </v:group>
            </w:pict>
          </mc:Fallback>
        </mc:AlternateContent>
      </w:r>
      <w:r>
        <w:rPr>
          <w:rFonts w:ascii="Arial" w:eastAsia="Arial" w:hAnsi="Arial" w:cs="Arial"/>
          <w:i/>
          <w:color w:val="202020"/>
        </w:rPr>
        <w:t>Los solicitantes, beneficiarios, las entidades colaboradoras y los terceros relacionados con el objeto de la subvención o su justificación, estarán obligados a pr</w:t>
      </w:r>
      <w:r>
        <w:rPr>
          <w:rFonts w:ascii="Arial" w:eastAsia="Arial" w:hAnsi="Arial" w:cs="Arial"/>
          <w:i/>
          <w:color w:val="202020"/>
        </w:rPr>
        <w:t>estar colaboración y facilitar cuanta documentación sea requerida en el ejercicio de las funciones de control financiero por la Intervención Municipal, así como a los órganos que, de acuerdo con la normativa comunitaria, tengan atribuidas funciones de cont</w:t>
      </w:r>
      <w:r>
        <w:rPr>
          <w:rFonts w:ascii="Arial" w:eastAsia="Arial" w:hAnsi="Arial" w:cs="Arial"/>
          <w:i/>
          <w:color w:val="202020"/>
        </w:rPr>
        <w:t xml:space="preserve">rol financiero, a cuyo fin tendrán las siguientes facultades y derechos: </w:t>
      </w:r>
    </w:p>
    <w:p w:rsidR="00FF384B" w:rsidRDefault="003E3BA9">
      <w:pPr>
        <w:numPr>
          <w:ilvl w:val="1"/>
          <w:numId w:val="90"/>
        </w:numPr>
        <w:spacing w:after="92" w:line="248" w:lineRule="auto"/>
        <w:ind w:right="244" w:hanging="10"/>
        <w:jc w:val="both"/>
      </w:pPr>
      <w:r>
        <w:rPr>
          <w:rFonts w:ascii="Arial" w:eastAsia="Arial" w:hAnsi="Arial" w:cs="Arial"/>
          <w:i/>
          <w:color w:val="202020"/>
        </w:rPr>
        <w:t xml:space="preserve">El libre acceso a toda la documentación objeto de comprobación, incluidos libros y registros contables, programas y archivos en soportes informáticos. </w:t>
      </w:r>
    </w:p>
    <w:p w:rsidR="00FF384B" w:rsidRDefault="003E3BA9">
      <w:pPr>
        <w:numPr>
          <w:ilvl w:val="1"/>
          <w:numId w:val="90"/>
        </w:numPr>
        <w:spacing w:after="92" w:line="248" w:lineRule="auto"/>
        <w:ind w:right="244" w:hanging="10"/>
        <w:jc w:val="both"/>
      </w:pPr>
      <w:r>
        <w:rPr>
          <w:rFonts w:ascii="Arial" w:eastAsia="Arial" w:hAnsi="Arial" w:cs="Arial"/>
          <w:i/>
          <w:color w:val="202020"/>
        </w:rPr>
        <w:t xml:space="preserve">El libre acceso a los locales </w:t>
      </w:r>
      <w:r>
        <w:rPr>
          <w:rFonts w:ascii="Arial" w:eastAsia="Arial" w:hAnsi="Arial" w:cs="Arial"/>
          <w:i/>
          <w:color w:val="202020"/>
        </w:rPr>
        <w:t xml:space="preserve">de negocio y demás establecimientos o lugares en que se desarrolle la actividad subvencionada o se permita verificar la realidad y regularidad de las operaciones financiadas con cargo a la subvención. </w:t>
      </w:r>
    </w:p>
    <w:p w:rsidR="00FF384B" w:rsidRDefault="003E3BA9">
      <w:pPr>
        <w:numPr>
          <w:ilvl w:val="1"/>
          <w:numId w:val="90"/>
        </w:numPr>
        <w:spacing w:after="92" w:line="248" w:lineRule="auto"/>
        <w:ind w:right="244" w:hanging="10"/>
        <w:jc w:val="both"/>
      </w:pPr>
      <w:r>
        <w:rPr>
          <w:rFonts w:ascii="Arial" w:eastAsia="Arial" w:hAnsi="Arial" w:cs="Arial"/>
          <w:i/>
          <w:color w:val="202020"/>
        </w:rPr>
        <w:t xml:space="preserve">La obtención de copia o la retención de las facturas, </w:t>
      </w:r>
      <w:r>
        <w:rPr>
          <w:rFonts w:ascii="Arial" w:eastAsia="Arial" w:hAnsi="Arial" w:cs="Arial"/>
          <w:i/>
          <w:color w:val="202020"/>
        </w:rPr>
        <w:t xml:space="preserve">documentos equivalentes o sustitutivos y de cualquier otro documento relativo a las operaciones en las que se deduzcan indicios de la incorrecta obtención, disfrute o destino de la subvención. </w:t>
      </w:r>
    </w:p>
    <w:p w:rsidR="00FF384B" w:rsidRDefault="003E3BA9">
      <w:pPr>
        <w:numPr>
          <w:ilvl w:val="1"/>
          <w:numId w:val="90"/>
        </w:numPr>
        <w:spacing w:after="92" w:line="248" w:lineRule="auto"/>
        <w:ind w:right="244" w:hanging="10"/>
        <w:jc w:val="both"/>
      </w:pPr>
      <w:r>
        <w:rPr>
          <w:rFonts w:ascii="Arial" w:eastAsia="Arial" w:hAnsi="Arial" w:cs="Arial"/>
          <w:i/>
          <w:color w:val="202020"/>
        </w:rPr>
        <w:t xml:space="preserve">El libre acceso a información de las cuentas bancarias en las </w:t>
      </w:r>
      <w:r>
        <w:rPr>
          <w:rFonts w:ascii="Arial" w:eastAsia="Arial" w:hAnsi="Arial" w:cs="Arial"/>
          <w:i/>
          <w:color w:val="202020"/>
        </w:rPr>
        <w:t xml:space="preserve">entidades financieras donde se pueda haber efectuado el cobro de las subvenciones o con cargo a las cuales se puedan haber realizado las disposiciones de los fondos. </w:t>
      </w:r>
    </w:p>
    <w:p w:rsidR="00FF384B" w:rsidRDefault="003E3BA9">
      <w:pPr>
        <w:numPr>
          <w:ilvl w:val="0"/>
          <w:numId w:val="90"/>
        </w:numPr>
        <w:spacing w:after="143" w:line="248" w:lineRule="auto"/>
        <w:ind w:right="244" w:hanging="10"/>
        <w:jc w:val="both"/>
      </w:pPr>
      <w:r>
        <w:rPr>
          <w:rFonts w:ascii="Arial" w:eastAsia="Arial" w:hAnsi="Arial" w:cs="Arial"/>
          <w:i/>
          <w:color w:val="202020"/>
        </w:rPr>
        <w:t>La negativa al cumplimiento de esta obligación se considerará resistencia, excusa, obstru</w:t>
      </w:r>
      <w:r>
        <w:rPr>
          <w:rFonts w:ascii="Arial" w:eastAsia="Arial" w:hAnsi="Arial" w:cs="Arial"/>
          <w:i/>
          <w:color w:val="202020"/>
        </w:rPr>
        <w:t xml:space="preserve">cción o negativa a los efectos del artículo 59 de esta ordenanza, sin perjuicio de las sanciones que, en su caso, pudieran corresponder. </w:t>
      </w:r>
    </w:p>
    <w:p w:rsidR="00FF384B" w:rsidRDefault="003E3BA9">
      <w:pPr>
        <w:spacing w:after="142" w:line="248" w:lineRule="auto"/>
        <w:ind w:left="278" w:right="244" w:hanging="10"/>
        <w:jc w:val="both"/>
      </w:pPr>
      <w:r>
        <w:rPr>
          <w:rFonts w:ascii="Arial" w:eastAsia="Arial" w:hAnsi="Arial" w:cs="Arial"/>
          <w:color w:val="202020"/>
        </w:rPr>
        <w:t xml:space="preserve">Artículo 72. Derechos y deberes del personal controlador. </w:t>
      </w:r>
    </w:p>
    <w:p w:rsidR="00FF384B" w:rsidRDefault="003E3BA9">
      <w:pPr>
        <w:numPr>
          <w:ilvl w:val="0"/>
          <w:numId w:val="91"/>
        </w:numPr>
        <w:spacing w:after="143" w:line="248" w:lineRule="auto"/>
        <w:ind w:right="244" w:hanging="10"/>
        <w:jc w:val="both"/>
      </w:pPr>
      <w:r>
        <w:rPr>
          <w:rFonts w:ascii="Arial" w:eastAsia="Arial" w:hAnsi="Arial" w:cs="Arial"/>
          <w:i/>
          <w:color w:val="202020"/>
        </w:rPr>
        <w:t>En el ejercicio de sus funciones, los funcionarios de la In</w:t>
      </w:r>
      <w:r>
        <w:rPr>
          <w:rFonts w:ascii="Arial" w:eastAsia="Arial" w:hAnsi="Arial" w:cs="Arial"/>
          <w:i/>
          <w:color w:val="202020"/>
        </w:rPr>
        <w:t xml:space="preserve">tervención Municipal y a los que específicamente se les pueda asignar este cometido, de acuerdo con la normativa comunitaria, serán considerados agentes de la autoridad. </w:t>
      </w:r>
    </w:p>
    <w:p w:rsidR="00FF384B" w:rsidRDefault="003E3BA9">
      <w:pPr>
        <w:numPr>
          <w:ilvl w:val="0"/>
          <w:numId w:val="91"/>
        </w:numPr>
        <w:spacing w:after="143" w:line="248" w:lineRule="auto"/>
        <w:ind w:right="244" w:hanging="10"/>
        <w:jc w:val="both"/>
      </w:pPr>
      <w:r>
        <w:rPr>
          <w:rFonts w:ascii="Arial" w:eastAsia="Arial" w:hAnsi="Arial" w:cs="Arial"/>
          <w:i/>
          <w:color w:val="202020"/>
        </w:rPr>
        <w:t>Los funcionarios y auditores que ejecuten los trabajos, bien individualmente o forman</w:t>
      </w:r>
      <w:r>
        <w:rPr>
          <w:rFonts w:ascii="Arial" w:eastAsia="Arial" w:hAnsi="Arial" w:cs="Arial"/>
          <w:i/>
          <w:color w:val="202020"/>
        </w:rPr>
        <w:t>do parte de equipos de auditoría, deben poseer la cualificación profesional necesaria, mantener una posición de independencia y objetividad, actuar con la debida diligencia profesional, responder de su trabajo y observar la confidencialidad y el secreto re</w:t>
      </w:r>
      <w:r>
        <w:rPr>
          <w:rFonts w:ascii="Arial" w:eastAsia="Arial" w:hAnsi="Arial" w:cs="Arial"/>
          <w:i/>
          <w:color w:val="202020"/>
        </w:rPr>
        <w:t xml:space="preserve">specto de la información obtenida en el curso de las actuaciones. </w:t>
      </w:r>
    </w:p>
    <w:p w:rsidR="00FF384B" w:rsidRDefault="003E3BA9">
      <w:pPr>
        <w:numPr>
          <w:ilvl w:val="0"/>
          <w:numId w:val="91"/>
        </w:numPr>
        <w:spacing w:after="143" w:line="248" w:lineRule="auto"/>
        <w:ind w:right="244" w:hanging="10"/>
        <w:jc w:val="both"/>
      </w:pPr>
      <w:r>
        <w:rPr>
          <w:rFonts w:ascii="Arial" w:eastAsia="Arial" w:hAnsi="Arial" w:cs="Arial"/>
          <w:i/>
          <w:color w:val="202020"/>
        </w:rPr>
        <w:t>Los datos, informes o antecedentes obtenidos en el ejercicio de dicho control solamente podrán utilizarse para los fines asignados al mismo, servir de fundamento para la exigencia de reinte</w:t>
      </w:r>
      <w:r>
        <w:rPr>
          <w:rFonts w:ascii="Arial" w:eastAsia="Arial" w:hAnsi="Arial" w:cs="Arial"/>
          <w:i/>
          <w:color w:val="202020"/>
        </w:rPr>
        <w:t xml:space="preserve">gro y, en su caso, para poner en conocimiento de los órganos competentes los hechos que puedan ser constitutivos de infracción administrativa, responsabilidad contable o penal. </w:t>
      </w:r>
    </w:p>
    <w:p w:rsidR="00FF384B" w:rsidRDefault="003E3BA9">
      <w:pPr>
        <w:numPr>
          <w:ilvl w:val="0"/>
          <w:numId w:val="91"/>
        </w:numPr>
        <w:spacing w:after="291" w:line="248" w:lineRule="auto"/>
        <w:ind w:right="244" w:hanging="10"/>
        <w:jc w:val="both"/>
      </w:pPr>
      <w:r>
        <w:rPr>
          <w:rFonts w:ascii="Arial" w:eastAsia="Arial" w:hAnsi="Arial" w:cs="Arial"/>
          <w:i/>
          <w:color w:val="202020"/>
        </w:rPr>
        <w:t>Cuando en la práctica de un control sobre subvenciones el funcionario encargad</w:t>
      </w:r>
      <w:r>
        <w:rPr>
          <w:rFonts w:ascii="Arial" w:eastAsia="Arial" w:hAnsi="Arial" w:cs="Arial"/>
          <w:i/>
          <w:color w:val="202020"/>
        </w:rPr>
        <w:t>o aprecie que los hechos acreditados en el expediente pudieran ser susceptibles de constituir una infracción administrativa o de responsabilidades contables o penales lo deberá poner en conocimiento de la Intervención Municipal para que, si procede, remita</w:t>
      </w:r>
      <w:r>
        <w:rPr>
          <w:rFonts w:ascii="Arial" w:eastAsia="Arial" w:hAnsi="Arial" w:cs="Arial"/>
          <w:i/>
          <w:color w:val="202020"/>
        </w:rPr>
        <w:t xml:space="preserve"> lo actuado al órgano competente para la iniciación de los oportunos procedimientos. </w:t>
      </w:r>
    </w:p>
    <w:p w:rsidR="00FF384B" w:rsidRDefault="003E3BA9">
      <w:pPr>
        <w:spacing w:after="0" w:line="403" w:lineRule="auto"/>
        <w:ind w:left="278" w:right="2294" w:hanging="10"/>
        <w:jc w:val="both"/>
      </w:pPr>
      <w:r>
        <w:rPr>
          <w:noProof/>
        </w:rPr>
        <mc:AlternateContent>
          <mc:Choice Requires="wpg">
            <w:drawing>
              <wp:anchor distT="0" distB="0" distL="114300" distR="114300" simplePos="0" relativeHeight="2517544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2865" name="Group 45286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349" name="Picture 21349"/>
                          <pic:cNvPicPr/>
                        </pic:nvPicPr>
                        <pic:blipFill>
                          <a:blip r:embed="rId62"/>
                          <a:stretch>
                            <a:fillRect/>
                          </a:stretch>
                        </pic:blipFill>
                        <pic:spPr>
                          <a:xfrm rot="-5399999">
                            <a:off x="-1720849" y="1720849"/>
                            <a:ext cx="3797300" cy="355601"/>
                          </a:xfrm>
                          <a:prstGeom prst="rect">
                            <a:avLst/>
                          </a:prstGeom>
                        </pic:spPr>
                      </pic:pic>
                      <wps:wsp>
                        <wps:cNvPr id="21350" name="Rectangle 2135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351" name="Rectangle 21351"/>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2865" style="width:41.2715pt;height:299pt;position:absolute;mso-position-horizontal-relative:page;mso-position-horizontal:absolute;margin-left:653.71pt;mso-position-vertical-relative:page;margin-top:512.92pt;" coordsize="5241,37973">
                <v:shape id="Picture 21349" style="position:absolute;width:37973;height:3556;left:-17208;top:17208;rotation:-89;" filled="f">
                  <v:imagedata r:id="rId63"/>
                </v:shape>
                <v:rect id="Rectangle 2135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351"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353 </w:t>
                        </w:r>
                      </w:p>
                    </w:txbxContent>
                  </v:textbox>
                </v:rect>
                <w10:wrap type="square"/>
              </v:group>
            </w:pict>
          </mc:Fallback>
        </mc:AlternateContent>
      </w:r>
      <w:r>
        <w:rPr>
          <w:rFonts w:ascii="Arial" w:eastAsia="Arial" w:hAnsi="Arial" w:cs="Arial"/>
          <w:i/>
          <w:color w:val="202020"/>
        </w:rPr>
        <w:t>CAPÍTULO II. Procedimientos de control de subvenciones</w:t>
      </w:r>
      <w:r>
        <w:rPr>
          <w:sz w:val="26"/>
        </w:rPr>
        <w:t xml:space="preserve"> </w:t>
      </w:r>
      <w:r>
        <w:rPr>
          <w:rFonts w:ascii="Arial" w:eastAsia="Arial" w:hAnsi="Arial" w:cs="Arial"/>
          <w:color w:val="202020"/>
        </w:rPr>
        <w:t xml:space="preserve">Artículo 73. Procedimientos de control de subvenciones. </w:t>
      </w:r>
    </w:p>
    <w:p w:rsidR="00FF384B" w:rsidRDefault="003E3BA9">
      <w:pPr>
        <w:spacing w:after="143" w:line="248" w:lineRule="auto"/>
        <w:ind w:left="268" w:right="244" w:firstLine="708"/>
        <w:jc w:val="both"/>
      </w:pPr>
      <w:r>
        <w:rPr>
          <w:rFonts w:ascii="Arial" w:eastAsia="Arial" w:hAnsi="Arial" w:cs="Arial"/>
          <w:i/>
          <w:color w:val="202020"/>
        </w:rPr>
        <w:t>El ejercicio del control de subvenciones se adecua</w:t>
      </w:r>
      <w:r>
        <w:rPr>
          <w:rFonts w:ascii="Arial" w:eastAsia="Arial" w:hAnsi="Arial" w:cs="Arial"/>
          <w:i/>
          <w:color w:val="202020"/>
        </w:rPr>
        <w:t xml:space="preserve">rá a la modalidad a aplicar, sea función interventora o control financiero, conforme establezca el interventor municipal, de conformidad con el Real Decreto 424/2017 de abril. </w:t>
      </w:r>
    </w:p>
    <w:p w:rsidR="00FF384B" w:rsidRDefault="003E3BA9">
      <w:pPr>
        <w:spacing w:after="142" w:line="248" w:lineRule="auto"/>
        <w:ind w:left="278" w:right="244" w:hanging="10"/>
        <w:jc w:val="both"/>
      </w:pPr>
      <w:r>
        <w:rPr>
          <w:rFonts w:ascii="Arial" w:eastAsia="Arial" w:hAnsi="Arial" w:cs="Arial"/>
          <w:color w:val="202020"/>
        </w:rPr>
        <w:t xml:space="preserve">Artículo 74. Función interventora. </w:t>
      </w:r>
    </w:p>
    <w:p w:rsidR="00FF384B" w:rsidRDefault="003E3BA9">
      <w:pPr>
        <w:spacing w:after="143" w:line="248" w:lineRule="auto"/>
        <w:ind w:left="268" w:right="244" w:firstLine="708"/>
        <w:jc w:val="both"/>
      </w:pPr>
      <w:r>
        <w:rPr>
          <w:rFonts w:ascii="Arial" w:eastAsia="Arial" w:hAnsi="Arial" w:cs="Arial"/>
          <w:i/>
          <w:color w:val="202020"/>
        </w:rPr>
        <w:t>El ejercicio de la función interventora sob</w:t>
      </w:r>
      <w:r>
        <w:rPr>
          <w:rFonts w:ascii="Arial" w:eastAsia="Arial" w:hAnsi="Arial" w:cs="Arial"/>
          <w:i/>
          <w:color w:val="202020"/>
        </w:rPr>
        <w:t>re las subvenciones reguladas en esta ordenanza, podrá consistir en la intervención previa plena, de los expedientes en la tramitación de las diferentes fases de autorización y disposición del gasto y reconocimiento de la obligación, o en la intervención p</w:t>
      </w:r>
      <w:r>
        <w:rPr>
          <w:rFonts w:ascii="Arial" w:eastAsia="Arial" w:hAnsi="Arial" w:cs="Arial"/>
          <w:i/>
          <w:color w:val="202020"/>
        </w:rPr>
        <w:t xml:space="preserve">revia de requisitos esenciales, que se completará con el control posterior, bien a través de la fiscalización plena posterior, bien mediante técnicas de auditoría, de acuerdo con lo dispuesto en el Texto Refundido de la Ley de Haciendas Locales </w:t>
      </w:r>
    </w:p>
    <w:p w:rsidR="00FF384B" w:rsidRDefault="003E3BA9">
      <w:pPr>
        <w:spacing w:after="143" w:line="248" w:lineRule="auto"/>
        <w:ind w:left="268" w:right="244" w:firstLine="708"/>
        <w:jc w:val="both"/>
      </w:pPr>
      <w:r>
        <w:rPr>
          <w:rFonts w:ascii="Arial" w:eastAsia="Arial" w:hAnsi="Arial" w:cs="Arial"/>
          <w:i/>
          <w:color w:val="202020"/>
        </w:rPr>
        <w:t>El control</w:t>
      </w:r>
      <w:r>
        <w:rPr>
          <w:rFonts w:ascii="Arial" w:eastAsia="Arial" w:hAnsi="Arial" w:cs="Arial"/>
          <w:i/>
          <w:color w:val="202020"/>
        </w:rPr>
        <w:t xml:space="preserve"> posterior efectuado a través de técnicas de auditoría se someterá, en lo correspondiente a su procedimiento y formalización, a lo determinado en los artículos siguientes. </w:t>
      </w:r>
    </w:p>
    <w:p w:rsidR="00FF384B" w:rsidRDefault="003E3BA9">
      <w:pPr>
        <w:spacing w:after="142" w:line="248" w:lineRule="auto"/>
        <w:ind w:left="278" w:right="244" w:hanging="10"/>
        <w:jc w:val="both"/>
      </w:pPr>
      <w:r>
        <w:rPr>
          <w:rFonts w:ascii="Arial" w:eastAsia="Arial" w:hAnsi="Arial" w:cs="Arial"/>
          <w:color w:val="202020"/>
        </w:rPr>
        <w:t xml:space="preserve">Artículo 75. Control financiero. </w:t>
      </w:r>
    </w:p>
    <w:p w:rsidR="00FF384B" w:rsidRDefault="003E3BA9">
      <w:pPr>
        <w:numPr>
          <w:ilvl w:val="0"/>
          <w:numId w:val="92"/>
        </w:numPr>
        <w:spacing w:after="143" w:line="248" w:lineRule="auto"/>
        <w:ind w:right="244" w:hanging="247"/>
        <w:jc w:val="both"/>
      </w:pPr>
      <w:r>
        <w:rPr>
          <w:rFonts w:ascii="Arial" w:eastAsia="Arial" w:hAnsi="Arial" w:cs="Arial"/>
          <w:i/>
          <w:color w:val="202020"/>
        </w:rPr>
        <w:t>Cuando se realicen los controles mediante técnica</w:t>
      </w:r>
      <w:r>
        <w:rPr>
          <w:rFonts w:ascii="Arial" w:eastAsia="Arial" w:hAnsi="Arial" w:cs="Arial"/>
          <w:i/>
          <w:color w:val="202020"/>
        </w:rPr>
        <w:t xml:space="preserve">s de auditoría, el inicio de las actuaciones se notificará a los órganos, organismos o entidades objeto de control y a los beneficiarios y, en su caso, entidades colaboradoras y al resto de los interesados, con indicación de la naturaleza y alcance de las </w:t>
      </w:r>
      <w:r>
        <w:rPr>
          <w:rFonts w:ascii="Arial" w:eastAsia="Arial" w:hAnsi="Arial" w:cs="Arial"/>
          <w:i/>
          <w:color w:val="202020"/>
        </w:rPr>
        <w:t>actuaciones a desarrollar, la fecha de personación del equipo de control que va a realizarlas, la documentación que en un principio debe ponerse a disposición del mismo y los demás elementos que se consideren necesarios. Estas actuaciones serán comunicadas</w:t>
      </w:r>
      <w:r>
        <w:rPr>
          <w:rFonts w:ascii="Arial" w:eastAsia="Arial" w:hAnsi="Arial" w:cs="Arial"/>
          <w:i/>
          <w:color w:val="202020"/>
        </w:rPr>
        <w:t xml:space="preserve">, igualmente, a los órganos gestores de las subvenciones. </w:t>
      </w:r>
    </w:p>
    <w:p w:rsidR="00FF384B" w:rsidRDefault="003E3BA9">
      <w:pPr>
        <w:numPr>
          <w:ilvl w:val="0"/>
          <w:numId w:val="92"/>
        </w:numPr>
        <w:spacing w:after="143" w:line="248" w:lineRule="auto"/>
        <w:ind w:right="244" w:hanging="247"/>
        <w:jc w:val="both"/>
      </w:pPr>
      <w:r>
        <w:rPr>
          <w:rFonts w:ascii="Arial" w:eastAsia="Arial" w:hAnsi="Arial" w:cs="Arial"/>
          <w:i/>
          <w:color w:val="202020"/>
        </w:rPr>
        <w:t xml:space="preserve">El informe definitivo se remitirá a los órganos previstos en la normativa vigente. </w:t>
      </w:r>
    </w:p>
    <w:p w:rsidR="00FF384B" w:rsidRDefault="003E3BA9">
      <w:pPr>
        <w:spacing w:after="142" w:line="248" w:lineRule="auto"/>
        <w:ind w:left="278" w:right="244" w:hanging="10"/>
        <w:jc w:val="both"/>
      </w:pPr>
      <w:r>
        <w:rPr>
          <w:rFonts w:ascii="Arial" w:eastAsia="Arial" w:hAnsi="Arial" w:cs="Arial"/>
          <w:color w:val="202020"/>
        </w:rPr>
        <w:t xml:space="preserve">Artículo 76. Plan anual de control financiero. </w:t>
      </w:r>
    </w:p>
    <w:p w:rsidR="00FF384B" w:rsidRDefault="003E3BA9">
      <w:pPr>
        <w:numPr>
          <w:ilvl w:val="0"/>
          <w:numId w:val="93"/>
        </w:numPr>
        <w:spacing w:after="143" w:line="248" w:lineRule="auto"/>
        <w:ind w:right="244" w:hanging="10"/>
        <w:jc w:val="both"/>
      </w:pPr>
      <w:r>
        <w:rPr>
          <w:rFonts w:ascii="Arial" w:eastAsia="Arial" w:hAnsi="Arial" w:cs="Arial"/>
          <w:i/>
          <w:color w:val="202020"/>
        </w:rPr>
        <w:t>La Intervención Municipal elaborará un Plan anual de control fina</w:t>
      </w:r>
      <w:r>
        <w:rPr>
          <w:rFonts w:ascii="Arial" w:eastAsia="Arial" w:hAnsi="Arial" w:cs="Arial"/>
          <w:i/>
          <w:color w:val="202020"/>
        </w:rPr>
        <w:t xml:space="preserve">nciero, que incluirá la programación de los controles financieros a realizar en el ejercicio. Dicho Plan será elevado al Pleno para su conocimiento durante el primer semestre del año. </w:t>
      </w:r>
    </w:p>
    <w:p w:rsidR="00FF384B" w:rsidRDefault="003E3BA9">
      <w:pPr>
        <w:numPr>
          <w:ilvl w:val="0"/>
          <w:numId w:val="93"/>
        </w:numPr>
        <w:spacing w:after="143" w:line="248" w:lineRule="auto"/>
        <w:ind w:right="244" w:hanging="10"/>
        <w:jc w:val="both"/>
      </w:pPr>
      <w:r>
        <w:rPr>
          <w:rFonts w:ascii="Arial" w:eastAsia="Arial" w:hAnsi="Arial" w:cs="Arial"/>
          <w:i/>
          <w:color w:val="202020"/>
        </w:rPr>
        <w:t xml:space="preserve">El Plan podrá ser modificado en función de los medios disponibles, de las necesidades de control detectadas en el ejercicio del mismo o de las solicitudes para la realización de auditorías específicas que efectúe el Pleno de la Corporación. </w:t>
      </w:r>
    </w:p>
    <w:p w:rsidR="00FF384B" w:rsidRDefault="003E3BA9">
      <w:pPr>
        <w:numPr>
          <w:ilvl w:val="0"/>
          <w:numId w:val="93"/>
        </w:numPr>
        <w:spacing w:after="294" w:line="248" w:lineRule="auto"/>
        <w:ind w:right="244" w:hanging="10"/>
        <w:jc w:val="both"/>
      </w:pPr>
      <w:r>
        <w:rPr>
          <w:rFonts w:ascii="Arial" w:eastAsia="Arial" w:hAnsi="Arial" w:cs="Arial"/>
          <w:i/>
          <w:color w:val="202020"/>
        </w:rPr>
        <w:t>A tales efecto</w:t>
      </w:r>
      <w:r>
        <w:rPr>
          <w:rFonts w:ascii="Arial" w:eastAsia="Arial" w:hAnsi="Arial" w:cs="Arial"/>
          <w:i/>
          <w:color w:val="202020"/>
        </w:rPr>
        <w:t>s, se elevará propuesta o petición razonada a la Intervención Municipal que, previa valoración, resolverá, según proceda, acerca de la inclusión de un control no contemplado inicialmente en el Plan anual o su supresión, y la extensión del mismo a otra pers</w:t>
      </w:r>
      <w:r>
        <w:rPr>
          <w:rFonts w:ascii="Arial" w:eastAsia="Arial" w:hAnsi="Arial" w:cs="Arial"/>
          <w:i/>
          <w:color w:val="202020"/>
        </w:rPr>
        <w:t xml:space="preserve">ona física o jurídica, debiendo dar cuenta, en todo caso, al Pleno de la Corporación. </w:t>
      </w:r>
    </w:p>
    <w:p w:rsidR="00FF384B" w:rsidRDefault="003E3BA9">
      <w:pPr>
        <w:spacing w:after="264" w:line="248" w:lineRule="auto"/>
        <w:ind w:left="278" w:right="244" w:hanging="10"/>
        <w:jc w:val="both"/>
      </w:pPr>
      <w:r>
        <w:rPr>
          <w:noProof/>
        </w:rPr>
        <mc:AlternateContent>
          <mc:Choice Requires="wpg">
            <w:drawing>
              <wp:anchor distT="0" distB="0" distL="114300" distR="114300" simplePos="0" relativeHeight="2517555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126" name="Group 45312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485" name="Picture 21485"/>
                          <pic:cNvPicPr/>
                        </pic:nvPicPr>
                        <pic:blipFill>
                          <a:blip r:embed="rId62"/>
                          <a:stretch>
                            <a:fillRect/>
                          </a:stretch>
                        </pic:blipFill>
                        <pic:spPr>
                          <a:xfrm rot="-5399999">
                            <a:off x="-1720849" y="1720849"/>
                            <a:ext cx="3797300" cy="355601"/>
                          </a:xfrm>
                          <a:prstGeom prst="rect">
                            <a:avLst/>
                          </a:prstGeom>
                        </pic:spPr>
                      </pic:pic>
                      <wps:wsp>
                        <wps:cNvPr id="21486" name="Rectangle 2148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487" name="Rectangle 2148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126" style="width:41.2715pt;height:299pt;position:absolute;mso-position-horizontal-relative:page;mso-position-horizontal:absolute;margin-left:653.71pt;mso-position-vertical-relative:page;margin-top:512.92pt;" coordsize="5241,37973">
                <v:shape id="Picture 21485" style="position:absolute;width:37973;height:3556;left:-17208;top:17208;rotation:-89;" filled="f">
                  <v:imagedata r:id="rId63"/>
                </v:shape>
                <v:rect id="Rectangle 2148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48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353 </w:t>
                        </w:r>
                      </w:p>
                    </w:txbxContent>
                  </v:textbox>
                </v:rect>
                <w10:wrap type="square"/>
              </v:group>
            </w:pict>
          </mc:Fallback>
        </mc:AlternateContent>
      </w:r>
      <w:r>
        <w:rPr>
          <w:rFonts w:ascii="Arial" w:eastAsia="Arial" w:hAnsi="Arial" w:cs="Arial"/>
          <w:i/>
          <w:color w:val="202020"/>
        </w:rPr>
        <w:t>TÍTULO VI. INFRACCIONES Y SANCIONES ADMINISTRATIVAS EN MATERIA DE SUBVENCIONES. PROCEDIMIENTO SANCIONADOR.</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CAPÍTULO I. Infracciones en materia de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77. Concepto de infracción. </w:t>
      </w:r>
    </w:p>
    <w:p w:rsidR="00FF384B" w:rsidRDefault="003E3BA9">
      <w:pPr>
        <w:numPr>
          <w:ilvl w:val="0"/>
          <w:numId w:val="94"/>
        </w:numPr>
        <w:spacing w:after="143" w:line="248" w:lineRule="auto"/>
        <w:ind w:right="244" w:hanging="10"/>
        <w:jc w:val="both"/>
      </w:pPr>
      <w:r>
        <w:rPr>
          <w:rFonts w:ascii="Arial" w:eastAsia="Arial" w:hAnsi="Arial" w:cs="Arial"/>
          <w:i/>
          <w:color w:val="202020"/>
        </w:rPr>
        <w:t xml:space="preserve">Constituyen infracciones administrativas en materia de subvenciones las acciones y omisiones tipificadas en la normativa de subvenciones, así como en la presente Ordenanza municipal. </w:t>
      </w:r>
    </w:p>
    <w:p w:rsidR="00FF384B" w:rsidRDefault="003E3BA9">
      <w:pPr>
        <w:numPr>
          <w:ilvl w:val="0"/>
          <w:numId w:val="94"/>
        </w:numPr>
        <w:spacing w:after="143" w:line="248" w:lineRule="auto"/>
        <w:ind w:right="244" w:hanging="10"/>
        <w:jc w:val="both"/>
      </w:pPr>
      <w:r>
        <w:rPr>
          <w:rFonts w:ascii="Arial" w:eastAsia="Arial" w:hAnsi="Arial" w:cs="Arial"/>
          <w:i/>
          <w:color w:val="202020"/>
        </w:rPr>
        <w:t>Las infracciones administrativas e</w:t>
      </w:r>
      <w:r>
        <w:rPr>
          <w:rFonts w:ascii="Arial" w:eastAsia="Arial" w:hAnsi="Arial" w:cs="Arial"/>
          <w:i/>
          <w:color w:val="202020"/>
        </w:rPr>
        <w:t xml:space="preserve">n materia de subvenciones serán sancionables incluso a título de simple negligencia. </w:t>
      </w:r>
    </w:p>
    <w:p w:rsidR="00FF384B" w:rsidRDefault="003E3BA9">
      <w:pPr>
        <w:numPr>
          <w:ilvl w:val="0"/>
          <w:numId w:val="94"/>
        </w:numPr>
        <w:spacing w:after="143" w:line="248" w:lineRule="auto"/>
        <w:ind w:right="244" w:hanging="10"/>
        <w:jc w:val="both"/>
      </w:pPr>
      <w:r>
        <w:rPr>
          <w:rFonts w:ascii="Arial" w:eastAsia="Arial" w:hAnsi="Arial" w:cs="Arial"/>
          <w:i/>
          <w:color w:val="202020"/>
        </w:rPr>
        <w:t xml:space="preserve">Los sujetos responsables y supuestos de exención de responsabilidad serán los previstos en la Ley General de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78. Concurrencia de actuaciones con el orden jurisdiccional penal. </w:t>
      </w:r>
    </w:p>
    <w:p w:rsidR="00FF384B" w:rsidRDefault="003E3BA9">
      <w:pPr>
        <w:numPr>
          <w:ilvl w:val="0"/>
          <w:numId w:val="95"/>
        </w:numPr>
        <w:spacing w:after="143" w:line="248" w:lineRule="auto"/>
        <w:ind w:right="244" w:hanging="10"/>
        <w:jc w:val="both"/>
      </w:pPr>
      <w:r>
        <w:rPr>
          <w:rFonts w:ascii="Arial" w:eastAsia="Arial" w:hAnsi="Arial" w:cs="Arial"/>
          <w:i/>
          <w:color w:val="202020"/>
        </w:rPr>
        <w:t>En los supuestos en que la conducta pudiera ser constitutiva de delito, se pasará el tanto de culpa a la jurisdicción competente y se abstendrá de seguir el procedimiento sanciona</w:t>
      </w:r>
      <w:r>
        <w:rPr>
          <w:rFonts w:ascii="Arial" w:eastAsia="Arial" w:hAnsi="Arial" w:cs="Arial"/>
          <w:i/>
          <w:color w:val="202020"/>
        </w:rPr>
        <w:t xml:space="preserve">dor mientras la autoridad judicial no dicte sentencia firme, tenga lugar el sobreseimiento o el archivo de las actuaciones o se produzca la devolución del expediente por el Ministerio Fiscal. </w:t>
      </w:r>
    </w:p>
    <w:p w:rsidR="00FF384B" w:rsidRDefault="003E3BA9">
      <w:pPr>
        <w:numPr>
          <w:ilvl w:val="0"/>
          <w:numId w:val="95"/>
        </w:numPr>
        <w:spacing w:after="143" w:line="248" w:lineRule="auto"/>
        <w:ind w:right="244" w:hanging="10"/>
        <w:jc w:val="both"/>
      </w:pPr>
      <w:r>
        <w:rPr>
          <w:rFonts w:ascii="Arial" w:eastAsia="Arial" w:hAnsi="Arial" w:cs="Arial"/>
          <w:i/>
          <w:color w:val="202020"/>
        </w:rPr>
        <w:t>La pena impuesta por la autoridad judicial excluirá la imposici</w:t>
      </w:r>
      <w:r>
        <w:rPr>
          <w:rFonts w:ascii="Arial" w:eastAsia="Arial" w:hAnsi="Arial" w:cs="Arial"/>
          <w:i/>
          <w:color w:val="202020"/>
        </w:rPr>
        <w:t xml:space="preserve">ón de sanción administrativa, si ya se le impuso al mismo sujeto por los mismos hechos e idéntico fundamento a los tenidos en cuenta en el procedimiento sancionador. </w:t>
      </w:r>
    </w:p>
    <w:p w:rsidR="00FF384B" w:rsidRDefault="003E3BA9">
      <w:pPr>
        <w:numPr>
          <w:ilvl w:val="0"/>
          <w:numId w:val="95"/>
        </w:numPr>
        <w:spacing w:after="143" w:line="248" w:lineRule="auto"/>
        <w:ind w:right="244" w:hanging="10"/>
        <w:jc w:val="both"/>
      </w:pPr>
      <w:r>
        <w:rPr>
          <w:rFonts w:ascii="Arial" w:eastAsia="Arial" w:hAnsi="Arial" w:cs="Arial"/>
          <w:i/>
          <w:color w:val="202020"/>
        </w:rPr>
        <w:t>De no haberse estimado la existencia de delito, se iniciará o continuará el expediente sa</w:t>
      </w:r>
      <w:r>
        <w:rPr>
          <w:rFonts w:ascii="Arial" w:eastAsia="Arial" w:hAnsi="Arial" w:cs="Arial"/>
          <w:i/>
          <w:color w:val="202020"/>
        </w:rPr>
        <w:t xml:space="preserve">ncionador, con base en los hechos que los tribunales hayan considerado probados. </w:t>
      </w:r>
    </w:p>
    <w:p w:rsidR="00FF384B" w:rsidRDefault="003E3BA9">
      <w:pPr>
        <w:spacing w:after="142" w:line="248" w:lineRule="auto"/>
        <w:ind w:left="278" w:right="244" w:hanging="10"/>
        <w:jc w:val="both"/>
      </w:pPr>
      <w:r>
        <w:rPr>
          <w:rFonts w:ascii="Arial" w:eastAsia="Arial" w:hAnsi="Arial" w:cs="Arial"/>
          <w:color w:val="202020"/>
        </w:rPr>
        <w:t xml:space="preserve">Artículo 79. Clases de Infracciones. </w:t>
      </w:r>
    </w:p>
    <w:p w:rsidR="00FF384B" w:rsidRDefault="003E3BA9">
      <w:pPr>
        <w:numPr>
          <w:ilvl w:val="0"/>
          <w:numId w:val="96"/>
        </w:numPr>
        <w:spacing w:after="143" w:line="248" w:lineRule="auto"/>
        <w:ind w:right="244" w:hanging="247"/>
        <w:jc w:val="both"/>
      </w:pPr>
      <w:r>
        <w:rPr>
          <w:rFonts w:ascii="Arial" w:eastAsia="Arial" w:hAnsi="Arial" w:cs="Arial"/>
          <w:i/>
          <w:color w:val="202020"/>
        </w:rPr>
        <w:t xml:space="preserve">Las infracciones se clasificarán en leves, graves y muy graves </w:t>
      </w:r>
    </w:p>
    <w:p w:rsidR="00FF384B" w:rsidRDefault="003E3BA9">
      <w:pPr>
        <w:numPr>
          <w:ilvl w:val="0"/>
          <w:numId w:val="96"/>
        </w:numPr>
        <w:spacing w:after="294" w:line="248" w:lineRule="auto"/>
        <w:ind w:right="244" w:hanging="247"/>
        <w:jc w:val="both"/>
      </w:pPr>
      <w:r>
        <w:rPr>
          <w:rFonts w:ascii="Arial" w:eastAsia="Arial" w:hAnsi="Arial" w:cs="Arial"/>
          <w:i/>
          <w:color w:val="202020"/>
        </w:rPr>
        <w:t>Constituyen infracciones los incumplimientos de las obligaciones recogid</w:t>
      </w:r>
      <w:r>
        <w:rPr>
          <w:rFonts w:ascii="Arial" w:eastAsia="Arial" w:hAnsi="Arial" w:cs="Arial"/>
          <w:i/>
          <w:color w:val="202020"/>
        </w:rPr>
        <w:t xml:space="preserve">as en la presente Ordenanza, en las cláusulas de los convenios suscritos y las convocatorias de subvenciones, así como las previstas en la Ley General de Subvenciones. </w:t>
      </w:r>
    </w:p>
    <w:p w:rsidR="00FF384B" w:rsidRDefault="003E3BA9">
      <w:pPr>
        <w:spacing w:after="96" w:line="248" w:lineRule="auto"/>
        <w:ind w:left="278" w:right="244" w:hanging="10"/>
        <w:jc w:val="both"/>
      </w:pPr>
      <w:r>
        <w:rPr>
          <w:rFonts w:ascii="Arial" w:eastAsia="Arial" w:hAnsi="Arial" w:cs="Arial"/>
          <w:i/>
          <w:color w:val="202020"/>
        </w:rPr>
        <w:t>CAPÍTULO II. Sanciones administrativas en materia de subvenciones.</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Artículo 80. Clases</w:t>
      </w:r>
      <w:r>
        <w:rPr>
          <w:rFonts w:ascii="Arial" w:eastAsia="Arial" w:hAnsi="Arial" w:cs="Arial"/>
          <w:color w:val="202020"/>
        </w:rPr>
        <w:t xml:space="preserve"> de sanciones. </w:t>
      </w:r>
    </w:p>
    <w:p w:rsidR="00FF384B" w:rsidRDefault="003E3BA9">
      <w:pPr>
        <w:numPr>
          <w:ilvl w:val="0"/>
          <w:numId w:val="97"/>
        </w:numPr>
        <w:spacing w:after="143" w:line="248" w:lineRule="auto"/>
        <w:ind w:right="244" w:hanging="10"/>
      </w:pPr>
      <w:r>
        <w:rPr>
          <w:rFonts w:ascii="Arial" w:eastAsia="Arial" w:hAnsi="Arial" w:cs="Arial"/>
          <w:i/>
          <w:color w:val="202020"/>
        </w:rPr>
        <w:t xml:space="preserve">Las infracciones en materia de subvenciones se sancionarán mediante la imposición de sanciones pecuniarias y, cuando proceda, de sanciones no pecuniarias. </w:t>
      </w:r>
    </w:p>
    <w:p w:rsidR="00FF384B" w:rsidRDefault="003E3BA9">
      <w:pPr>
        <w:numPr>
          <w:ilvl w:val="0"/>
          <w:numId w:val="97"/>
        </w:numPr>
        <w:spacing w:after="98" w:line="309" w:lineRule="auto"/>
        <w:ind w:right="244" w:hanging="10"/>
      </w:pPr>
      <w:r>
        <w:rPr>
          <w:rFonts w:ascii="Arial" w:eastAsia="Arial" w:hAnsi="Arial" w:cs="Arial"/>
          <w:i/>
          <w:color w:val="202020"/>
        </w:rPr>
        <w:t>Las sanciones, su graduación y cuantías se establecerán de acuerdo con lo previsto e</w:t>
      </w:r>
      <w:r>
        <w:rPr>
          <w:rFonts w:ascii="Arial" w:eastAsia="Arial" w:hAnsi="Arial" w:cs="Arial"/>
          <w:i/>
          <w:color w:val="202020"/>
        </w:rPr>
        <w:t xml:space="preserve">n la Ley General de Subvenciones. </w:t>
      </w:r>
      <w:r>
        <w:rPr>
          <w:rFonts w:ascii="Arial" w:eastAsia="Arial" w:hAnsi="Arial" w:cs="Arial"/>
          <w:color w:val="202020"/>
        </w:rPr>
        <w:t xml:space="preserve">Artículo 81. Procedimiento sancionador. </w:t>
      </w:r>
    </w:p>
    <w:p w:rsidR="00FF384B" w:rsidRDefault="003E3BA9">
      <w:pPr>
        <w:numPr>
          <w:ilvl w:val="0"/>
          <w:numId w:val="98"/>
        </w:numPr>
        <w:spacing w:after="143" w:line="248" w:lineRule="auto"/>
        <w:ind w:right="244" w:hanging="247"/>
        <w:jc w:val="both"/>
      </w:pPr>
      <w:r>
        <w:rPr>
          <w:noProof/>
        </w:rPr>
        <mc:AlternateContent>
          <mc:Choice Requires="wpg">
            <w:drawing>
              <wp:anchor distT="0" distB="0" distL="114300" distR="114300" simplePos="0" relativeHeight="2517565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835" name="Group 45383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628" name="Picture 21628"/>
                          <pic:cNvPicPr/>
                        </pic:nvPicPr>
                        <pic:blipFill>
                          <a:blip r:embed="rId62"/>
                          <a:stretch>
                            <a:fillRect/>
                          </a:stretch>
                        </pic:blipFill>
                        <pic:spPr>
                          <a:xfrm rot="-5399999">
                            <a:off x="-1720849" y="1720849"/>
                            <a:ext cx="3797300" cy="355601"/>
                          </a:xfrm>
                          <a:prstGeom prst="rect">
                            <a:avLst/>
                          </a:prstGeom>
                        </pic:spPr>
                      </pic:pic>
                      <wps:wsp>
                        <wps:cNvPr id="21629" name="Rectangle 2162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630" name="Rectangle 21630"/>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835" style="width:41.2715pt;height:299pt;position:absolute;mso-position-horizontal-relative:page;mso-position-horizontal:absolute;margin-left:653.71pt;mso-position-vertical-relative:page;margin-top:512.92pt;" coordsize="5241,37973">
                <v:shape id="Picture 21628" style="position:absolute;width:37973;height:3556;left:-17208;top:17208;rotation:-89;" filled="f">
                  <v:imagedata r:id="rId63"/>
                </v:shape>
                <v:rect id="Rectangle 216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630"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353 </w:t>
                        </w:r>
                      </w:p>
                    </w:txbxContent>
                  </v:textbox>
                </v:rect>
                <w10:wrap type="square"/>
              </v:group>
            </w:pict>
          </mc:Fallback>
        </mc:AlternateContent>
      </w:r>
      <w:r>
        <w:rPr>
          <w:rFonts w:ascii="Arial" w:eastAsia="Arial" w:hAnsi="Arial" w:cs="Arial"/>
          <w:i/>
          <w:color w:val="202020"/>
        </w:rPr>
        <w:t>La instrucción de los procedimientos sancionadores corresponderá al funcionario, unidad administrativa u órgano que se determine en el acuerdo de iniciación, de c</w:t>
      </w:r>
      <w:r>
        <w:rPr>
          <w:rFonts w:ascii="Arial" w:eastAsia="Arial" w:hAnsi="Arial" w:cs="Arial"/>
          <w:i/>
          <w:color w:val="202020"/>
        </w:rPr>
        <w:t xml:space="preserve">onformidad con lo dispuesto en la regulación del procedimiento sancionador. </w:t>
      </w:r>
    </w:p>
    <w:p w:rsidR="00FF384B" w:rsidRDefault="003E3BA9">
      <w:pPr>
        <w:numPr>
          <w:ilvl w:val="0"/>
          <w:numId w:val="98"/>
        </w:numPr>
        <w:spacing w:after="143" w:line="248" w:lineRule="auto"/>
        <w:ind w:right="244" w:hanging="247"/>
        <w:jc w:val="both"/>
      </w:pPr>
      <w:r>
        <w:rPr>
          <w:rFonts w:ascii="Arial" w:eastAsia="Arial" w:hAnsi="Arial" w:cs="Arial"/>
          <w:i/>
          <w:color w:val="202020"/>
        </w:rPr>
        <w:t>La imposición de las sanciones en materia de subvenciones se efectuará mediante expediente administrativo en el que, en todo caso, se dará audiencia al interesado antes de dictars</w:t>
      </w:r>
      <w:r>
        <w:rPr>
          <w:rFonts w:ascii="Arial" w:eastAsia="Arial" w:hAnsi="Arial" w:cs="Arial"/>
          <w:i/>
          <w:color w:val="202020"/>
        </w:rPr>
        <w:t xml:space="preserve">e el acuerdo correspondiente y que será tramitado conforme lo previsto en la legislación vigente en materia de procedimiento administrativo y en el procedimiento para el ejercicio de la potestad sancionadora vigente en la Comunidad Autónoma de Canarias. </w:t>
      </w:r>
    </w:p>
    <w:p w:rsidR="00FF384B" w:rsidRDefault="003E3BA9">
      <w:pPr>
        <w:numPr>
          <w:ilvl w:val="0"/>
          <w:numId w:val="98"/>
        </w:numPr>
        <w:spacing w:after="143" w:line="248" w:lineRule="auto"/>
        <w:ind w:right="244" w:hanging="247"/>
        <w:jc w:val="both"/>
      </w:pPr>
      <w:r>
        <w:rPr>
          <w:rFonts w:ascii="Arial" w:eastAsia="Arial" w:hAnsi="Arial" w:cs="Arial"/>
          <w:i/>
          <w:color w:val="202020"/>
        </w:rPr>
        <w:t>E</w:t>
      </w:r>
      <w:r>
        <w:rPr>
          <w:rFonts w:ascii="Arial" w:eastAsia="Arial" w:hAnsi="Arial" w:cs="Arial"/>
          <w:i/>
          <w:color w:val="202020"/>
        </w:rPr>
        <w:t xml:space="preserve">l procedimiento se iniciará de oficio, como consecuencia de la actuación de comprobación desarrollada por el órgano concedente o por la entidad colaboradora, así como de las actuaciones de control financiero. </w:t>
      </w:r>
    </w:p>
    <w:p w:rsidR="00FF384B" w:rsidRDefault="003E3BA9">
      <w:pPr>
        <w:numPr>
          <w:ilvl w:val="0"/>
          <w:numId w:val="98"/>
        </w:numPr>
        <w:spacing w:after="143" w:line="248" w:lineRule="auto"/>
        <w:ind w:right="244" w:hanging="247"/>
        <w:jc w:val="both"/>
      </w:pPr>
      <w:r>
        <w:rPr>
          <w:rFonts w:ascii="Arial" w:eastAsia="Arial" w:hAnsi="Arial" w:cs="Arial"/>
          <w:i/>
          <w:color w:val="202020"/>
        </w:rPr>
        <w:t>Los acuerdos de imposición de sanciones pondrá</w:t>
      </w:r>
      <w:r>
        <w:rPr>
          <w:rFonts w:ascii="Arial" w:eastAsia="Arial" w:hAnsi="Arial" w:cs="Arial"/>
          <w:i/>
          <w:color w:val="202020"/>
        </w:rPr>
        <w:t xml:space="preserve">n fin a la vía administrativa. </w:t>
      </w:r>
    </w:p>
    <w:p w:rsidR="00FF384B" w:rsidRDefault="003E3BA9">
      <w:pPr>
        <w:spacing w:after="142" w:line="248" w:lineRule="auto"/>
        <w:ind w:left="278" w:right="244" w:hanging="10"/>
        <w:jc w:val="both"/>
      </w:pPr>
      <w:r>
        <w:rPr>
          <w:rFonts w:ascii="Arial" w:eastAsia="Arial" w:hAnsi="Arial" w:cs="Arial"/>
          <w:color w:val="202020"/>
        </w:rPr>
        <w:t xml:space="preserve">Artículo 82. Competencia para la imposición de sanciones. </w:t>
      </w:r>
    </w:p>
    <w:p w:rsidR="00FF384B" w:rsidRDefault="003E3BA9">
      <w:pPr>
        <w:spacing w:after="291" w:line="248" w:lineRule="auto"/>
        <w:ind w:left="278" w:right="244" w:hanging="10"/>
        <w:jc w:val="both"/>
      </w:pPr>
      <w:r>
        <w:rPr>
          <w:rFonts w:ascii="Arial" w:eastAsia="Arial" w:hAnsi="Arial" w:cs="Arial"/>
          <w:i/>
          <w:color w:val="202020"/>
        </w:rPr>
        <w:t xml:space="preserve">Para la imposición de las sanciones serán competentes, la Alcaldía. </w:t>
      </w:r>
    </w:p>
    <w:p w:rsidR="00FF384B" w:rsidRDefault="003E3BA9">
      <w:pPr>
        <w:spacing w:after="93" w:line="248" w:lineRule="auto"/>
        <w:ind w:left="278" w:right="244" w:hanging="10"/>
        <w:jc w:val="both"/>
      </w:pPr>
      <w:r>
        <w:rPr>
          <w:rFonts w:ascii="Arial" w:eastAsia="Arial" w:hAnsi="Arial" w:cs="Arial"/>
          <w:i/>
          <w:color w:val="202020"/>
        </w:rPr>
        <w:t>CAPÍTULO III. Prescripción y responsabilidad.</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Artículo 83. Prescripción de infracciones y sanci</w:t>
      </w:r>
      <w:r>
        <w:rPr>
          <w:rFonts w:ascii="Arial" w:eastAsia="Arial" w:hAnsi="Arial" w:cs="Arial"/>
          <w:color w:val="202020"/>
        </w:rPr>
        <w:t xml:space="preserve">ones. </w:t>
      </w:r>
    </w:p>
    <w:p w:rsidR="00FF384B" w:rsidRDefault="003E3BA9">
      <w:pPr>
        <w:numPr>
          <w:ilvl w:val="0"/>
          <w:numId w:val="99"/>
        </w:numPr>
        <w:spacing w:after="143" w:line="248" w:lineRule="auto"/>
        <w:ind w:right="244" w:hanging="10"/>
        <w:jc w:val="both"/>
      </w:pPr>
      <w:r>
        <w:rPr>
          <w:rFonts w:ascii="Arial" w:eastAsia="Arial" w:hAnsi="Arial" w:cs="Arial"/>
          <w:i/>
          <w:color w:val="202020"/>
        </w:rPr>
        <w:t xml:space="preserve">Las infracciones prescribirán en el plazo de cuatro años a contar desde el día en que la infracción se hubiera cometido. </w:t>
      </w:r>
    </w:p>
    <w:p w:rsidR="00FF384B" w:rsidRDefault="003E3BA9">
      <w:pPr>
        <w:numPr>
          <w:ilvl w:val="0"/>
          <w:numId w:val="99"/>
        </w:numPr>
        <w:spacing w:after="143" w:line="248" w:lineRule="auto"/>
        <w:ind w:right="244" w:hanging="10"/>
        <w:jc w:val="both"/>
      </w:pPr>
      <w:r>
        <w:rPr>
          <w:rFonts w:ascii="Arial" w:eastAsia="Arial" w:hAnsi="Arial" w:cs="Arial"/>
          <w:i/>
          <w:color w:val="202020"/>
        </w:rPr>
        <w:t xml:space="preserve">Las sanciones prescribirán en el plazo de cuatro años a contar desde el día siguiente a aquel en que hubiera adquirido firmeza </w:t>
      </w:r>
      <w:r>
        <w:rPr>
          <w:rFonts w:ascii="Arial" w:eastAsia="Arial" w:hAnsi="Arial" w:cs="Arial"/>
          <w:i/>
          <w:color w:val="202020"/>
        </w:rPr>
        <w:t xml:space="preserve">la resolución por la que se impuso la sanción. </w:t>
      </w:r>
    </w:p>
    <w:p w:rsidR="00FF384B" w:rsidRDefault="003E3BA9">
      <w:pPr>
        <w:numPr>
          <w:ilvl w:val="0"/>
          <w:numId w:val="99"/>
        </w:numPr>
        <w:spacing w:after="143" w:line="248" w:lineRule="auto"/>
        <w:ind w:right="244" w:hanging="10"/>
        <w:jc w:val="both"/>
      </w:pPr>
      <w:r>
        <w:rPr>
          <w:rFonts w:ascii="Arial" w:eastAsia="Arial" w:hAnsi="Arial" w:cs="Arial"/>
          <w:i/>
          <w:color w:val="202020"/>
        </w:rPr>
        <w:t xml:space="preserve">El plazo de prescripción se interrumpirá conforme lo previsto en la legislación vigente en materia de Procedimiento Administrativo. </w:t>
      </w:r>
    </w:p>
    <w:p w:rsidR="00FF384B" w:rsidRDefault="003E3BA9">
      <w:pPr>
        <w:numPr>
          <w:ilvl w:val="0"/>
          <w:numId w:val="99"/>
        </w:numPr>
        <w:spacing w:after="143" w:line="248" w:lineRule="auto"/>
        <w:ind w:right="244" w:hanging="10"/>
        <w:jc w:val="both"/>
      </w:pPr>
      <w:r>
        <w:rPr>
          <w:rFonts w:ascii="Arial" w:eastAsia="Arial" w:hAnsi="Arial" w:cs="Arial"/>
          <w:i/>
          <w:color w:val="202020"/>
        </w:rPr>
        <w:t xml:space="preserve">La prescripción se aplicará de oficio, sin perjuicio de que pueda ser solicitada su declaración por el interesado. </w:t>
      </w:r>
    </w:p>
    <w:p w:rsidR="00FF384B" w:rsidRDefault="003E3BA9">
      <w:pPr>
        <w:spacing w:after="131"/>
        <w:ind w:left="283"/>
      </w:pPr>
      <w:r>
        <w:rPr>
          <w:rFonts w:ascii="Arial" w:eastAsia="Arial" w:hAnsi="Arial" w:cs="Arial"/>
          <w:b/>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84. Extinción de la responsabilidad derivada de la comisión de infracciones. </w:t>
      </w:r>
    </w:p>
    <w:p w:rsidR="00FF384B" w:rsidRDefault="003E3BA9">
      <w:pPr>
        <w:spacing w:after="143" w:line="248" w:lineRule="auto"/>
        <w:ind w:left="278" w:right="244" w:hanging="10"/>
        <w:jc w:val="both"/>
      </w:pPr>
      <w:r>
        <w:rPr>
          <w:rFonts w:ascii="Arial" w:eastAsia="Arial" w:hAnsi="Arial" w:cs="Arial"/>
          <w:i/>
          <w:color w:val="202020"/>
        </w:rPr>
        <w:t xml:space="preserve">1. La responsabilidad derivada de las infracciones se extingue por el pago o cumplimiento de la sanción o por prescripción o por fallecimiento. </w:t>
      </w:r>
    </w:p>
    <w:p w:rsidR="00FF384B" w:rsidRDefault="003E3BA9">
      <w:pPr>
        <w:spacing w:after="48" w:line="248" w:lineRule="auto"/>
        <w:ind w:left="278" w:right="244" w:hanging="10"/>
        <w:jc w:val="both"/>
      </w:pPr>
      <w:r>
        <w:rPr>
          <w:rFonts w:ascii="Arial" w:eastAsia="Arial" w:hAnsi="Arial" w:cs="Arial"/>
          <w:i/>
          <w:color w:val="202020"/>
        </w:rPr>
        <w:t xml:space="preserve">DISPOSICIÓN TRANSITORIA. </w:t>
      </w:r>
    </w:p>
    <w:p w:rsidR="00FF384B" w:rsidRDefault="003E3BA9">
      <w:pPr>
        <w:spacing w:after="0"/>
        <w:ind w:left="283"/>
      </w:pPr>
      <w:r>
        <w:rPr>
          <w:rFonts w:ascii="Arial" w:eastAsia="Arial" w:hAnsi="Arial" w:cs="Arial"/>
          <w:i/>
          <w:color w:val="202020"/>
        </w:rPr>
        <w:t xml:space="preserve"> </w:t>
      </w:r>
    </w:p>
    <w:p w:rsidR="00FF384B" w:rsidRDefault="003E3BA9">
      <w:pPr>
        <w:spacing w:after="11" w:line="248" w:lineRule="auto"/>
        <w:ind w:left="278" w:right="244" w:hanging="10"/>
        <w:jc w:val="both"/>
      </w:pPr>
      <w:r>
        <w:rPr>
          <w:rFonts w:ascii="Arial" w:eastAsia="Arial" w:hAnsi="Arial" w:cs="Arial"/>
          <w:i/>
          <w:color w:val="202020"/>
        </w:rPr>
        <w:t>Procedimientos iniciados.</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1. No se aplicará el contenido de la presente Ordenanza </w:t>
      </w:r>
      <w:r>
        <w:rPr>
          <w:rFonts w:ascii="Arial" w:eastAsia="Arial" w:hAnsi="Arial" w:cs="Arial"/>
          <w:i/>
          <w:color w:val="202020"/>
        </w:rPr>
        <w:t xml:space="preserve">municipal a las cuestiones relacionadas con la justificación de las subvenciones cuyo otorgamiento se hubiera aprobado con anterioridad a la entrada en vigor de dicha normativa. </w:t>
      </w:r>
    </w:p>
    <w:p w:rsidR="00FF384B" w:rsidRDefault="003E3BA9">
      <w:pPr>
        <w:spacing w:after="143" w:line="248" w:lineRule="auto"/>
        <w:ind w:left="278" w:right="244" w:hanging="10"/>
        <w:jc w:val="both"/>
      </w:pPr>
      <w:r>
        <w:rPr>
          <w:rFonts w:ascii="Arial" w:eastAsia="Arial" w:hAnsi="Arial" w:cs="Arial"/>
          <w:i/>
          <w:color w:val="202020"/>
        </w:rPr>
        <w:t>En todo caso, sí serán de aplicación los artículos relativos al procedimiento</w:t>
      </w:r>
      <w:r>
        <w:rPr>
          <w:rFonts w:ascii="Arial" w:eastAsia="Arial" w:hAnsi="Arial" w:cs="Arial"/>
          <w:i/>
          <w:color w:val="202020"/>
        </w:rPr>
        <w:t xml:space="preserve"> de reintegro regulado en el capítulo V del título IV de la presente Ordenanza. </w:t>
      </w:r>
    </w:p>
    <w:p w:rsidR="00FF384B" w:rsidRDefault="003E3BA9">
      <w:pPr>
        <w:spacing w:after="51" w:line="248" w:lineRule="auto"/>
        <w:ind w:left="278" w:right="244" w:hanging="10"/>
        <w:jc w:val="both"/>
      </w:pPr>
      <w:r>
        <w:rPr>
          <w:rFonts w:ascii="Arial" w:eastAsia="Arial" w:hAnsi="Arial" w:cs="Arial"/>
          <w:i/>
          <w:color w:val="202020"/>
        </w:rPr>
        <w:t xml:space="preserve">DISPOSICIÓN FINAL SEGUNDA. </w:t>
      </w:r>
    </w:p>
    <w:p w:rsidR="00FF384B" w:rsidRDefault="003E3BA9">
      <w:pPr>
        <w:spacing w:after="0"/>
        <w:ind w:left="283"/>
      </w:pPr>
      <w:r>
        <w:rPr>
          <w:rFonts w:ascii="Arial" w:eastAsia="Arial" w:hAnsi="Arial" w:cs="Arial"/>
          <w:i/>
          <w:color w:val="202020"/>
        </w:rPr>
        <w:t xml:space="preserve"> </w:t>
      </w:r>
    </w:p>
    <w:p w:rsidR="00FF384B" w:rsidRDefault="003E3BA9">
      <w:pPr>
        <w:spacing w:after="48" w:line="248" w:lineRule="auto"/>
        <w:ind w:left="278" w:right="244" w:hanging="10"/>
        <w:jc w:val="both"/>
      </w:pPr>
      <w:r>
        <w:rPr>
          <w:noProof/>
        </w:rPr>
        <mc:AlternateContent>
          <mc:Choice Requires="wpg">
            <w:drawing>
              <wp:anchor distT="0" distB="0" distL="114300" distR="114300" simplePos="0" relativeHeight="2517575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458" name="Group 45345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795" name="Picture 21795"/>
                          <pic:cNvPicPr/>
                        </pic:nvPicPr>
                        <pic:blipFill>
                          <a:blip r:embed="rId62"/>
                          <a:stretch>
                            <a:fillRect/>
                          </a:stretch>
                        </pic:blipFill>
                        <pic:spPr>
                          <a:xfrm rot="-5399999">
                            <a:off x="-1720849" y="1720849"/>
                            <a:ext cx="3797300" cy="355601"/>
                          </a:xfrm>
                          <a:prstGeom prst="rect">
                            <a:avLst/>
                          </a:prstGeom>
                        </pic:spPr>
                      </pic:pic>
                      <wps:wsp>
                        <wps:cNvPr id="21796" name="Rectangle 2179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797" name="Rectangle 21797"/>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458" style="width:41.2715pt;height:299pt;position:absolute;mso-position-horizontal-relative:page;mso-position-horizontal:absolute;margin-left:653.71pt;mso-position-vertical-relative:page;margin-top:512.92pt;" coordsize="5241,37973">
                <v:shape id="Picture 21795" style="position:absolute;width:37973;height:3556;left:-17208;top:17208;rotation:-89;" filled="f">
                  <v:imagedata r:id="rId63"/>
                </v:shape>
                <v:rect id="Rectangle 2179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797"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353 </w:t>
                        </w:r>
                      </w:p>
                    </w:txbxContent>
                  </v:textbox>
                </v:rect>
                <w10:wrap type="square"/>
              </v:group>
            </w:pict>
          </mc:Fallback>
        </mc:AlternateContent>
      </w:r>
      <w:r>
        <w:rPr>
          <w:rFonts w:ascii="Arial" w:eastAsia="Arial" w:hAnsi="Arial" w:cs="Arial"/>
          <w:i/>
          <w:color w:val="202020"/>
        </w:rPr>
        <w:t xml:space="preserve">Entrada en vigor. </w:t>
      </w:r>
    </w:p>
    <w:p w:rsidR="00FF384B" w:rsidRDefault="003E3BA9">
      <w:pPr>
        <w:spacing w:after="294" w:line="248" w:lineRule="auto"/>
        <w:ind w:left="278" w:right="244" w:hanging="10"/>
        <w:jc w:val="both"/>
      </w:pPr>
      <w:r>
        <w:rPr>
          <w:rFonts w:ascii="Arial" w:eastAsia="Arial" w:hAnsi="Arial" w:cs="Arial"/>
          <w:i/>
          <w:color w:val="202020"/>
        </w:rPr>
        <w:t xml:space="preserve">La presente Ordenanza entrará en vigor en los términos previsto en la legislación de Régimen Local. </w:t>
      </w:r>
    </w:p>
    <w:p w:rsidR="00FF384B" w:rsidRDefault="003E3BA9">
      <w:pPr>
        <w:spacing w:after="11" w:line="248" w:lineRule="auto"/>
        <w:ind w:left="278" w:right="244" w:hanging="10"/>
        <w:jc w:val="both"/>
      </w:pPr>
      <w:r>
        <w:rPr>
          <w:rFonts w:ascii="Arial" w:eastAsia="Arial" w:hAnsi="Arial" w:cs="Arial"/>
          <w:i/>
          <w:color w:val="202020"/>
        </w:rPr>
        <w:t xml:space="preserve">ANEXO  </w:t>
      </w:r>
    </w:p>
    <w:p w:rsidR="00FF384B" w:rsidRDefault="003E3BA9">
      <w:pPr>
        <w:spacing w:after="96" w:line="248" w:lineRule="auto"/>
        <w:ind w:left="278" w:right="244" w:hanging="10"/>
        <w:jc w:val="both"/>
      </w:pPr>
      <w:r>
        <w:rPr>
          <w:rFonts w:ascii="Arial" w:eastAsia="Arial" w:hAnsi="Arial" w:cs="Arial"/>
          <w:i/>
          <w:color w:val="202020"/>
        </w:rPr>
        <w:t>CONTENIDO MÍNIMO DE LAS CONVOCATOR</w:t>
      </w:r>
      <w:r>
        <w:rPr>
          <w:rFonts w:ascii="Arial" w:eastAsia="Arial" w:hAnsi="Arial" w:cs="Arial"/>
          <w:i/>
          <w:color w:val="202020"/>
        </w:rPr>
        <w:t>IAS DE SUBVENCIONES</w:t>
      </w:r>
      <w:r>
        <w:rPr>
          <w:sz w:val="26"/>
        </w:rPr>
        <w:t xml:space="preserve"> </w:t>
      </w:r>
    </w:p>
    <w:p w:rsidR="00FF384B" w:rsidRDefault="003E3BA9">
      <w:pPr>
        <w:spacing w:after="143" w:line="248" w:lineRule="auto"/>
        <w:ind w:left="653" w:right="244" w:hanging="10"/>
        <w:jc w:val="both"/>
      </w:pPr>
      <w:r>
        <w:rPr>
          <w:rFonts w:ascii="Arial" w:eastAsia="Arial" w:hAnsi="Arial" w:cs="Arial"/>
          <w:i/>
          <w:color w:val="202020"/>
        </w:rPr>
        <w:t xml:space="preserve">Las convocatorias de subvenciones contendrán al menos los siguientes aspectos: </w:t>
      </w:r>
    </w:p>
    <w:p w:rsidR="00FF384B" w:rsidRDefault="003E3BA9">
      <w:pPr>
        <w:numPr>
          <w:ilvl w:val="0"/>
          <w:numId w:val="100"/>
        </w:numPr>
        <w:spacing w:after="90" w:line="248" w:lineRule="auto"/>
        <w:ind w:right="244" w:hanging="360"/>
        <w:jc w:val="both"/>
      </w:pPr>
      <w:r>
        <w:rPr>
          <w:rFonts w:ascii="Arial" w:eastAsia="Arial" w:hAnsi="Arial" w:cs="Arial"/>
          <w:i/>
          <w:color w:val="202020"/>
        </w:rPr>
        <w:t xml:space="preserve">Objeto de la subvención.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Indicación del acuerdo plenario donde se aprueba definitivamente la Ordenanza municipal de Subvenciones del Ayuntamiento de Candelaria y de la fecha y número del "Boletín Oficial de la Provincia" donde esté publicado la misma.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Requisitos que deben reunir </w:t>
      </w:r>
      <w:r>
        <w:rPr>
          <w:rFonts w:ascii="Arial" w:eastAsia="Arial" w:hAnsi="Arial" w:cs="Arial"/>
          <w:i/>
          <w:color w:val="202020"/>
        </w:rPr>
        <w:t xml:space="preserve">los beneficiarios para la obtención de la subvención y condiciones de solvencia y eficacia que deben reunir los mismos.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Forma y plazo en los que deben presentarse las solicitudes. </w:t>
      </w:r>
    </w:p>
    <w:p w:rsidR="00FF384B" w:rsidRDefault="003E3BA9">
      <w:pPr>
        <w:numPr>
          <w:ilvl w:val="0"/>
          <w:numId w:val="100"/>
        </w:numPr>
        <w:spacing w:after="95" w:line="248" w:lineRule="auto"/>
        <w:ind w:right="244" w:hanging="360"/>
        <w:jc w:val="both"/>
      </w:pPr>
      <w:r>
        <w:rPr>
          <w:rFonts w:ascii="Arial" w:eastAsia="Arial" w:hAnsi="Arial" w:cs="Arial"/>
          <w:i/>
          <w:color w:val="202020"/>
        </w:rPr>
        <w:t>Línea estratégica y específica del Plan estratégico de subvenciones a la q</w:t>
      </w:r>
      <w:r>
        <w:rPr>
          <w:rFonts w:ascii="Arial" w:eastAsia="Arial" w:hAnsi="Arial" w:cs="Arial"/>
          <w:i/>
          <w:color w:val="202020"/>
        </w:rPr>
        <w:t xml:space="preserve">ue corresponde la convocatoria. </w:t>
      </w:r>
    </w:p>
    <w:p w:rsidR="00FF384B" w:rsidRDefault="003E3BA9">
      <w:pPr>
        <w:numPr>
          <w:ilvl w:val="0"/>
          <w:numId w:val="100"/>
        </w:numPr>
        <w:spacing w:after="92" w:line="248" w:lineRule="auto"/>
        <w:ind w:right="244" w:hanging="360"/>
        <w:jc w:val="both"/>
      </w:pPr>
      <w:r>
        <w:rPr>
          <w:rFonts w:ascii="Arial" w:eastAsia="Arial" w:hAnsi="Arial" w:cs="Arial"/>
          <w:i/>
          <w:color w:val="202020"/>
        </w:rPr>
        <w:t>Aplicación presupuestaria a la que se imputa la subvención, cuantía total máxima de las subvenciones convocadas dentro de los créditos disponibles así como la posibilidad de incrementar ésta, si las disponibilidades presupu</w:t>
      </w:r>
      <w:r>
        <w:rPr>
          <w:rFonts w:ascii="Arial" w:eastAsia="Arial" w:hAnsi="Arial" w:cs="Arial"/>
          <w:i/>
          <w:color w:val="202020"/>
        </w:rPr>
        <w:t xml:space="preserve">estarias lo permiten, e importe máximo a conceder, en su caso. </w:t>
      </w:r>
    </w:p>
    <w:p w:rsidR="00FF384B" w:rsidRDefault="003E3BA9">
      <w:pPr>
        <w:numPr>
          <w:ilvl w:val="0"/>
          <w:numId w:val="100"/>
        </w:numPr>
        <w:spacing w:after="143" w:line="248" w:lineRule="auto"/>
        <w:ind w:right="244" w:hanging="360"/>
        <w:jc w:val="both"/>
      </w:pPr>
      <w:r>
        <w:rPr>
          <w:rFonts w:ascii="Arial" w:eastAsia="Arial" w:hAnsi="Arial" w:cs="Arial"/>
          <w:i/>
          <w:color w:val="202020"/>
        </w:rPr>
        <w:t xml:space="preserve">Procedimiento de concesión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Criterios objetivos de otorgamiento de subvención. </w:t>
      </w:r>
    </w:p>
    <w:p w:rsidR="00FF384B" w:rsidRDefault="003E3BA9">
      <w:pPr>
        <w:numPr>
          <w:ilvl w:val="0"/>
          <w:numId w:val="100"/>
        </w:numPr>
        <w:spacing w:after="92" w:line="248" w:lineRule="auto"/>
        <w:ind w:right="244" w:hanging="360"/>
        <w:jc w:val="both"/>
      </w:pPr>
      <w:r>
        <w:rPr>
          <w:rFonts w:ascii="Arial" w:eastAsia="Arial" w:hAnsi="Arial" w:cs="Arial"/>
          <w:i/>
          <w:color w:val="202020"/>
        </w:rPr>
        <w:t>Criterios para establecer la cuantía individualizada de la subvención, así como la exigencia, en su caso, de det</w:t>
      </w:r>
      <w:r>
        <w:rPr>
          <w:rFonts w:ascii="Arial" w:eastAsia="Arial" w:hAnsi="Arial" w:cs="Arial"/>
          <w:i/>
          <w:color w:val="202020"/>
        </w:rPr>
        <w:t xml:space="preserve">erminar un porcentaje de financiación propia y forma de acreditarla. </w:t>
      </w:r>
    </w:p>
    <w:p w:rsidR="00FF384B" w:rsidRDefault="003E3BA9">
      <w:pPr>
        <w:numPr>
          <w:ilvl w:val="0"/>
          <w:numId w:val="100"/>
        </w:numPr>
        <w:spacing w:after="93" w:line="248" w:lineRule="auto"/>
        <w:ind w:right="244" w:hanging="360"/>
        <w:jc w:val="both"/>
      </w:pPr>
      <w:r>
        <w:rPr>
          <w:rFonts w:ascii="Arial" w:eastAsia="Arial" w:hAnsi="Arial" w:cs="Arial"/>
          <w:i/>
          <w:color w:val="202020"/>
        </w:rPr>
        <w:t xml:space="preserve">Órganos competentes para la ordenación, instrucción y resolución del procedimiento de concesión de subvención, así como determinación de los componentes de la comisión de valoración. </w:t>
      </w:r>
    </w:p>
    <w:p w:rsidR="00FF384B" w:rsidRDefault="003E3BA9">
      <w:pPr>
        <w:numPr>
          <w:ilvl w:val="0"/>
          <w:numId w:val="100"/>
        </w:numPr>
        <w:spacing w:after="89" w:line="248" w:lineRule="auto"/>
        <w:ind w:right="244" w:hanging="360"/>
        <w:jc w:val="both"/>
      </w:pPr>
      <w:r>
        <w:rPr>
          <w:rFonts w:ascii="Arial" w:eastAsia="Arial" w:hAnsi="Arial" w:cs="Arial"/>
          <w:i/>
          <w:color w:val="202020"/>
        </w:rPr>
        <w:t>Pl</w:t>
      </w:r>
      <w:r>
        <w:rPr>
          <w:rFonts w:ascii="Arial" w:eastAsia="Arial" w:hAnsi="Arial" w:cs="Arial"/>
          <w:i/>
          <w:color w:val="202020"/>
        </w:rPr>
        <w:t xml:space="preserve">azo de resolución.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Posibilidad de reformular la solicitud.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Forma de acreditar la aceptación.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Determinación en su caso de los libros y registros contables específicos para garantizar la adecuada justificación de la subvención. </w:t>
      </w:r>
    </w:p>
    <w:p w:rsidR="00FF384B" w:rsidRDefault="003E3BA9">
      <w:pPr>
        <w:numPr>
          <w:ilvl w:val="0"/>
          <w:numId w:val="100"/>
        </w:numPr>
        <w:spacing w:after="89" w:line="248" w:lineRule="auto"/>
        <w:ind w:right="244" w:hanging="360"/>
        <w:jc w:val="both"/>
      </w:pPr>
      <w:r>
        <w:rPr>
          <w:rFonts w:ascii="Arial" w:eastAsia="Arial" w:hAnsi="Arial" w:cs="Arial"/>
          <w:i/>
          <w:color w:val="202020"/>
        </w:rPr>
        <w:t>Forma y plazo de justifica</w:t>
      </w:r>
      <w:r>
        <w:rPr>
          <w:rFonts w:ascii="Arial" w:eastAsia="Arial" w:hAnsi="Arial" w:cs="Arial"/>
          <w:i/>
          <w:color w:val="202020"/>
        </w:rPr>
        <w:t xml:space="preserve">ción, indicando la documentación concreta a aportar.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Forma de acreditar la realización de las actividades incluidas en otras subvenciones concedidas al beneficiario con anterioridad, para el mismo destino y finalidad.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Posibilidad de efectuar pagos anticipados y abonos a cuenta, así como el régimen de garantías que, en su caso, deben aportar los beneficiarios. </w:t>
      </w:r>
    </w:p>
    <w:p w:rsidR="00FF384B" w:rsidRDefault="003E3BA9">
      <w:pPr>
        <w:numPr>
          <w:ilvl w:val="0"/>
          <w:numId w:val="100"/>
        </w:numPr>
        <w:spacing w:after="92" w:line="248" w:lineRule="auto"/>
        <w:ind w:right="244" w:hanging="360"/>
        <w:jc w:val="both"/>
      </w:pPr>
      <w:r>
        <w:rPr>
          <w:noProof/>
        </w:rPr>
        <mc:AlternateContent>
          <mc:Choice Requires="wpg">
            <w:drawing>
              <wp:anchor distT="0" distB="0" distL="114300" distR="114300" simplePos="0" relativeHeight="2517585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583" name="Group 45358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1961" name="Picture 21961"/>
                          <pic:cNvPicPr/>
                        </pic:nvPicPr>
                        <pic:blipFill>
                          <a:blip r:embed="rId62"/>
                          <a:stretch>
                            <a:fillRect/>
                          </a:stretch>
                        </pic:blipFill>
                        <pic:spPr>
                          <a:xfrm rot="-5399999">
                            <a:off x="-1720849" y="1720849"/>
                            <a:ext cx="3797300" cy="355601"/>
                          </a:xfrm>
                          <a:prstGeom prst="rect">
                            <a:avLst/>
                          </a:prstGeom>
                        </pic:spPr>
                      </pic:pic>
                      <wps:wsp>
                        <wps:cNvPr id="21962" name="Rectangle 219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1963" name="Rectangle 21963"/>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583" style="width:41.2715pt;height:299pt;position:absolute;mso-position-horizontal-relative:page;mso-position-horizontal:absolute;margin-left:653.71pt;mso-position-vertical-relative:page;margin-top:512.92pt;" coordsize="5241,37973">
                <v:shape id="Picture 21961" style="position:absolute;width:37973;height:3556;left:-17208;top:17208;rotation:-89;" filled="f">
                  <v:imagedata r:id="rId63"/>
                </v:shape>
                <v:rect id="Rectangle 219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1963"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353 </w:t>
                        </w:r>
                      </w:p>
                    </w:txbxContent>
                  </v:textbox>
                </v:rect>
                <w10:wrap type="square"/>
              </v:group>
            </w:pict>
          </mc:Fallback>
        </mc:AlternateContent>
      </w:r>
      <w:r>
        <w:rPr>
          <w:rFonts w:ascii="Arial" w:eastAsia="Arial" w:hAnsi="Arial" w:cs="Arial"/>
          <w:i/>
          <w:color w:val="202020"/>
        </w:rPr>
        <w:t xml:space="preserve">Posibilidad de subvencionar, y en su caso porcentaje, los gastos indirectos de gestión y de garantía bancaria. </w:t>
      </w:r>
    </w:p>
    <w:p w:rsidR="00FF384B" w:rsidRDefault="003E3BA9">
      <w:pPr>
        <w:numPr>
          <w:ilvl w:val="0"/>
          <w:numId w:val="100"/>
        </w:numPr>
        <w:spacing w:after="89" w:line="248" w:lineRule="auto"/>
        <w:ind w:right="244" w:hanging="360"/>
        <w:jc w:val="both"/>
      </w:pPr>
      <w:r>
        <w:rPr>
          <w:rFonts w:ascii="Arial" w:eastAsia="Arial" w:hAnsi="Arial" w:cs="Arial"/>
          <w:i/>
          <w:color w:val="202020"/>
        </w:rPr>
        <w:t>Circunstancias que pueden dar lugar a la modificac</w:t>
      </w:r>
      <w:r>
        <w:rPr>
          <w:rFonts w:ascii="Arial" w:eastAsia="Arial" w:hAnsi="Arial" w:cs="Arial"/>
          <w:i/>
          <w:color w:val="202020"/>
        </w:rPr>
        <w:t xml:space="preserve">ión de la resolución. </w:t>
      </w:r>
    </w:p>
    <w:p w:rsidR="00FF384B" w:rsidRDefault="003E3BA9">
      <w:pPr>
        <w:numPr>
          <w:ilvl w:val="0"/>
          <w:numId w:val="100"/>
        </w:numPr>
        <w:spacing w:after="92" w:line="248" w:lineRule="auto"/>
        <w:ind w:right="244" w:hanging="360"/>
        <w:jc w:val="both"/>
      </w:pPr>
      <w:r>
        <w:rPr>
          <w:rFonts w:ascii="Arial" w:eastAsia="Arial" w:hAnsi="Arial" w:cs="Arial"/>
          <w:i/>
          <w:color w:val="202020"/>
        </w:rPr>
        <w:t xml:space="preserve">Compatibilidad o incompatibilidad con otras subvenciones, ayudas o ingresos recursos para la misma finalidad.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Criterios de graduación de posibles incumplimientos. </w:t>
      </w:r>
    </w:p>
    <w:p w:rsidR="00FF384B" w:rsidRDefault="003E3BA9">
      <w:pPr>
        <w:numPr>
          <w:ilvl w:val="0"/>
          <w:numId w:val="100"/>
        </w:numPr>
        <w:spacing w:after="89" w:line="248" w:lineRule="auto"/>
        <w:ind w:right="244" w:hanging="360"/>
        <w:jc w:val="both"/>
      </w:pPr>
      <w:r>
        <w:rPr>
          <w:rFonts w:ascii="Arial" w:eastAsia="Arial" w:hAnsi="Arial" w:cs="Arial"/>
          <w:i/>
          <w:color w:val="202020"/>
        </w:rPr>
        <w:t xml:space="preserve">Posibilidad y límites de la subcontratación. </w:t>
      </w:r>
    </w:p>
    <w:p w:rsidR="00FF384B" w:rsidRDefault="003E3BA9">
      <w:pPr>
        <w:numPr>
          <w:ilvl w:val="0"/>
          <w:numId w:val="100"/>
        </w:numPr>
        <w:spacing w:after="88" w:line="248" w:lineRule="auto"/>
        <w:ind w:right="244" w:hanging="360"/>
        <w:jc w:val="both"/>
      </w:pPr>
      <w:r>
        <w:rPr>
          <w:rFonts w:ascii="Arial" w:eastAsia="Arial" w:hAnsi="Arial" w:cs="Arial"/>
          <w:i/>
          <w:color w:val="202020"/>
        </w:rPr>
        <w:t>Periodo durante el cua</w:t>
      </w:r>
      <w:r>
        <w:rPr>
          <w:rFonts w:ascii="Arial" w:eastAsia="Arial" w:hAnsi="Arial" w:cs="Arial"/>
          <w:i/>
          <w:color w:val="202020"/>
        </w:rPr>
        <w:t>l el beneficiario, en el supuesto de adquisición, construcción rehabilitación y mejora de bienes inventariables, debe destinar dichos bienes al fin concreto para el que se le concedió la subvención, que no puede ser inferior a cinco años en el caso de bien</w:t>
      </w:r>
      <w:r>
        <w:rPr>
          <w:rFonts w:ascii="Arial" w:eastAsia="Arial" w:hAnsi="Arial" w:cs="Arial"/>
          <w:i/>
          <w:color w:val="202020"/>
        </w:rPr>
        <w:t xml:space="preserve">es inscribibles e un registro público, ni a dos para el resto de bienes.” </w:t>
      </w:r>
    </w:p>
    <w:p w:rsidR="00FF384B" w:rsidRDefault="003E3BA9">
      <w:pPr>
        <w:ind w:left="283"/>
      </w:pPr>
      <w:r>
        <w:rPr>
          <w:rFonts w:ascii="Arial" w:eastAsia="Arial" w:hAnsi="Arial" w:cs="Arial"/>
          <w:b/>
        </w:rPr>
        <w:t xml:space="preserve"> </w:t>
      </w:r>
    </w:p>
    <w:p w:rsidR="00FF384B" w:rsidRDefault="003E3BA9">
      <w:pPr>
        <w:spacing w:after="152" w:line="247" w:lineRule="auto"/>
        <w:ind w:left="283" w:right="256" w:firstLine="360"/>
        <w:jc w:val="both"/>
      </w:pPr>
      <w:r>
        <w:rPr>
          <w:rFonts w:ascii="Arial" w:eastAsia="Arial" w:hAnsi="Arial" w:cs="Arial"/>
          <w:b/>
        </w:rPr>
        <w:t>TERCERO. - Publicar el contenido íntegro de la presente Ordenanza en el Boletín Oficial de la Provincia que entrará en vigor una vez haya transcurrido el plazo establecido en el a</w:t>
      </w:r>
      <w:r>
        <w:rPr>
          <w:rFonts w:ascii="Arial" w:eastAsia="Arial" w:hAnsi="Arial" w:cs="Arial"/>
          <w:b/>
        </w:rPr>
        <w:t>rtículo 65.2 de la Ley de Bases del Régimen local.”</w:t>
      </w:r>
      <w:r>
        <w:rPr>
          <w:rFonts w:ascii="Times New Roman" w:eastAsia="Times New Roman" w:hAnsi="Times New Roman" w:cs="Times New Roman"/>
          <w:sz w:val="24"/>
        </w:rPr>
        <w:t xml:space="preserve"> </w:t>
      </w:r>
    </w:p>
    <w:p w:rsidR="00FF384B" w:rsidRDefault="003E3BA9">
      <w:pPr>
        <w:spacing w:after="98"/>
        <w:ind w:left="283"/>
      </w:pPr>
      <w:r>
        <w:rPr>
          <w:rFonts w:ascii="Arial" w:eastAsia="Arial" w:hAnsi="Arial" w:cs="Arial"/>
          <w:b/>
        </w:rPr>
        <w:t xml:space="preserve"> </w:t>
      </w:r>
    </w:p>
    <w:p w:rsidR="00FF384B" w:rsidRDefault="003E3BA9">
      <w:pPr>
        <w:spacing w:after="10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b/>
        </w:rPr>
        <w:t xml:space="preserve">  Consta en el expediente propuesta del Concejal delegado de Hacienda, D. Airam Pérez Chinea, de fecha 21 de abril de 2021, que transcrito literalmente dice: </w:t>
      </w:r>
      <w:r>
        <w:rPr>
          <w:rFonts w:ascii="Arial" w:eastAsia="Arial" w:hAnsi="Arial" w:cs="Arial"/>
        </w:rPr>
        <w:t xml:space="preserve">“Vistas las alegaciones presentadas por el Grupo Mixto, contra la Ordenanza General y Bases Reguladoras de Subvenciones, aprobadas inicialmente por el Pleno municipal, de fecha 26 de noviembre de 2020 y publicado en el BOP de 14 de diciembre. </w:t>
      </w:r>
    </w:p>
    <w:p w:rsidR="00FF384B" w:rsidRDefault="003E3BA9">
      <w:pPr>
        <w:spacing w:after="0"/>
        <w:ind w:left="991"/>
      </w:pPr>
      <w:r>
        <w:rPr>
          <w:rFonts w:ascii="Arial" w:eastAsia="Arial" w:hAnsi="Arial" w:cs="Arial"/>
        </w:rPr>
        <w:t xml:space="preserve"> </w:t>
      </w:r>
    </w:p>
    <w:p w:rsidR="00FF384B" w:rsidRDefault="003E3BA9">
      <w:pPr>
        <w:spacing w:after="5" w:line="247" w:lineRule="auto"/>
        <w:ind w:left="1001" w:right="244" w:hanging="10"/>
        <w:jc w:val="both"/>
      </w:pPr>
      <w:r>
        <w:rPr>
          <w:rFonts w:ascii="Arial" w:eastAsia="Arial" w:hAnsi="Arial" w:cs="Arial"/>
        </w:rPr>
        <w:t>Visto el i</w:t>
      </w:r>
      <w:r>
        <w:rPr>
          <w:rFonts w:ascii="Arial" w:eastAsia="Arial" w:hAnsi="Arial" w:cs="Arial"/>
        </w:rPr>
        <w:t xml:space="preserve">nforme de Intervención, que se transcribe a continuación: </w:t>
      </w:r>
    </w:p>
    <w:p w:rsidR="00FF384B" w:rsidRDefault="003E3BA9">
      <w:pPr>
        <w:spacing w:after="10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Vistas las alegaciones presentadas por el Grupo Mixto, contra la Ordenanza General y Bases Reguladoras de Subvenciones, aprobadas inicialmente por el Pleno municipal, de fecha 26 de noviembre de </w:t>
      </w:r>
      <w:r>
        <w:rPr>
          <w:rFonts w:ascii="Arial" w:eastAsia="Arial" w:hAnsi="Arial" w:cs="Arial"/>
        </w:rPr>
        <w:t xml:space="preserve">2020 y publicado en el BOP de 14 de diciembre, este Interventor INFORMA: </w:t>
      </w:r>
    </w:p>
    <w:p w:rsidR="00FF384B" w:rsidRDefault="003E3BA9">
      <w:pPr>
        <w:spacing w:after="0"/>
        <w:ind w:left="283"/>
      </w:pPr>
      <w:r>
        <w:rPr>
          <w:rFonts w:ascii="Arial" w:eastAsia="Arial" w:hAnsi="Arial" w:cs="Arial"/>
          <w:b/>
          <w:i/>
        </w:rPr>
        <w:t xml:space="preserve">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b/>
          <w:i/>
        </w:rPr>
        <w:t xml:space="preserve">Alegación 1.- </w:t>
      </w:r>
      <w:r>
        <w:rPr>
          <w:rFonts w:ascii="Arial" w:eastAsia="Arial" w:hAnsi="Arial" w:cs="Arial"/>
          <w:i/>
        </w:rPr>
        <w:t>La utilidad de una ordenanza de subvenciones es adaptar la exhaustiva normativa general a las características organizativas específicas del</w:t>
      </w:r>
      <w:r>
        <w:rPr>
          <w:rFonts w:ascii="Times New Roman" w:eastAsia="Times New Roman" w:hAnsi="Times New Roman" w:cs="Times New Roman"/>
          <w:sz w:val="24"/>
        </w:rPr>
        <w:t xml:space="preserve"> </w:t>
      </w:r>
    </w:p>
    <w:p w:rsidR="00FF384B" w:rsidRDefault="003E3BA9">
      <w:pPr>
        <w:spacing w:after="4" w:line="247" w:lineRule="auto"/>
        <w:ind w:left="278" w:right="244" w:hanging="10"/>
        <w:jc w:val="both"/>
      </w:pPr>
      <w:r>
        <w:rPr>
          <w:rFonts w:ascii="Arial" w:eastAsia="Arial" w:hAnsi="Arial" w:cs="Arial"/>
          <w:i/>
        </w:rPr>
        <w:t>Ayuntamiento, y esa tra</w:t>
      </w:r>
      <w:r>
        <w:rPr>
          <w:rFonts w:ascii="Arial" w:eastAsia="Arial" w:hAnsi="Arial" w:cs="Arial"/>
          <w:i/>
        </w:rPr>
        <w:t xml:space="preserve">ducción suele hacerse mediante las Bases de Ejecución del Presupuesto Municipal. Esta ordenanza es muy compleja y, desde nuestro punto de vista, no responde a esta utilidad y no traduce qué objetivos y finalidad persigue.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7596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679" name="Group 45367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086" name="Picture 22086"/>
                          <pic:cNvPicPr/>
                        </pic:nvPicPr>
                        <pic:blipFill>
                          <a:blip r:embed="rId62"/>
                          <a:stretch>
                            <a:fillRect/>
                          </a:stretch>
                        </pic:blipFill>
                        <pic:spPr>
                          <a:xfrm rot="-5399999">
                            <a:off x="-1720849" y="1720849"/>
                            <a:ext cx="3797300" cy="355601"/>
                          </a:xfrm>
                          <a:prstGeom prst="rect">
                            <a:avLst/>
                          </a:prstGeom>
                        </pic:spPr>
                      </pic:pic>
                      <wps:wsp>
                        <wps:cNvPr id="22087" name="Rectangle 2208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088" name="Rectangle 22088"/>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679" style="width:41.2715pt;height:299pt;position:absolute;mso-position-horizontal-relative:page;mso-position-horizontal:absolute;margin-left:653.71pt;mso-position-vertical-relative:page;margin-top:512.92pt;" coordsize="5241,37973">
                <v:shape id="Picture 22086" style="position:absolute;width:37973;height:3556;left:-17208;top:17208;rotation:-89;" filled="f">
                  <v:imagedata r:id="rId63"/>
                </v:shape>
                <v:rect id="Rectangle 2208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088"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353 </w:t>
                        </w:r>
                      </w:p>
                    </w:txbxContent>
                  </v:textbox>
                </v:rect>
                <w10:wrap type="square"/>
              </v:group>
            </w:pict>
          </mc:Fallback>
        </mc:AlternateContent>
      </w:r>
      <w:r>
        <w:rPr>
          <w:rFonts w:ascii="Arial" w:eastAsia="Arial" w:hAnsi="Arial" w:cs="Arial"/>
        </w:rPr>
        <w:t xml:space="preserve"> </w:t>
      </w:r>
      <w:r>
        <w:rPr>
          <w:rFonts w:ascii="Arial" w:eastAsia="Arial" w:hAnsi="Arial" w:cs="Arial"/>
        </w:rPr>
        <w:t>Conforme el artículo 17 de la Ley 38/2003, General de Subvenciones, las bases reguladoras de las subvenciones de las corporaciones locales se deberán aprobar en el marco de las bases de ejecución del presupuesto, a través de una ordenanza general de subven</w:t>
      </w:r>
      <w:r>
        <w:rPr>
          <w:rFonts w:ascii="Arial" w:eastAsia="Arial" w:hAnsi="Arial" w:cs="Arial"/>
        </w:rPr>
        <w:t>ciones o mediante una ordenanza específica para las distintas modalidades de subvenciones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El artículo 165 del Real Decreto Legislativo 2/2004, por el que se aprueba el Texto Refundido de la Ley de haciendas Locales, señala que las bases de ejecución de</w:t>
      </w:r>
      <w:r>
        <w:rPr>
          <w:rFonts w:ascii="Arial" w:eastAsia="Arial" w:hAnsi="Arial" w:cs="Arial"/>
        </w:rPr>
        <w:t>l Presupuesto, contienen la adaptación de las disposiciones generales en materia presupuestaria a la organización y circunstancias de la propia entidad, así como aquellas otras necesarias para su acertada gestión, estableciendo cuantas prevenciones se cons</w:t>
      </w:r>
      <w:r>
        <w:rPr>
          <w:rFonts w:ascii="Arial" w:eastAsia="Arial" w:hAnsi="Arial" w:cs="Arial"/>
        </w:rPr>
        <w:t>ideren oportunas o convenientes para la mejor realización de los gastos y recaudación de los recursos, sin que puedan modificar lo legislado para la administración económica ni comprender preceptos de orden administrativo que requieran legalmente procedimi</w:t>
      </w:r>
      <w:r>
        <w:rPr>
          <w:rFonts w:ascii="Arial" w:eastAsia="Arial" w:hAnsi="Arial" w:cs="Arial"/>
        </w:rPr>
        <w:t xml:space="preserve">ento y solemnidades específicas distintas de lo previsto para el presupuesto.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Por tanto, las bases de ejecución es un documento eminentemente presupuestario, que puede regular aspectos de subvenciones concedidas con cargo al Presupuesto municipal, mien</w:t>
      </w:r>
      <w:r>
        <w:rPr>
          <w:rFonts w:ascii="Arial" w:eastAsia="Arial" w:hAnsi="Arial" w:cs="Arial"/>
        </w:rPr>
        <w:t xml:space="preserve">tras que la Ordenanza General de Subvenciones es el documento más adecuado para regular esta actividad de fomento.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b/>
          <w:i/>
        </w:rPr>
        <w:t xml:space="preserve">Alegación 2.- </w:t>
      </w:r>
      <w:r>
        <w:rPr>
          <w:rFonts w:ascii="Arial" w:eastAsia="Arial" w:hAnsi="Arial" w:cs="Arial"/>
          <w:i/>
        </w:rPr>
        <w:t>Que la misma, al igual que asumimos la transparencia como un requisito indispensable del buen hacer municipal, empecemos p</w:t>
      </w:r>
      <w:r>
        <w:rPr>
          <w:rFonts w:ascii="Arial" w:eastAsia="Arial" w:hAnsi="Arial" w:cs="Arial"/>
          <w:i/>
        </w:rPr>
        <w:t>or ofrecer a la ciudadanía una ordenanza meridianamente clara. Meridianamente clara, para que las y los solicitantes no tengan que recurrir a una asesoría para entenderla. Esta ordenanza es muy poco clara.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Se trata de una Ordenanza con un contenido simi</w:t>
      </w:r>
      <w:r>
        <w:rPr>
          <w:rFonts w:ascii="Arial" w:eastAsia="Arial" w:hAnsi="Arial" w:cs="Arial"/>
        </w:rPr>
        <w:t xml:space="preserve">lar a otras Ordenanzas reguladoras de subvenciones, con un lenguaje, que está regulado en la normativa actualmente vigente.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b/>
          <w:i/>
        </w:rPr>
        <w:t xml:space="preserve">Alegación 3.- </w:t>
      </w:r>
      <w:r>
        <w:rPr>
          <w:rFonts w:ascii="Arial" w:eastAsia="Arial" w:hAnsi="Arial" w:cs="Arial"/>
          <w:i/>
        </w:rPr>
        <w:t>Una vez más, como hemos advertido en normas anteriores, a efectos formales, con carácter general en cumplimiento de</w:t>
      </w:r>
      <w:r>
        <w:rPr>
          <w:rFonts w:ascii="Arial" w:eastAsia="Arial" w:hAnsi="Arial" w:cs="Arial"/>
          <w:i/>
        </w:rPr>
        <w:t>l Artículo 14.11 de la</w:t>
      </w:r>
      <w:r>
        <w:rPr>
          <w:rFonts w:ascii="Times New Roman" w:eastAsia="Times New Roman" w:hAnsi="Times New Roman" w:cs="Times New Roman"/>
          <w:sz w:val="24"/>
        </w:rPr>
        <w:t xml:space="preserve"> </w:t>
      </w:r>
    </w:p>
    <w:p w:rsidR="00FF384B" w:rsidRDefault="003E3BA9">
      <w:pPr>
        <w:spacing w:after="4" w:line="247" w:lineRule="auto"/>
        <w:ind w:left="278" w:right="244" w:hanging="10"/>
        <w:jc w:val="both"/>
      </w:pPr>
      <w:r>
        <w:rPr>
          <w:rFonts w:ascii="Arial" w:eastAsia="Arial" w:hAnsi="Arial" w:cs="Arial"/>
          <w:i/>
        </w:rPr>
        <w:t>Ley Orgánica 3/2007, de 22 de marzo, para la igualdad efectiva de mujeres y hombres, y en coherencia también con la Guía para un Uso no Sexista del lenguaje administrativo aprobada y publicada por este Ayuntamiento en el año 2005, d</w:t>
      </w:r>
      <w:r>
        <w:rPr>
          <w:rFonts w:ascii="Arial" w:eastAsia="Arial" w:hAnsi="Arial" w:cs="Arial"/>
          <w:i/>
        </w:rPr>
        <w:t xml:space="preserve">ebe revisarse íntegramente el texto de la ordenanza para evitar el uso discriminatorio y no inclusivo del lenguaje empleado.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No le consta a este interventor el uso de un lenguaje sexista en la presente Ordenanza.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b/>
          <w:i/>
        </w:rPr>
        <w:t xml:space="preserve">Alegación 4.- </w:t>
      </w:r>
      <w:r>
        <w:rPr>
          <w:rFonts w:ascii="Arial" w:eastAsia="Arial" w:hAnsi="Arial" w:cs="Arial"/>
          <w:i/>
        </w:rPr>
        <w:t>En lo referente a la te</w:t>
      </w:r>
      <w:r>
        <w:rPr>
          <w:rFonts w:ascii="Arial" w:eastAsia="Arial" w:hAnsi="Arial" w:cs="Arial"/>
          <w:i/>
        </w:rPr>
        <w:t>rminología deberían unificarse determinados términos utilizados a lo largo del texto, y si se mantuvieran los actuales por</w:t>
      </w:r>
      <w:r>
        <w:rPr>
          <w:rFonts w:ascii="Arial" w:eastAsia="Arial" w:hAnsi="Arial" w:cs="Arial"/>
        </w:rPr>
        <w:t xml:space="preserve"> </w:t>
      </w:r>
      <w:r>
        <w:rPr>
          <w:rFonts w:ascii="Arial" w:eastAsia="Arial" w:hAnsi="Arial" w:cs="Arial"/>
          <w:i/>
        </w:rPr>
        <w:t>considerarlos referidos a significados diferenciados, explicarlo en un Glosario más claramente. Se genera confusión a partir de térmi</w:t>
      </w:r>
      <w:r>
        <w:rPr>
          <w:rFonts w:ascii="Arial" w:eastAsia="Arial" w:hAnsi="Arial" w:cs="Arial"/>
          <w:i/>
        </w:rPr>
        <w:t>nos como los siguientes: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101"/>
        </w:numPr>
        <w:spacing w:after="4" w:line="247" w:lineRule="auto"/>
        <w:ind w:right="244" w:hanging="149"/>
        <w:jc w:val="both"/>
      </w:pPr>
      <w:r>
        <w:rPr>
          <w:rFonts w:ascii="Arial" w:eastAsia="Arial" w:hAnsi="Arial" w:cs="Arial"/>
          <w:i/>
        </w:rPr>
        <w:t xml:space="preserve">En unas ocasiones se mencionan áreas y en otras concejalías delegadas. </w:t>
      </w:r>
    </w:p>
    <w:p w:rsidR="00FF384B" w:rsidRDefault="003E3BA9">
      <w:pPr>
        <w:numPr>
          <w:ilvl w:val="0"/>
          <w:numId w:val="101"/>
        </w:numPr>
        <w:spacing w:after="4" w:line="247" w:lineRule="auto"/>
        <w:ind w:right="244" w:hanging="149"/>
        <w:jc w:val="both"/>
      </w:pPr>
      <w:r>
        <w:rPr>
          <w:noProof/>
        </w:rPr>
        <mc:AlternateContent>
          <mc:Choice Requires="wpg">
            <w:drawing>
              <wp:anchor distT="0" distB="0" distL="114300" distR="114300" simplePos="0" relativeHeight="2517606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3824" name="Group 4538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200" name="Picture 22200"/>
                          <pic:cNvPicPr/>
                        </pic:nvPicPr>
                        <pic:blipFill>
                          <a:blip r:embed="rId62"/>
                          <a:stretch>
                            <a:fillRect/>
                          </a:stretch>
                        </pic:blipFill>
                        <pic:spPr>
                          <a:xfrm rot="-5399999">
                            <a:off x="-1720849" y="1720849"/>
                            <a:ext cx="3797300" cy="355601"/>
                          </a:xfrm>
                          <a:prstGeom prst="rect">
                            <a:avLst/>
                          </a:prstGeom>
                        </pic:spPr>
                      </pic:pic>
                      <wps:wsp>
                        <wps:cNvPr id="22201" name="Rectangle 2220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202" name="Rectangle 22202"/>
                        <wps:cNvSpPr/>
                        <wps:spPr>
                          <a:xfrm rot="-5399999">
                            <a:off x="-1707579" y="1537478"/>
                            <a:ext cx="440642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99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3824" style="width:41.2715pt;height:299pt;position:absolute;mso-position-horizontal-relative:page;mso-position-horizontal:absolute;margin-left:653.71pt;mso-position-vertical-relative:page;margin-top:512.92pt;" coordsize="5241,37973">
                <v:shape id="Picture 22200" style="position:absolute;width:37973;height:3556;left:-17208;top:17208;rotation:-89;" filled="f">
                  <v:imagedata r:id="rId63"/>
                </v:shape>
                <v:rect id="Rectangle 2220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202" style="position:absolute;width:44064;height:1132;left:-17075;top:153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353 </w:t>
                        </w:r>
                      </w:p>
                    </w:txbxContent>
                  </v:textbox>
                </v:rect>
                <w10:wrap type="square"/>
              </v:group>
            </w:pict>
          </mc:Fallback>
        </mc:AlternateContent>
      </w:r>
      <w:r>
        <w:rPr>
          <w:rFonts w:ascii="Arial" w:eastAsia="Arial" w:hAnsi="Arial" w:cs="Arial"/>
          <w:i/>
        </w:rPr>
        <w:t>Figura repetidamente, el órgano competente, y sustituirse por cada Concejalía, como establece el Artículo 6. Régimen jurídico y convocatorias de 2/4 las subvencio</w:t>
      </w:r>
      <w:r>
        <w:rPr>
          <w:rFonts w:ascii="Arial" w:eastAsia="Arial" w:hAnsi="Arial" w:cs="Arial"/>
          <w:i/>
        </w:rPr>
        <w:t>nes. Punto 2: Cada Concejalía delegada es el órgano competente para la aprobación de las convocatorias de las subvenciones.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101"/>
        </w:numPr>
        <w:spacing w:after="4" w:line="247" w:lineRule="auto"/>
        <w:ind w:right="244" w:hanging="149"/>
        <w:jc w:val="both"/>
      </w:pPr>
      <w:r>
        <w:rPr>
          <w:rFonts w:ascii="Arial" w:eastAsia="Arial" w:hAnsi="Arial" w:cs="Arial"/>
          <w:i/>
        </w:rPr>
        <w:t>Otros términos recurrentes y en ocasiones asimilables: órgano concedente, órgano municipal responsable, órgano gestor, órgano ins</w:t>
      </w:r>
      <w:r>
        <w:rPr>
          <w:rFonts w:ascii="Arial" w:eastAsia="Arial" w:hAnsi="Arial" w:cs="Arial"/>
          <w:i/>
        </w:rPr>
        <w:t xml:space="preserve">tructor, servicio gestor. </w:t>
      </w:r>
    </w:p>
    <w:p w:rsidR="00FF384B" w:rsidRDefault="003E3BA9">
      <w:pPr>
        <w:numPr>
          <w:ilvl w:val="0"/>
          <w:numId w:val="101"/>
        </w:numPr>
        <w:spacing w:after="2" w:line="233" w:lineRule="auto"/>
        <w:ind w:right="244" w:hanging="149"/>
        <w:jc w:val="both"/>
      </w:pPr>
      <w:r>
        <w:rPr>
          <w:rFonts w:ascii="Arial" w:eastAsia="Arial" w:hAnsi="Arial" w:cs="Arial"/>
          <w:i/>
        </w:rPr>
        <w:t xml:space="preserve">En el Artículo 41 de habla de subvenciones por razones humanitarias pero </w:t>
      </w:r>
      <w:r>
        <w:rPr>
          <w:rFonts w:ascii="Arial" w:eastAsia="Arial" w:hAnsi="Arial" w:cs="Arial"/>
          <w:i/>
          <w:color w:val="222222"/>
        </w:rPr>
        <w:t>esto no coincide con la denominación de este tipo de subvenciones definidas en el Artículo 27</w:t>
      </w:r>
      <w:r>
        <w:rPr>
          <w:rFonts w:ascii="Arial" w:eastAsia="Arial" w:hAnsi="Arial" w:cs="Arial"/>
          <w:b/>
          <w:i/>
          <w:color w:val="222222"/>
        </w:rPr>
        <w:t>.</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No resulta contradictorio ni da lugar a equivocación el uso de terminología distinta pero equiparable y es muy común en otras Ordenanzas reguladoras de subvenciones. </w:t>
      </w:r>
    </w:p>
    <w:p w:rsidR="00FF384B" w:rsidRDefault="003E3BA9">
      <w:pPr>
        <w:spacing w:after="0"/>
        <w:ind w:left="991"/>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13" w:line="247" w:lineRule="auto"/>
        <w:ind w:left="268" w:right="239"/>
        <w:jc w:val="both"/>
      </w:pPr>
      <w:r>
        <w:rPr>
          <w:rFonts w:ascii="Arial" w:eastAsia="Arial" w:hAnsi="Arial" w:cs="Arial"/>
          <w:b/>
          <w:i/>
          <w:color w:val="222222"/>
        </w:rPr>
        <w:t xml:space="preserve">Alegación 5.- </w:t>
      </w:r>
      <w:r>
        <w:rPr>
          <w:rFonts w:ascii="Arial" w:eastAsia="Arial" w:hAnsi="Arial" w:cs="Arial"/>
          <w:b/>
          <w:i/>
        </w:rPr>
        <w:t>De los procedimientos de concesión, de las subvenciones</w:t>
      </w:r>
      <w:r>
        <w:rPr>
          <w:rFonts w:ascii="Times New Roman" w:eastAsia="Times New Roman" w:hAnsi="Times New Roman" w:cs="Times New Roman"/>
          <w:sz w:val="24"/>
        </w:rPr>
        <w:t xml:space="preserve"> </w:t>
      </w:r>
      <w:r>
        <w:rPr>
          <w:rFonts w:ascii="Arial" w:eastAsia="Arial" w:hAnsi="Arial" w:cs="Arial"/>
          <w:b/>
          <w:i/>
        </w:rPr>
        <w:t>nominativas (</w:t>
      </w:r>
      <w:r>
        <w:rPr>
          <w:rFonts w:ascii="Arial" w:eastAsia="Arial" w:hAnsi="Arial" w:cs="Arial"/>
          <w:b/>
          <w:i/>
        </w:rPr>
        <w:t xml:space="preserve">y de las entidades colaboradoras)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i/>
        </w:rPr>
        <w:t>En la aprobación inicial de esta Ordenanza de Subvenciones, donde nos abstuvimos, argumentamos que el porcentaje de subvenciones concedidas por el procedimiento de concurrencia competitiva en el Ayuntamiento de Candelaria, el que la Ley General de Subvenci</w:t>
      </w:r>
      <w:r>
        <w:rPr>
          <w:rFonts w:ascii="Arial" w:eastAsia="Arial" w:hAnsi="Arial" w:cs="Arial"/>
          <w:i/>
        </w:rPr>
        <w:t>ones establece como ordinario, es significativamente inferior (24%) al de las concedidas de forma directa (50%), a través de subvenciones nominativas mediante convenios de colaboración. El Tribunal de Cuentas censura que las excepciones previstas en la Ley</w:t>
      </w:r>
      <w:r>
        <w:rPr>
          <w:rFonts w:ascii="Arial" w:eastAsia="Arial" w:hAnsi="Arial" w:cs="Arial"/>
          <w:i/>
        </w:rPr>
        <w:t xml:space="preserve"> se apliquen no para subvencionar actividades de interés, sino personas físicas o jurídicas concretas; es decir, no se subvenciona lo que hace alguien, sino a alguien. La concurrencia competitiva debe ser el procedimiento principal de otorgamiento de subve</w:t>
      </w:r>
      <w:r>
        <w:rPr>
          <w:rFonts w:ascii="Arial" w:eastAsia="Arial" w:hAnsi="Arial" w:cs="Arial"/>
          <w:i/>
        </w:rPr>
        <w:t xml:space="preserve">nciones en este Ayuntamiento y así debería quedar recogido expresamente en esta ordenanza, reduciendo al mínimo las concedidas directa y nominativamente. </w:t>
      </w:r>
    </w:p>
    <w:p w:rsidR="00FF384B" w:rsidRDefault="003E3BA9">
      <w:pPr>
        <w:spacing w:after="4" w:line="247" w:lineRule="auto"/>
        <w:ind w:left="278" w:right="244" w:hanging="10"/>
        <w:jc w:val="both"/>
      </w:pPr>
      <w:r>
        <w:rPr>
          <w:rFonts w:ascii="Arial" w:eastAsia="Arial" w:hAnsi="Arial" w:cs="Arial"/>
          <w:i/>
        </w:rPr>
        <w:t>Las subvenciones nominativas, son aquellas cuya concesión no requiere más justificación que la propia</w:t>
      </w:r>
      <w:r>
        <w:rPr>
          <w:rFonts w:ascii="Arial" w:eastAsia="Arial" w:hAnsi="Arial" w:cs="Arial"/>
          <w:i/>
        </w:rPr>
        <w:t xml:space="preserve"> inclusión en el presupuesto, con indicación del nombre del beneficiario, la aplicación presupuestaria y el importe. </w:t>
      </w:r>
    </w:p>
    <w:p w:rsidR="00FF384B" w:rsidRDefault="003E3BA9">
      <w:pPr>
        <w:spacing w:after="4" w:line="247" w:lineRule="auto"/>
        <w:ind w:left="278" w:right="244" w:hanging="10"/>
        <w:jc w:val="both"/>
      </w:pPr>
      <w:r>
        <w:rPr>
          <w:rFonts w:ascii="Arial" w:eastAsia="Arial" w:hAnsi="Arial" w:cs="Arial"/>
          <w:i/>
        </w:rPr>
        <w:t xml:space="preserve">Precisamente por el carácter discrecional y subjetivo de su concesión y en aras de una mayor seguridad jurídica para el Ayuntamiento, así </w:t>
      </w:r>
      <w:r>
        <w:rPr>
          <w:rFonts w:ascii="Arial" w:eastAsia="Arial" w:hAnsi="Arial" w:cs="Arial"/>
          <w:i/>
        </w:rPr>
        <w:t xml:space="preserve">como de la transparencia y las garantías equitativas para la ciudadanía, consideramos que, como señala de Tribunal de Cuentas: </w:t>
      </w:r>
    </w:p>
    <w:p w:rsidR="00FF384B" w:rsidRDefault="003E3BA9">
      <w:pPr>
        <w:spacing w:after="4" w:line="247" w:lineRule="auto"/>
        <w:ind w:left="278" w:right="244" w:hanging="10"/>
        <w:jc w:val="both"/>
      </w:pPr>
      <w:r>
        <w:rPr>
          <w:rFonts w:ascii="Arial" w:eastAsia="Arial" w:hAnsi="Arial" w:cs="Arial"/>
          <w:i/>
        </w:rPr>
        <w:t xml:space="preserve">Forma parte del ámbito competencial de cada Entidad Local establecer </w:t>
      </w:r>
      <w:r>
        <w:rPr>
          <w:rFonts w:ascii="Arial" w:eastAsia="Arial" w:hAnsi="Arial" w:cs="Arial"/>
          <w:b/>
          <w:i/>
        </w:rPr>
        <w:t xml:space="preserve">el manual de buenas prácticas </w:t>
      </w:r>
      <w:r>
        <w:rPr>
          <w:rFonts w:ascii="Arial" w:eastAsia="Arial" w:hAnsi="Arial" w:cs="Arial"/>
          <w:i/>
        </w:rPr>
        <w:t>en esta materia, además de la</w:t>
      </w:r>
      <w:r>
        <w:rPr>
          <w:rFonts w:ascii="Arial" w:eastAsia="Arial" w:hAnsi="Arial" w:cs="Arial"/>
          <w:i/>
        </w:rPr>
        <w:t xml:space="preserve">s normas reguladoras para la concesión de subvenciones y definir las condiciones para ser beneficiario o beneficiaria de las mismas, así como las actuaciones que se pretenden subvencionar. En línea con esto </w:t>
      </w:r>
      <w:r>
        <w:rPr>
          <w:rFonts w:ascii="Arial" w:eastAsia="Arial" w:hAnsi="Arial" w:cs="Arial"/>
          <w:b/>
          <w:i/>
        </w:rPr>
        <w:t>proponemos que se incluya un desarrollo de criter</w:t>
      </w:r>
      <w:r>
        <w:rPr>
          <w:rFonts w:ascii="Arial" w:eastAsia="Arial" w:hAnsi="Arial" w:cs="Arial"/>
          <w:b/>
          <w:i/>
        </w:rPr>
        <w:t>ios de buenas prácticas</w:t>
      </w:r>
      <w:r>
        <w:rPr>
          <w:rFonts w:ascii="Arial" w:eastAsia="Arial" w:hAnsi="Arial" w:cs="Arial"/>
          <w:i/>
        </w:rPr>
        <w:t>, elaborado por el consenso de las formaciones presentes en este pleno, y que se recoja en la Ordenanza que será de aplicación, formando parte del mismo.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5" w:line="247" w:lineRule="auto"/>
        <w:ind w:left="268" w:right="244" w:firstLine="708"/>
        <w:jc w:val="both"/>
      </w:pPr>
      <w:r>
        <w:rPr>
          <w:noProof/>
        </w:rPr>
        <mc:AlternateContent>
          <mc:Choice Requires="wpg">
            <w:drawing>
              <wp:anchor distT="0" distB="0" distL="114300" distR="114300" simplePos="0" relativeHeight="2517616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4185" name="Group 45418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305" name="Picture 22305"/>
                          <pic:cNvPicPr/>
                        </pic:nvPicPr>
                        <pic:blipFill>
                          <a:blip r:embed="rId62"/>
                          <a:stretch>
                            <a:fillRect/>
                          </a:stretch>
                        </pic:blipFill>
                        <pic:spPr>
                          <a:xfrm rot="-5399999">
                            <a:off x="-1720849" y="1720849"/>
                            <a:ext cx="3797300" cy="355601"/>
                          </a:xfrm>
                          <a:prstGeom prst="rect">
                            <a:avLst/>
                          </a:prstGeom>
                        </pic:spPr>
                      </pic:pic>
                      <wps:wsp>
                        <wps:cNvPr id="22306" name="Rectangle 2230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w:t>
                              </w:r>
                              <w:r>
                                <w:rPr>
                                  <w:rFonts w:ascii="Arial" w:eastAsia="Arial" w:hAnsi="Arial" w:cs="Arial"/>
                                  <w:sz w:val="12"/>
                                </w:rPr>
                                <w:t xml:space="preserve">elaria.sedelectronica.es/ </w:t>
                              </w:r>
                            </w:p>
                          </w:txbxContent>
                        </wps:txbx>
                        <wps:bodyPr horzOverflow="overflow" vert="horz" lIns="0" tIns="0" rIns="0" bIns="0" rtlCol="0">
                          <a:noAutofit/>
                        </wps:bodyPr>
                      </wps:wsp>
                      <wps:wsp>
                        <wps:cNvPr id="22307" name="Rectangle 2230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4185" style="width:41.2715pt;height:299pt;position:absolute;mso-position-horizontal-relative:page;mso-position-horizontal:absolute;margin-left:653.71pt;mso-position-vertical-relative:page;margin-top:512.92pt;" coordsize="5241,37973">
                <v:shape id="Picture 22305" style="position:absolute;width:37973;height:3556;left:-17208;top:17208;rotation:-89;" filled="f">
                  <v:imagedata r:id="rId63"/>
                </v:shape>
                <v:rect id="Rectangle 2230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30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353 </w:t>
                        </w:r>
                      </w:p>
                    </w:txbxContent>
                  </v:textbox>
                </v:rect>
                <w10:wrap type="square"/>
              </v:group>
            </w:pict>
          </mc:Fallback>
        </mc:AlternateContent>
      </w:r>
      <w:r>
        <w:rPr>
          <w:rFonts w:ascii="Arial" w:eastAsia="Arial" w:hAnsi="Arial" w:cs="Arial"/>
        </w:rPr>
        <w:t xml:space="preserve">Es cierto, que conforme el artículo 22.1 de la Ley 53/2008, el procedimiento ordinario de concesión de subvenciones debe tramitarse </w:t>
      </w:r>
      <w:r>
        <w:rPr>
          <w:rFonts w:ascii="Arial" w:eastAsia="Arial" w:hAnsi="Arial" w:cs="Arial"/>
        </w:rPr>
        <w:t>en régimen de concurrencia competitiva y sería aconsejable a juicio de este Interventor.</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No obstante, las subvenciones concedidas por esta Corporación, con cargo al Presupuesto municipal, se ajusta al apartado segundo del citado artículo 22, que señala</w:t>
      </w:r>
      <w:r>
        <w:rPr>
          <w:rFonts w:ascii="Arial" w:eastAsia="Arial" w:hAnsi="Arial" w:cs="Arial"/>
        </w:rPr>
        <w:t xml:space="preserve"> que:</w:t>
      </w:r>
      <w:r>
        <w:rPr>
          <w:rFonts w:ascii="Times New Roman" w:eastAsia="Times New Roman" w:hAnsi="Times New Roman" w:cs="Times New Roman"/>
          <w:sz w:val="24"/>
        </w:rPr>
        <w:t xml:space="preserve"> </w:t>
      </w:r>
    </w:p>
    <w:p w:rsidR="00FF384B" w:rsidRDefault="003E3BA9">
      <w:pPr>
        <w:ind w:left="283"/>
      </w:pPr>
      <w:r>
        <w:rPr>
          <w:rFonts w:ascii="Arial" w:eastAsia="Arial" w:hAnsi="Arial" w:cs="Arial"/>
          <w:i/>
        </w:rPr>
        <w:t xml:space="preserve"> </w:t>
      </w:r>
    </w:p>
    <w:p w:rsidR="00FF384B" w:rsidRDefault="003E3BA9">
      <w:pPr>
        <w:spacing w:after="349" w:line="247" w:lineRule="auto"/>
        <w:ind w:left="653" w:right="244" w:hanging="10"/>
        <w:jc w:val="both"/>
      </w:pPr>
      <w:r>
        <w:rPr>
          <w:rFonts w:ascii="Arial" w:eastAsia="Arial" w:hAnsi="Arial" w:cs="Arial"/>
        </w:rPr>
        <w:t xml:space="preserve">Podrán concederse de forma directa las siguientes subvenciones: </w:t>
      </w:r>
    </w:p>
    <w:p w:rsidR="00FF384B" w:rsidRDefault="003E3BA9">
      <w:pPr>
        <w:spacing w:after="172" w:line="247" w:lineRule="auto"/>
        <w:ind w:left="268" w:right="244" w:firstLine="360"/>
        <w:jc w:val="both"/>
      </w:pPr>
      <w:r>
        <w:rPr>
          <w:rFonts w:ascii="Arial" w:eastAsia="Arial" w:hAnsi="Arial" w:cs="Arial"/>
        </w:rPr>
        <w:t xml:space="preserve">a) Las previstas nominativamente en los Presupuestos Generales del Estado, de las Comunidades Autónomas o de las Entidades Locales, en los términos recogidos en los convenios y en la normativa reguladora de estas subvenciones. </w:t>
      </w:r>
    </w:p>
    <w:p w:rsidR="00FF384B" w:rsidRDefault="003E3BA9">
      <w:pPr>
        <w:spacing w:after="172" w:line="247" w:lineRule="auto"/>
        <w:ind w:left="268" w:right="244" w:firstLine="360"/>
        <w:jc w:val="both"/>
      </w:pPr>
      <w:r>
        <w:rPr>
          <w:rFonts w:ascii="Arial" w:eastAsia="Arial" w:hAnsi="Arial" w:cs="Arial"/>
        </w:rPr>
        <w:t>A efectos de lo establecido en el párrafo anterior, se entiende por subvención prevista nominativamente en los Presupuestos Generales del Estado aquella en que al menos su dotación presupuestaria y beneficiario aparezcan determinados en los estados de gast</w:t>
      </w:r>
      <w:r>
        <w:rPr>
          <w:rFonts w:ascii="Arial" w:eastAsia="Arial" w:hAnsi="Arial" w:cs="Arial"/>
        </w:rPr>
        <w:t>o del Presupuesto. El objeto de estas subvenciones deberá quedar determinado expresamente en el correspondiente convenio de colaboración o resolución de concesión que, en todo caso, deberá ser congruente con la clasificación funcional y económica del corre</w:t>
      </w:r>
      <w:r>
        <w:rPr>
          <w:rFonts w:ascii="Arial" w:eastAsia="Arial" w:hAnsi="Arial" w:cs="Arial"/>
        </w:rPr>
        <w:t xml:space="preserve">spondiente crédito presupuestario. </w:t>
      </w:r>
    </w:p>
    <w:p w:rsidR="00FF384B" w:rsidRDefault="003E3BA9">
      <w:pPr>
        <w:numPr>
          <w:ilvl w:val="0"/>
          <w:numId w:val="102"/>
        </w:numPr>
        <w:spacing w:after="5" w:line="247" w:lineRule="auto"/>
        <w:ind w:right="244" w:firstLine="360"/>
        <w:jc w:val="both"/>
      </w:pPr>
      <w:r>
        <w:rPr>
          <w:rFonts w:ascii="Arial" w:eastAsia="Arial" w:hAnsi="Arial" w:cs="Arial"/>
        </w:rPr>
        <w:t xml:space="preserve">Aquellas cuyo otorgamiento o cuantía venga impuesto a la Administración por una norma de rango legal, que seguirán el procedimiento de concesión que les resulte de aplicación de acuerdo con su propia normativa. </w:t>
      </w:r>
    </w:p>
    <w:p w:rsidR="00FF384B" w:rsidRDefault="003E3BA9">
      <w:pPr>
        <w:numPr>
          <w:ilvl w:val="0"/>
          <w:numId w:val="102"/>
        </w:numPr>
        <w:spacing w:after="172" w:line="247" w:lineRule="auto"/>
        <w:ind w:right="244" w:firstLine="360"/>
        <w:jc w:val="both"/>
      </w:pPr>
      <w:r>
        <w:rPr>
          <w:rFonts w:ascii="Arial" w:eastAsia="Arial" w:hAnsi="Arial" w:cs="Arial"/>
        </w:rPr>
        <w:t>Con cará</w:t>
      </w:r>
      <w:r>
        <w:rPr>
          <w:rFonts w:ascii="Arial" w:eastAsia="Arial" w:hAnsi="Arial" w:cs="Arial"/>
        </w:rPr>
        <w:t xml:space="preserve">cter excepcional, aquellas otras subvenciones en que se acrediten razo-nes de interés público, social, económico o humanitario, u otras debidamente justificadas que dificulten su convocatoria pública.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b/>
          <w:i/>
        </w:rPr>
        <w:t xml:space="preserve">Alegación 6 .- </w:t>
      </w:r>
      <w:r>
        <w:rPr>
          <w:rFonts w:ascii="Arial" w:eastAsia="Arial" w:hAnsi="Arial" w:cs="Arial"/>
          <w:i/>
        </w:rPr>
        <w:t>El Artículo 26. Subvenciones prevista</w:t>
      </w:r>
      <w:r>
        <w:rPr>
          <w:rFonts w:ascii="Arial" w:eastAsia="Arial" w:hAnsi="Arial" w:cs="Arial"/>
          <w:i/>
        </w:rPr>
        <w:t>s nominativamente en el presupuesto general municipal debería recoger idéntico contenido al que se recoge en el Art. 27.5.: En el expediente se incluirán los siguientes documentos</w:t>
      </w:r>
      <w:r>
        <w:rPr>
          <w:rFonts w:ascii="Times New Roman" w:eastAsia="Times New Roman" w:hAnsi="Times New Roman" w:cs="Times New Roman"/>
          <w:sz w:val="24"/>
        </w:rPr>
        <w:t xml:space="preserve"> </w:t>
      </w:r>
      <w:r>
        <w:rPr>
          <w:rFonts w:ascii="Arial" w:eastAsia="Arial" w:hAnsi="Arial" w:cs="Arial"/>
          <w:i/>
        </w:rPr>
        <w:t xml:space="preserve">elaborados por el órgano competente para la gestión de las subvenciones:  </w:t>
      </w:r>
    </w:p>
    <w:p w:rsidR="00FF384B" w:rsidRDefault="003E3BA9">
      <w:pPr>
        <w:spacing w:after="0"/>
        <w:ind w:left="283"/>
      </w:pPr>
      <w:r>
        <w:rPr>
          <w:rFonts w:ascii="Arial" w:eastAsia="Arial" w:hAnsi="Arial" w:cs="Arial"/>
          <w:i/>
        </w:rPr>
        <w:t xml:space="preserve"> </w:t>
      </w:r>
    </w:p>
    <w:p w:rsidR="00FF384B" w:rsidRDefault="003E3BA9">
      <w:pPr>
        <w:numPr>
          <w:ilvl w:val="0"/>
          <w:numId w:val="103"/>
        </w:numPr>
        <w:spacing w:after="4" w:line="247" w:lineRule="auto"/>
        <w:ind w:right="244" w:hanging="360"/>
        <w:jc w:val="both"/>
      </w:pPr>
      <w:r>
        <w:rPr>
          <w:rFonts w:ascii="Arial" w:eastAsia="Arial" w:hAnsi="Arial" w:cs="Arial"/>
          <w:i/>
        </w:rPr>
        <w:t xml:space="preserve">Una memoria justificativa con el siguiente contenido mínimo: </w:t>
      </w:r>
    </w:p>
    <w:p w:rsidR="00FF384B" w:rsidRDefault="003E3BA9">
      <w:pPr>
        <w:spacing w:after="0"/>
        <w:ind w:left="100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Antecedentes. </w:t>
      </w:r>
    </w:p>
    <w:p w:rsidR="00FF384B" w:rsidRDefault="003E3BA9">
      <w:pPr>
        <w:spacing w:after="4" w:line="247" w:lineRule="auto"/>
        <w:ind w:left="278" w:right="244" w:hanging="10"/>
        <w:jc w:val="both"/>
      </w:pPr>
      <w:r>
        <w:rPr>
          <w:rFonts w:ascii="Arial" w:eastAsia="Arial" w:hAnsi="Arial" w:cs="Arial"/>
          <w:i/>
        </w:rPr>
        <w:t xml:space="preserve">Objetivos. </w:t>
      </w:r>
    </w:p>
    <w:p w:rsidR="00FF384B" w:rsidRDefault="003E3BA9">
      <w:pPr>
        <w:spacing w:after="4" w:line="247" w:lineRule="auto"/>
        <w:ind w:left="278" w:right="244" w:hanging="10"/>
        <w:jc w:val="both"/>
      </w:pPr>
      <w:r>
        <w:rPr>
          <w:rFonts w:ascii="Arial" w:eastAsia="Arial" w:hAnsi="Arial" w:cs="Arial"/>
          <w:i/>
        </w:rPr>
        <w:t xml:space="preserve">Compromisos que se adquieren. </w:t>
      </w:r>
    </w:p>
    <w:p w:rsidR="00FF384B" w:rsidRDefault="003E3BA9">
      <w:pPr>
        <w:spacing w:after="4" w:line="247" w:lineRule="auto"/>
        <w:ind w:left="278" w:right="244" w:hanging="10"/>
        <w:jc w:val="both"/>
      </w:pPr>
      <w:r>
        <w:rPr>
          <w:rFonts w:ascii="Arial" w:eastAsia="Arial" w:hAnsi="Arial" w:cs="Arial"/>
          <w:i/>
        </w:rPr>
        <w:t xml:space="preserve">Razones que motivan la concesión de la subvención. </w:t>
      </w:r>
    </w:p>
    <w:p w:rsidR="00FF384B" w:rsidRDefault="003E3BA9">
      <w:pPr>
        <w:spacing w:after="4" w:line="247" w:lineRule="auto"/>
        <w:ind w:left="278" w:right="244" w:hanging="10"/>
        <w:jc w:val="both"/>
      </w:pPr>
      <w:r>
        <w:rPr>
          <w:rFonts w:ascii="Arial" w:eastAsia="Arial" w:hAnsi="Arial" w:cs="Arial"/>
          <w:i/>
        </w:rPr>
        <w:t xml:space="preserve">Justificación detallada de las razones que acreditan el interés público, social, </w:t>
      </w:r>
      <w:r>
        <w:rPr>
          <w:rFonts w:ascii="Arial" w:eastAsia="Arial" w:hAnsi="Arial" w:cs="Arial"/>
          <w:i/>
        </w:rPr>
        <w:t xml:space="preserve">económico o humanitario. </w:t>
      </w:r>
    </w:p>
    <w:p w:rsidR="00FF384B" w:rsidRDefault="003E3BA9">
      <w:pPr>
        <w:spacing w:after="0"/>
        <w:ind w:left="283"/>
      </w:pPr>
      <w:r>
        <w:rPr>
          <w:rFonts w:ascii="Arial" w:eastAsia="Arial" w:hAnsi="Arial" w:cs="Arial"/>
          <w:i/>
        </w:rPr>
        <w:t xml:space="preserve"> </w:t>
      </w:r>
    </w:p>
    <w:p w:rsidR="00FF384B" w:rsidRDefault="003E3BA9">
      <w:pPr>
        <w:numPr>
          <w:ilvl w:val="0"/>
          <w:numId w:val="103"/>
        </w:numPr>
        <w:spacing w:after="4" w:line="247" w:lineRule="auto"/>
        <w:ind w:right="244" w:hanging="360"/>
        <w:jc w:val="both"/>
      </w:pPr>
      <w:r>
        <w:rPr>
          <w:rFonts w:ascii="Arial" w:eastAsia="Arial" w:hAnsi="Arial" w:cs="Arial"/>
          <w:i/>
        </w:rPr>
        <w:t xml:space="preserve">Una memoria económica en la que se detallen los efectos económicos y su forma de </w:t>
      </w:r>
    </w:p>
    <w:p w:rsidR="00FF384B" w:rsidRDefault="003E3BA9">
      <w:pPr>
        <w:spacing w:after="4" w:line="247" w:lineRule="auto"/>
        <w:ind w:left="278" w:right="244" w:hanging="10"/>
        <w:jc w:val="both"/>
      </w:pPr>
      <w:r>
        <w:rPr>
          <w:rFonts w:ascii="Arial" w:eastAsia="Arial" w:hAnsi="Arial" w:cs="Arial"/>
          <w:i/>
        </w:rPr>
        <w:t xml:space="preserve">financiación, indicando el coste total de la actividad a subvencionar, el </w:t>
      </w:r>
      <w:r>
        <w:rPr>
          <w:rFonts w:ascii="Arial" w:eastAsia="Arial" w:hAnsi="Arial" w:cs="Arial"/>
          <w:i/>
        </w:rPr>
        <w:t xml:space="preserve">importe de la subvención y aplicación presupuestaria a la que se imputa el gasto, así como, en su caso, el carácter plurianual y distribución temporal del mismo. </w:t>
      </w:r>
    </w:p>
    <w:p w:rsidR="00FF384B" w:rsidRDefault="003E3BA9">
      <w:pPr>
        <w:spacing w:after="129"/>
        <w:ind w:left="283"/>
      </w:pPr>
      <w:r>
        <w:rPr>
          <w:noProof/>
        </w:rPr>
        <mc:AlternateContent>
          <mc:Choice Requires="wpg">
            <w:drawing>
              <wp:anchor distT="0" distB="0" distL="114300" distR="114300" simplePos="0" relativeHeight="2517626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4642" name="Group 45464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423" name="Picture 22423"/>
                          <pic:cNvPicPr/>
                        </pic:nvPicPr>
                        <pic:blipFill>
                          <a:blip r:embed="rId62"/>
                          <a:stretch>
                            <a:fillRect/>
                          </a:stretch>
                        </pic:blipFill>
                        <pic:spPr>
                          <a:xfrm rot="-5399999">
                            <a:off x="-1720849" y="1720849"/>
                            <a:ext cx="3797300" cy="355601"/>
                          </a:xfrm>
                          <a:prstGeom prst="rect">
                            <a:avLst/>
                          </a:prstGeom>
                        </pic:spPr>
                      </pic:pic>
                      <wps:wsp>
                        <wps:cNvPr id="22424" name="Rectangle 2242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22425" name="Rectangle 2242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4642" style="width:41.2715pt;height:299pt;position:absolute;mso-position-horizontal-relative:page;mso-position-horizontal:absolute;margin-left:653.71pt;mso-position-vertical-relative:page;margin-top:512.92pt;" coordsize="5241,37973">
                <v:shape id="Picture 22423" style="position:absolute;width:37973;height:3556;left:-17208;top:17208;rotation:-89;" filled="f">
                  <v:imagedata r:id="rId63"/>
                </v:shape>
                <v:rect id="Rectangle 2242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42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353 </w:t>
                        </w:r>
                      </w:p>
                    </w:txbxContent>
                  </v:textbox>
                </v:rect>
                <w10:wrap type="square"/>
              </v:group>
            </w:pict>
          </mc:Fallback>
        </mc:AlternateContent>
      </w:r>
      <w:r>
        <w:rPr>
          <w:rFonts w:ascii="Arial" w:eastAsia="Arial" w:hAnsi="Arial" w:cs="Arial"/>
          <w:i/>
        </w:rPr>
        <w:t xml:space="preserve"> </w:t>
      </w:r>
    </w:p>
    <w:p w:rsidR="00FF384B" w:rsidRDefault="003E3BA9">
      <w:pPr>
        <w:spacing w:after="140" w:line="249" w:lineRule="auto"/>
        <w:ind w:left="268" w:right="240" w:firstLine="708"/>
        <w:jc w:val="both"/>
      </w:pPr>
      <w:r>
        <w:rPr>
          <w:rFonts w:ascii="Arial" w:eastAsia="Arial" w:hAnsi="Arial" w:cs="Arial"/>
          <w:b/>
          <w:i/>
          <w:color w:val="202020"/>
        </w:rPr>
        <w:t>El artículo 44 de la Ordenanza de Subvenciones, regula la Justificación mediante rendición de cuenta justificativa del gasto realizado, para todas la</w:t>
      </w:r>
      <w:r>
        <w:rPr>
          <w:rFonts w:ascii="Arial" w:eastAsia="Arial" w:hAnsi="Arial" w:cs="Arial"/>
          <w:b/>
          <w:i/>
          <w:color w:val="202020"/>
        </w:rPr>
        <w:t xml:space="preserve">s subvenciones directas o de concurrencia, con la excepción de las concedidas de forma directa y excepcional, por razones de interés público, social, económico o humanitario, señalando que: </w:t>
      </w:r>
    </w:p>
    <w:p w:rsidR="00FF384B" w:rsidRDefault="003E3BA9">
      <w:pPr>
        <w:numPr>
          <w:ilvl w:val="0"/>
          <w:numId w:val="104"/>
        </w:numPr>
        <w:spacing w:after="142" w:line="248" w:lineRule="auto"/>
        <w:ind w:right="244" w:hanging="10"/>
        <w:jc w:val="both"/>
      </w:pPr>
      <w:r>
        <w:rPr>
          <w:rFonts w:ascii="Arial" w:eastAsia="Arial" w:hAnsi="Arial" w:cs="Arial"/>
          <w:color w:val="202020"/>
        </w:rPr>
        <w:t>La cuenta justificativa que ha de rendirse ante el órgano concede</w:t>
      </w:r>
      <w:r>
        <w:rPr>
          <w:rFonts w:ascii="Arial" w:eastAsia="Arial" w:hAnsi="Arial" w:cs="Arial"/>
          <w:color w:val="202020"/>
        </w:rPr>
        <w:t>nte de la subvención, constituye un acto obligatorio del beneficiario o de la entidad colaboradora y consiste en la justificación del gasto realizado, bajo responsabilidad del declarante, mediante los justificantes directos del mismo. Se tratará de factura</w:t>
      </w:r>
      <w:r>
        <w:rPr>
          <w:rFonts w:ascii="Arial" w:eastAsia="Arial" w:hAnsi="Arial" w:cs="Arial"/>
          <w:color w:val="202020"/>
        </w:rPr>
        <w:t xml:space="preserve">s y demás documentos de valor probatorio equivalente, con validez en el tráfico jurídico mercantil o con eficacia administrativa, que permitan acreditar el cumplimiento del objeto de la subvención pública. </w:t>
      </w:r>
    </w:p>
    <w:p w:rsidR="00FF384B" w:rsidRDefault="003E3BA9">
      <w:pPr>
        <w:numPr>
          <w:ilvl w:val="0"/>
          <w:numId w:val="104"/>
        </w:numPr>
        <w:spacing w:after="142" w:line="248" w:lineRule="auto"/>
        <w:ind w:right="244" w:hanging="10"/>
        <w:jc w:val="both"/>
      </w:pPr>
      <w:r>
        <w:rPr>
          <w:rFonts w:ascii="Arial" w:eastAsia="Arial" w:hAnsi="Arial" w:cs="Arial"/>
          <w:color w:val="202020"/>
        </w:rPr>
        <w:t>La cuenta justificativa estará formada por la Mem</w:t>
      </w:r>
      <w:r>
        <w:rPr>
          <w:rFonts w:ascii="Arial" w:eastAsia="Arial" w:hAnsi="Arial" w:cs="Arial"/>
          <w:color w:val="202020"/>
        </w:rPr>
        <w:t xml:space="preserve">oria de evaluación de la actividad subvencionada llevada a cabo, consistente en la declaración detallada de las actividades realizadas que han sido financiadas con la subvención y su coste. El contenido de la memoria será, al menos: </w:t>
      </w:r>
    </w:p>
    <w:p w:rsidR="00FF384B" w:rsidRDefault="003E3BA9">
      <w:pPr>
        <w:numPr>
          <w:ilvl w:val="1"/>
          <w:numId w:val="104"/>
        </w:numPr>
        <w:spacing w:after="92" w:line="248" w:lineRule="auto"/>
        <w:ind w:right="244" w:hanging="247"/>
        <w:jc w:val="both"/>
      </w:pPr>
      <w:r>
        <w:rPr>
          <w:rFonts w:ascii="Arial" w:eastAsia="Arial" w:hAnsi="Arial" w:cs="Arial"/>
          <w:color w:val="202020"/>
        </w:rPr>
        <w:t>Una memoria de actuaci</w:t>
      </w:r>
      <w:r>
        <w:rPr>
          <w:rFonts w:ascii="Arial" w:eastAsia="Arial" w:hAnsi="Arial" w:cs="Arial"/>
          <w:color w:val="202020"/>
        </w:rPr>
        <w:t xml:space="preserve">ón justificativa del cumplimiento de las condiciones impuestas en la concesión de la subvención, con indicación de las actividades realizadas y de los resultados obtenidos. </w:t>
      </w:r>
    </w:p>
    <w:p w:rsidR="00FF384B" w:rsidRDefault="003E3BA9">
      <w:pPr>
        <w:numPr>
          <w:ilvl w:val="1"/>
          <w:numId w:val="104"/>
        </w:numPr>
        <w:spacing w:after="90" w:line="248" w:lineRule="auto"/>
        <w:ind w:right="244" w:hanging="247"/>
        <w:jc w:val="both"/>
      </w:pPr>
      <w:r>
        <w:rPr>
          <w:rFonts w:ascii="Arial" w:eastAsia="Arial" w:hAnsi="Arial" w:cs="Arial"/>
          <w:color w:val="202020"/>
        </w:rPr>
        <w:t xml:space="preserve">Una memoria económica justificativa del coste de las actividades realizadas. </w:t>
      </w:r>
    </w:p>
    <w:p w:rsidR="00FF384B" w:rsidRDefault="003E3BA9">
      <w:pPr>
        <w:spacing w:after="0"/>
        <w:ind w:left="991"/>
      </w:pPr>
      <w:r>
        <w:rPr>
          <w:rFonts w:ascii="Arial" w:eastAsia="Arial" w:hAnsi="Arial" w:cs="Arial"/>
          <w:color w:val="202020"/>
        </w:rPr>
        <w:t xml:space="preserve"> </w:t>
      </w:r>
    </w:p>
    <w:p w:rsidR="00FF384B" w:rsidRDefault="003E3BA9">
      <w:pPr>
        <w:spacing w:after="0" w:line="239" w:lineRule="auto"/>
        <w:ind w:left="998" w:right="75" w:hanging="10"/>
      </w:pPr>
      <w:r>
        <w:rPr>
          <w:rFonts w:ascii="Arial" w:eastAsia="Arial" w:hAnsi="Arial" w:cs="Arial"/>
          <w:color w:val="202020"/>
        </w:rPr>
        <w:t>Es decir, que en ambos casos se exige una Memoria Justificativa y una Memoria económica, diferenciándose algunos aspectos del contenido de las Memorias, por las singularidades</w:t>
      </w:r>
      <w:r>
        <w:rPr>
          <w:rFonts w:ascii="Arial" w:eastAsia="Arial" w:hAnsi="Arial" w:cs="Arial"/>
          <w:b/>
        </w:rPr>
        <w:t xml:space="preserve"> </w:t>
      </w:r>
      <w:r>
        <w:rPr>
          <w:rFonts w:ascii="Arial" w:eastAsia="Arial" w:hAnsi="Arial" w:cs="Arial"/>
        </w:rPr>
        <w:t>de las</w:t>
      </w:r>
      <w:r>
        <w:rPr>
          <w:rFonts w:ascii="Arial" w:eastAsia="Arial" w:hAnsi="Arial" w:cs="Arial"/>
          <w:b/>
        </w:rPr>
        <w:t xml:space="preserve"> </w:t>
      </w:r>
      <w:r>
        <w:rPr>
          <w:rFonts w:ascii="Arial" w:eastAsia="Arial" w:hAnsi="Arial" w:cs="Arial"/>
        </w:rPr>
        <w:t>Subvenciones concedidas de forma directa y excepcional, que deben acreditar razones de interés público, social, económico o humanitario.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4" w:line="247" w:lineRule="auto"/>
        <w:ind w:left="278" w:right="244" w:hanging="10"/>
        <w:jc w:val="both"/>
      </w:pPr>
      <w:r>
        <w:rPr>
          <w:rFonts w:ascii="Arial" w:eastAsia="Arial" w:hAnsi="Arial" w:cs="Arial"/>
          <w:b/>
          <w:i/>
        </w:rPr>
        <w:t xml:space="preserve">Alegación 7.- </w:t>
      </w:r>
      <w:r>
        <w:rPr>
          <w:rFonts w:ascii="Arial" w:eastAsia="Arial" w:hAnsi="Arial" w:cs="Arial"/>
          <w:i/>
        </w:rPr>
        <w:t>Artículo 28. Información de las subvenciones concedidas de forma directa.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3" w:line="246" w:lineRule="auto"/>
        <w:ind w:left="278" w:right="222" w:hanging="10"/>
      </w:pPr>
      <w:r>
        <w:rPr>
          <w:rFonts w:ascii="Arial" w:eastAsia="Arial" w:hAnsi="Arial" w:cs="Arial"/>
          <w:i/>
        </w:rPr>
        <w:t>1. Las Concejalías dele</w:t>
      </w:r>
      <w:r>
        <w:rPr>
          <w:rFonts w:ascii="Arial" w:eastAsia="Arial" w:hAnsi="Arial" w:cs="Arial"/>
          <w:i/>
        </w:rPr>
        <w:t xml:space="preserve">gadas… </w:t>
      </w:r>
      <w:r>
        <w:rPr>
          <w:rFonts w:ascii="Arial" w:eastAsia="Arial" w:hAnsi="Arial" w:cs="Arial"/>
          <w:b/>
          <w:i/>
        </w:rPr>
        <w:t xml:space="preserve">podrán remitir </w:t>
      </w:r>
      <w:r>
        <w:rPr>
          <w:rFonts w:ascii="Arial" w:eastAsia="Arial" w:hAnsi="Arial" w:cs="Arial"/>
          <w:i/>
        </w:rPr>
        <w:t xml:space="preserve">información, en su caso, sobre las subvenciones concedidas de forma directa. Consideramos que debe sustituirse por </w:t>
      </w:r>
      <w:r>
        <w:rPr>
          <w:rFonts w:ascii="Arial" w:eastAsia="Arial" w:hAnsi="Arial" w:cs="Arial"/>
          <w:b/>
          <w:i/>
        </w:rPr>
        <w:t>remitirán.</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5" w:line="247" w:lineRule="auto"/>
        <w:ind w:left="268" w:right="244" w:firstLine="708"/>
        <w:jc w:val="both"/>
      </w:pPr>
      <w:r>
        <w:rPr>
          <w:rFonts w:ascii="Arial" w:eastAsia="Arial" w:hAnsi="Arial" w:cs="Arial"/>
        </w:rPr>
        <w:t>Este Interventor, considera que, al no ser una obligación legal, prefiere mantener la expresión “podrán r</w:t>
      </w:r>
      <w:r>
        <w:rPr>
          <w:rFonts w:ascii="Arial" w:eastAsia="Arial" w:hAnsi="Arial" w:cs="Arial"/>
        </w:rPr>
        <w:t xml:space="preserve">emitir”.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b/>
          <w:i/>
        </w:rPr>
        <w:t xml:space="preserve">Alegación 8.- </w:t>
      </w:r>
      <w:r>
        <w:rPr>
          <w:rFonts w:ascii="Arial" w:eastAsia="Arial" w:hAnsi="Arial" w:cs="Arial"/>
          <w:i/>
          <w:color w:val="222222"/>
        </w:rPr>
        <w:t xml:space="preserve">El artículo 37 referido a Subcontrataciones solo establece requisitos cuando la actividad concertada con terceros sobrepase el 20% del importe de la subvención y dicho importe sea superior a 60000 €. Entendemos que subvenciones </w:t>
      </w:r>
      <w:r>
        <w:rPr>
          <w:rFonts w:ascii="Arial" w:eastAsia="Arial" w:hAnsi="Arial" w:cs="Arial"/>
          <w:i/>
          <w:color w:val="222222"/>
        </w:rPr>
        <w:t xml:space="preserve">mayores de 60.000€ tienen un carácter más que excepcional. Por ello </w:t>
      </w:r>
      <w:r>
        <w:rPr>
          <w:rFonts w:ascii="Arial" w:eastAsia="Arial" w:hAnsi="Arial" w:cs="Arial"/>
          <w:i/>
        </w:rPr>
        <w:t xml:space="preserve">creemos que los requisitos para la subcontratación deberían fijarse para importes mucho menores, al que recoge la Ordenanza proponemos que sea por valor no superior a los 14.999 €, límite </w:t>
      </w:r>
      <w:r>
        <w:rPr>
          <w:rFonts w:ascii="Arial" w:eastAsia="Arial" w:hAnsi="Arial" w:cs="Arial"/>
          <w:i/>
        </w:rPr>
        <w:t>actual de un contrato menor. Por encima de ese límite las subcontrataciones deberán justificarse con los requisitos establecidos.</w:t>
      </w:r>
      <w:r>
        <w:rPr>
          <w:rFonts w:ascii="Times New Roman" w:eastAsia="Times New Roman" w:hAnsi="Times New Roman" w:cs="Times New Roman"/>
          <w:sz w:val="24"/>
        </w:rPr>
        <w:t xml:space="preserve"> </w:t>
      </w:r>
    </w:p>
    <w:p w:rsidR="00FF384B" w:rsidRDefault="003E3BA9">
      <w:pPr>
        <w:spacing w:after="338"/>
        <w:ind w:left="283"/>
      </w:pPr>
      <w:r>
        <w:rPr>
          <w:noProof/>
        </w:rPr>
        <mc:AlternateContent>
          <mc:Choice Requires="wpg">
            <w:drawing>
              <wp:anchor distT="0" distB="0" distL="114300" distR="114300" simplePos="0" relativeHeight="2517637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4775" name="Group 45477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536" name="Picture 22536"/>
                          <pic:cNvPicPr/>
                        </pic:nvPicPr>
                        <pic:blipFill>
                          <a:blip r:embed="rId62"/>
                          <a:stretch>
                            <a:fillRect/>
                          </a:stretch>
                        </pic:blipFill>
                        <pic:spPr>
                          <a:xfrm rot="-5399999">
                            <a:off x="-1720849" y="1720849"/>
                            <a:ext cx="3797300" cy="355601"/>
                          </a:xfrm>
                          <a:prstGeom prst="rect">
                            <a:avLst/>
                          </a:prstGeom>
                        </pic:spPr>
                      </pic:pic>
                      <wps:wsp>
                        <wps:cNvPr id="22537" name="Rectangle 2253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538" name="Rectangle 2253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4775" style="width:41.2715pt;height:299pt;position:absolute;mso-position-horizontal-relative:page;mso-position-horizontal:absolute;margin-left:653.71pt;mso-position-vertical-relative:page;margin-top:512.92pt;" coordsize="5241,37973">
                <v:shape id="Picture 22536" style="position:absolute;width:37973;height:3556;left:-17208;top:17208;rotation:-89;" filled="f">
                  <v:imagedata r:id="rId63"/>
                </v:shape>
                <v:rect id="Rectangle 2253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53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353 </w:t>
                        </w:r>
                      </w:p>
                    </w:txbxContent>
                  </v:textbox>
                </v:rect>
                <w10:wrap type="square"/>
              </v:group>
            </w:pict>
          </mc:Fallback>
        </mc:AlternateContent>
      </w:r>
      <w:r>
        <w:rPr>
          <w:rFonts w:ascii="Arial" w:eastAsia="Arial" w:hAnsi="Arial" w:cs="Arial"/>
          <w:i/>
        </w:rPr>
        <w:t xml:space="preserve"> </w:t>
      </w:r>
    </w:p>
    <w:p w:rsidR="00FF384B" w:rsidRDefault="003E3BA9">
      <w:pPr>
        <w:spacing w:after="175" w:line="247" w:lineRule="auto"/>
        <w:ind w:left="268" w:right="244" w:firstLine="360"/>
        <w:jc w:val="both"/>
      </w:pPr>
      <w:r>
        <w:rPr>
          <w:rFonts w:ascii="Arial" w:eastAsia="Arial" w:hAnsi="Arial" w:cs="Arial"/>
        </w:rPr>
        <w:t>La subcontratación, está regulada en el Artículo 29 de la Ley General de Subvenciones que señala que el beneficiario únicamente podrá subcontratar, total o par</w:t>
      </w:r>
      <w:r>
        <w:rPr>
          <w:rFonts w:ascii="Arial" w:eastAsia="Arial" w:hAnsi="Arial" w:cs="Arial"/>
        </w:rPr>
        <w:t xml:space="preserve">cialmente, la actividad cuando la normativa reguladora de la subvención así lo prevea. La actividad subvencionada que el beneficiario subcontrate con terceros no excederá del porcentaje que se fije en las bases reguladoras de la subvención. En el supuesto </w:t>
      </w:r>
      <w:r>
        <w:rPr>
          <w:rFonts w:ascii="Arial" w:eastAsia="Arial" w:hAnsi="Arial" w:cs="Arial"/>
        </w:rPr>
        <w:t xml:space="preserve">de que tal previsión no figure, el beneficiario podrá subcontratar hasta un porcentaje que no exceda del 50 por ciento del importe de la actividad subvencionada. </w:t>
      </w:r>
    </w:p>
    <w:p w:rsidR="00FF384B" w:rsidRDefault="003E3BA9">
      <w:pPr>
        <w:spacing w:after="172" w:line="247" w:lineRule="auto"/>
        <w:ind w:left="268" w:right="244" w:firstLine="360"/>
        <w:jc w:val="both"/>
      </w:pPr>
      <w:r>
        <w:rPr>
          <w:rFonts w:ascii="Arial" w:eastAsia="Arial" w:hAnsi="Arial" w:cs="Arial"/>
        </w:rPr>
        <w:t>Cuando la actividad concertada con terceros exceda del 20 por ciento del importe de la subven</w:t>
      </w:r>
      <w:r>
        <w:rPr>
          <w:rFonts w:ascii="Arial" w:eastAsia="Arial" w:hAnsi="Arial" w:cs="Arial"/>
        </w:rPr>
        <w:t xml:space="preserve">ción y dicho importe sea superior a 60.000 euros, la subcontratación estará sometida al cumplimiento de determinados requisitos. </w:t>
      </w:r>
    </w:p>
    <w:p w:rsidR="00FF384B" w:rsidRDefault="003E3BA9">
      <w:pPr>
        <w:spacing w:after="172" w:line="247" w:lineRule="auto"/>
        <w:ind w:left="268" w:right="244" w:firstLine="360"/>
        <w:jc w:val="both"/>
      </w:pPr>
      <w:r>
        <w:rPr>
          <w:rFonts w:ascii="Arial" w:eastAsia="Arial" w:hAnsi="Arial" w:cs="Arial"/>
        </w:rPr>
        <w:t>El artículo 37 de la Ordenanza, transcribe el citado artículo de la Ley, pero se remite a las Convocatorias de cada Subvención</w:t>
      </w:r>
      <w:r>
        <w:rPr>
          <w:rFonts w:ascii="Arial" w:eastAsia="Arial" w:hAnsi="Arial" w:cs="Arial"/>
        </w:rPr>
        <w:t xml:space="preserve">, los requisitos, porcentajes o importes que podrán subcontratarse. </w:t>
      </w:r>
    </w:p>
    <w:p w:rsidR="00FF384B" w:rsidRDefault="003E3BA9">
      <w:pPr>
        <w:spacing w:after="0"/>
        <w:ind w:left="283"/>
      </w:pPr>
      <w:r>
        <w:rPr>
          <w:rFonts w:ascii="Arial" w:eastAsia="Arial" w:hAnsi="Arial" w:cs="Arial"/>
          <w:b/>
          <w:i/>
        </w:rPr>
        <w:t xml:space="preserve"> </w:t>
      </w:r>
    </w:p>
    <w:p w:rsidR="00FF384B" w:rsidRDefault="003E3BA9">
      <w:pPr>
        <w:spacing w:after="2" w:line="233" w:lineRule="auto"/>
        <w:ind w:left="278" w:right="242" w:hanging="10"/>
        <w:jc w:val="both"/>
      </w:pPr>
      <w:r>
        <w:rPr>
          <w:rFonts w:ascii="Arial" w:eastAsia="Arial" w:hAnsi="Arial" w:cs="Arial"/>
          <w:b/>
          <w:i/>
        </w:rPr>
        <w:t xml:space="preserve">Alegación 9.- </w:t>
      </w:r>
      <w:r>
        <w:rPr>
          <w:rFonts w:ascii="Arial" w:eastAsia="Arial" w:hAnsi="Arial" w:cs="Arial"/>
          <w:i/>
          <w:color w:val="222222"/>
        </w:rPr>
        <w:t xml:space="preserve">El artículo 41 establece el plazo de pago de dos meses solo para las subvenciones directas por razones humanitarias. Debería establecerse un plazo de pago también para el </w:t>
      </w:r>
      <w:r>
        <w:rPr>
          <w:rFonts w:ascii="Arial" w:eastAsia="Arial" w:hAnsi="Arial" w:cs="Arial"/>
          <w:i/>
          <w:color w:val="222222"/>
        </w:rPr>
        <w:t>resto de subvenciones.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color w:val="222222"/>
        </w:rPr>
        <w:t xml:space="preserve"> </w:t>
      </w:r>
    </w:p>
    <w:p w:rsidR="00FF384B" w:rsidRDefault="003E3BA9">
      <w:pPr>
        <w:spacing w:after="3" w:line="240" w:lineRule="auto"/>
        <w:ind w:left="268" w:right="240" w:firstLine="698"/>
        <w:jc w:val="both"/>
      </w:pPr>
      <w:r>
        <w:rPr>
          <w:rFonts w:ascii="Arial" w:eastAsia="Arial" w:hAnsi="Arial" w:cs="Arial"/>
          <w:color w:val="222222"/>
        </w:rPr>
        <w:t xml:space="preserve">Por la naturaleza de las subvenciones directas por razones humanitarias, entiende este interventor, que requiere un plazo más reducido, que otras de naturaleza distinta. </w:t>
      </w:r>
    </w:p>
    <w:p w:rsidR="00FF384B" w:rsidRDefault="003E3BA9">
      <w:pPr>
        <w:spacing w:after="0"/>
        <w:ind w:left="283"/>
      </w:pPr>
      <w:r>
        <w:rPr>
          <w:rFonts w:ascii="Arial" w:eastAsia="Arial" w:hAnsi="Arial" w:cs="Arial"/>
          <w:i/>
          <w:color w:val="222222"/>
        </w:rPr>
        <w:t xml:space="preserve"> </w:t>
      </w:r>
    </w:p>
    <w:p w:rsidR="00FF384B" w:rsidRDefault="003E3BA9">
      <w:pPr>
        <w:spacing w:after="0"/>
        <w:ind w:left="283"/>
      </w:pPr>
      <w:r>
        <w:rPr>
          <w:rFonts w:ascii="Arial" w:eastAsia="Arial" w:hAnsi="Arial" w:cs="Arial"/>
          <w:i/>
          <w:color w:val="222222"/>
        </w:rPr>
        <w:t xml:space="preserve"> </w:t>
      </w:r>
    </w:p>
    <w:p w:rsidR="00FF384B" w:rsidRDefault="003E3BA9">
      <w:pPr>
        <w:spacing w:after="2" w:line="233" w:lineRule="auto"/>
        <w:ind w:left="278" w:right="242" w:hanging="10"/>
        <w:jc w:val="both"/>
      </w:pPr>
      <w:r>
        <w:rPr>
          <w:rFonts w:ascii="Arial" w:eastAsia="Arial" w:hAnsi="Arial" w:cs="Arial"/>
          <w:b/>
          <w:i/>
        </w:rPr>
        <w:t xml:space="preserve">Alegación 10.- </w:t>
      </w:r>
      <w:r>
        <w:rPr>
          <w:rFonts w:ascii="Arial" w:eastAsia="Arial" w:hAnsi="Arial" w:cs="Arial"/>
          <w:i/>
        </w:rPr>
        <w:t xml:space="preserve">El </w:t>
      </w:r>
      <w:r>
        <w:rPr>
          <w:rFonts w:ascii="Arial" w:eastAsia="Arial" w:hAnsi="Arial" w:cs="Arial"/>
          <w:i/>
          <w:color w:val="222222"/>
        </w:rPr>
        <w:t xml:space="preserve">Artículo 53.1 tiene una redacción compleja pero, además, habla </w:t>
      </w:r>
      <w:r>
        <w:rPr>
          <w:rFonts w:ascii="Arial" w:eastAsia="Arial" w:hAnsi="Arial" w:cs="Arial"/>
          <w:b/>
          <w:i/>
          <w:color w:val="222222"/>
        </w:rPr>
        <w:t xml:space="preserve">de la actividad </w:t>
      </w:r>
      <w:r>
        <w:rPr>
          <w:rFonts w:ascii="Arial" w:eastAsia="Arial" w:hAnsi="Arial" w:cs="Arial"/>
          <w:i/>
          <w:color w:val="222222"/>
        </w:rPr>
        <w:t>lo que nos lleva a mayor confusión ¿y si es un proyecto que incluye varias actividades? ¿Y si es un estudio o una investigación?. Debería redactarse con más claridad este artícu</w:t>
      </w:r>
      <w:r>
        <w:rPr>
          <w:rFonts w:ascii="Arial" w:eastAsia="Arial" w:hAnsi="Arial" w:cs="Arial"/>
          <w:i/>
          <w:color w:val="222222"/>
        </w:rPr>
        <w:t>lo.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color w:val="222222"/>
        </w:rPr>
        <w:t xml:space="preserve"> </w:t>
      </w:r>
    </w:p>
    <w:p w:rsidR="00FF384B" w:rsidRDefault="003E3BA9">
      <w:pPr>
        <w:spacing w:after="3" w:line="240" w:lineRule="auto"/>
        <w:ind w:left="268" w:right="240" w:firstLine="698"/>
        <w:jc w:val="both"/>
      </w:pPr>
      <w:r>
        <w:rPr>
          <w:rFonts w:ascii="Arial" w:eastAsia="Arial" w:hAnsi="Arial" w:cs="Arial"/>
          <w:color w:val="222222"/>
        </w:rPr>
        <w:t xml:space="preserve">Entiende este Interventor, que usar el término de actividad, engloba los demás términos. </w:t>
      </w:r>
    </w:p>
    <w:p w:rsidR="00FF384B" w:rsidRDefault="003E3BA9">
      <w:pPr>
        <w:spacing w:after="0"/>
        <w:ind w:left="283"/>
      </w:pPr>
      <w:r>
        <w:rPr>
          <w:rFonts w:ascii="Arial" w:eastAsia="Arial" w:hAnsi="Arial" w:cs="Arial"/>
          <w:i/>
          <w:color w:val="222222"/>
        </w:rPr>
        <w:t xml:space="preserve"> </w:t>
      </w:r>
    </w:p>
    <w:p w:rsidR="00FF384B" w:rsidRDefault="003E3BA9">
      <w:pPr>
        <w:tabs>
          <w:tab w:val="center" w:pos="810"/>
          <w:tab w:val="center" w:pos="1770"/>
          <w:tab w:val="center" w:pos="2340"/>
          <w:tab w:val="center" w:pos="3111"/>
          <w:tab w:val="center" w:pos="4341"/>
          <w:tab w:val="center" w:pos="6030"/>
          <w:tab w:val="center" w:pos="7207"/>
          <w:tab w:val="center" w:pos="8156"/>
        </w:tabs>
        <w:spacing w:after="4" w:line="247" w:lineRule="auto"/>
      </w:pPr>
      <w:r>
        <w:tab/>
      </w:r>
      <w:r>
        <w:rPr>
          <w:rFonts w:ascii="Arial" w:eastAsia="Arial" w:hAnsi="Arial" w:cs="Arial"/>
          <w:b/>
          <w:i/>
        </w:rPr>
        <w:t xml:space="preserve">Alegación </w:t>
      </w:r>
      <w:r>
        <w:rPr>
          <w:rFonts w:ascii="Arial" w:eastAsia="Arial" w:hAnsi="Arial" w:cs="Arial"/>
          <w:b/>
          <w:i/>
        </w:rPr>
        <w:tab/>
        <w:t xml:space="preserve">11.- </w:t>
      </w:r>
      <w:r>
        <w:rPr>
          <w:rFonts w:ascii="Arial" w:eastAsia="Arial" w:hAnsi="Arial" w:cs="Arial"/>
          <w:b/>
          <w:i/>
        </w:rPr>
        <w:tab/>
      </w:r>
      <w:r>
        <w:rPr>
          <w:rFonts w:ascii="Arial" w:eastAsia="Arial" w:hAnsi="Arial" w:cs="Arial"/>
          <w:i/>
        </w:rPr>
        <w:t xml:space="preserve">EL </w:t>
      </w:r>
      <w:r>
        <w:rPr>
          <w:rFonts w:ascii="Arial" w:eastAsia="Arial" w:hAnsi="Arial" w:cs="Arial"/>
          <w:i/>
        </w:rPr>
        <w:tab/>
        <w:t xml:space="preserve">TÍTULO </w:t>
      </w:r>
      <w:r>
        <w:rPr>
          <w:rFonts w:ascii="Arial" w:eastAsia="Arial" w:hAnsi="Arial" w:cs="Arial"/>
          <w:i/>
        </w:rPr>
        <w:tab/>
        <w:t xml:space="preserve">SEGUNDO. </w:t>
      </w:r>
      <w:r>
        <w:rPr>
          <w:rFonts w:ascii="Arial" w:eastAsia="Arial" w:hAnsi="Arial" w:cs="Arial"/>
          <w:i/>
        </w:rPr>
        <w:tab/>
        <w:t xml:space="preserve">BENEFICIARIOS </w:t>
      </w:r>
      <w:r>
        <w:rPr>
          <w:rFonts w:ascii="Arial" w:eastAsia="Arial" w:hAnsi="Arial" w:cs="Arial"/>
          <w:i/>
        </w:rPr>
        <w:tab/>
        <w:t xml:space="preserve">Y </w:t>
      </w:r>
      <w:r>
        <w:rPr>
          <w:rFonts w:ascii="Arial" w:eastAsia="Arial" w:hAnsi="Arial" w:cs="Arial"/>
          <w:i/>
        </w:rPr>
        <w:tab/>
        <w:t xml:space="preserve">ENTIDADES </w:t>
      </w:r>
    </w:p>
    <w:p w:rsidR="00FF384B" w:rsidRDefault="003E3BA9">
      <w:pPr>
        <w:spacing w:after="4" w:line="247" w:lineRule="auto"/>
        <w:ind w:left="278" w:right="244" w:hanging="10"/>
        <w:jc w:val="both"/>
      </w:pPr>
      <w:r>
        <w:rPr>
          <w:rFonts w:ascii="Arial" w:eastAsia="Arial" w:hAnsi="Arial" w:cs="Arial"/>
          <w:i/>
        </w:rPr>
        <w:t>COLABORADORAS. CAPÍTULO I. De los beneficiarios. Requisitos y obligaciones. Entidades colaboradoras. Artículo 8. Beneficiarios. Punto 3: Cuando se prevea expresamente en las convocatorias, podrán acceder a la condición de beneficiario las agrupaciones de p</w:t>
      </w:r>
      <w:r>
        <w:rPr>
          <w:rFonts w:ascii="Arial" w:eastAsia="Arial" w:hAnsi="Arial" w:cs="Arial"/>
          <w:i/>
        </w:rPr>
        <w:t>ersonas físicas o jurídicas, públicas o privadas, las comunidades de bienes o cualquier otro tipo de unidad</w:t>
      </w:r>
      <w:r>
        <w:rPr>
          <w:rFonts w:ascii="Times New Roman" w:eastAsia="Times New Roman" w:hAnsi="Times New Roman" w:cs="Times New Roman"/>
          <w:sz w:val="24"/>
        </w:rPr>
        <w:t xml:space="preserve"> </w:t>
      </w:r>
    </w:p>
    <w:p w:rsidR="00FF384B" w:rsidRDefault="003E3BA9">
      <w:pPr>
        <w:spacing w:after="4" w:line="247" w:lineRule="auto"/>
        <w:ind w:left="278" w:right="244" w:hanging="10"/>
        <w:jc w:val="both"/>
      </w:pPr>
      <w:r>
        <w:rPr>
          <w:rFonts w:ascii="Arial" w:eastAsia="Arial" w:hAnsi="Arial" w:cs="Arial"/>
          <w:i/>
        </w:rPr>
        <w:t xml:space="preserve">económica o patrimonio separado que, aún careciendo de personalidad jurídica … sustituir </w:t>
      </w:r>
      <w:r>
        <w:rPr>
          <w:rFonts w:ascii="Arial" w:eastAsia="Arial" w:hAnsi="Arial" w:cs="Arial"/>
          <w:b/>
          <w:i/>
        </w:rPr>
        <w:t xml:space="preserve">puedan llevar </w:t>
      </w:r>
      <w:r>
        <w:rPr>
          <w:rFonts w:ascii="Arial" w:eastAsia="Arial" w:hAnsi="Arial" w:cs="Arial"/>
          <w:i/>
        </w:rPr>
        <w:t xml:space="preserve">por </w:t>
      </w:r>
      <w:r>
        <w:rPr>
          <w:rFonts w:ascii="Arial" w:eastAsia="Arial" w:hAnsi="Arial" w:cs="Arial"/>
          <w:b/>
          <w:i/>
        </w:rPr>
        <w:t xml:space="preserve">que lleven </w:t>
      </w:r>
      <w:r>
        <w:rPr>
          <w:rFonts w:ascii="Arial" w:eastAsia="Arial" w:hAnsi="Arial" w:cs="Arial"/>
          <w:i/>
        </w:rPr>
        <w:t>a cabo los proyectos, activid</w:t>
      </w:r>
      <w:r>
        <w:rPr>
          <w:rFonts w:ascii="Arial" w:eastAsia="Arial" w:hAnsi="Arial" w:cs="Arial"/>
          <w:i/>
        </w:rPr>
        <w:t>ades o comportamientos o se encuentren en la situación que motiva la concesión de la subvención.</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25" w:line="247" w:lineRule="auto"/>
        <w:ind w:left="268" w:right="244" w:firstLine="708"/>
        <w:jc w:val="both"/>
      </w:pPr>
      <w:r>
        <w:rPr>
          <w:noProof/>
        </w:rPr>
        <mc:AlternateContent>
          <mc:Choice Requires="wpg">
            <w:drawing>
              <wp:anchor distT="0" distB="0" distL="114300" distR="114300" simplePos="0" relativeHeight="2517647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4980" name="Group 4549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648" name="Picture 22648"/>
                          <pic:cNvPicPr/>
                        </pic:nvPicPr>
                        <pic:blipFill>
                          <a:blip r:embed="rId62"/>
                          <a:stretch>
                            <a:fillRect/>
                          </a:stretch>
                        </pic:blipFill>
                        <pic:spPr>
                          <a:xfrm rot="-5399999">
                            <a:off x="-1720849" y="1720849"/>
                            <a:ext cx="3797300" cy="355601"/>
                          </a:xfrm>
                          <a:prstGeom prst="rect">
                            <a:avLst/>
                          </a:prstGeom>
                        </pic:spPr>
                      </pic:pic>
                      <wps:wsp>
                        <wps:cNvPr id="22649" name="Rectangle 2264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650" name="Rectangle 2265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w:t>
                              </w:r>
                              <w:r>
                                <w:rPr>
                                  <w:rFonts w:ascii="Arial" w:eastAsia="Arial" w:hAnsi="Arial" w:cs="Arial"/>
                                  <w:sz w:val="12"/>
                                </w:rPr>
                                <w:t xml:space="preserve">a esPublico Gestiona | Página 103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4980" style="width:41.2715pt;height:299pt;position:absolute;mso-position-horizontal-relative:page;mso-position-horizontal:absolute;margin-left:653.71pt;mso-position-vertical-relative:page;margin-top:512.92pt;" coordsize="5241,37973">
                <v:shape id="Picture 22648" style="position:absolute;width:37973;height:3556;left:-17208;top:17208;rotation:-89;" filled="f">
                  <v:imagedata r:id="rId63"/>
                </v:shape>
                <v:rect id="Rectangle 2264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65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353 </w:t>
                        </w:r>
                      </w:p>
                    </w:txbxContent>
                  </v:textbox>
                </v:rect>
                <w10:wrap type="square"/>
              </v:group>
            </w:pict>
          </mc:Fallback>
        </mc:AlternateContent>
      </w:r>
      <w:r>
        <w:rPr>
          <w:rFonts w:ascii="Arial" w:eastAsia="Arial" w:hAnsi="Arial" w:cs="Arial"/>
        </w:rPr>
        <w:t xml:space="preserve">Se puede usar indistintamente ambos términos. No obstante, se recoge la expresión “pueda llevar” en el artículo 11.3 de la Ley General de Subvenciones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b/>
          <w:i/>
        </w:rPr>
        <w:t xml:space="preserve">Alegación 12.- </w:t>
      </w:r>
      <w:r>
        <w:rPr>
          <w:rFonts w:ascii="Arial" w:eastAsia="Arial" w:hAnsi="Arial" w:cs="Arial"/>
          <w:i/>
        </w:rPr>
        <w:t>En el Artículo 15.1 de Procedimientos de conc</w:t>
      </w:r>
      <w:r>
        <w:rPr>
          <w:rFonts w:ascii="Arial" w:eastAsia="Arial" w:hAnsi="Arial" w:cs="Arial"/>
          <w:i/>
        </w:rPr>
        <w:t>esión describe: El procedimiento ordinario de concesión de subvenciones se tramitará en régimen de concurrencia competitiva. ……. La Valoración de los proyectos deberá ser realizada por cada Concejalía, que elevará su propuesta al órgano concedente a través</w:t>
      </w:r>
      <w:r>
        <w:rPr>
          <w:rFonts w:ascii="Arial" w:eastAsia="Arial" w:hAnsi="Arial" w:cs="Arial"/>
          <w:i/>
        </w:rPr>
        <w:t xml:space="preserve"> del instructor. ¿Se refiere sólo a proyectos o también a actividades, investigaciones, etc, etc?</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5" w:line="247" w:lineRule="auto"/>
        <w:ind w:left="268" w:right="244" w:firstLine="708"/>
        <w:jc w:val="both"/>
      </w:pPr>
      <w:r>
        <w:rPr>
          <w:rFonts w:ascii="Arial" w:eastAsia="Arial" w:hAnsi="Arial" w:cs="Arial"/>
        </w:rPr>
        <w:t xml:space="preserve">Este Interventor usa de forma indistinta, en la Ordenanza, los conceptos de actividad, acción, proyecto o actuación, tal como se establece en la Ley.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b/>
          <w:i/>
        </w:rPr>
        <w:t xml:space="preserve">Alegación 13.- </w:t>
      </w:r>
      <w:r>
        <w:rPr>
          <w:rFonts w:ascii="Arial" w:eastAsia="Arial" w:hAnsi="Arial" w:cs="Arial"/>
          <w:i/>
        </w:rPr>
        <w:t>CAPÍTULO III. De régimen y procedimiento simplificado de concesión de subvenciones en concurrencia competitiva. Artículo 25. Aspectos específicos del procedimiento simplificado, F) La resolución provisional, que tendrá carácter definitivo, e</w:t>
      </w:r>
      <w:r>
        <w:rPr>
          <w:rFonts w:ascii="Arial" w:eastAsia="Arial" w:hAnsi="Arial" w:cs="Arial"/>
          <w:i/>
        </w:rPr>
        <w:t>n el caso de no presentar reclamaciones en el plazo de 10 días. Se debería concretar que son los días hábiles.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360"/>
        <w:jc w:val="both"/>
      </w:pPr>
      <w:r>
        <w:rPr>
          <w:rFonts w:ascii="Arial" w:eastAsia="Arial" w:hAnsi="Arial" w:cs="Arial"/>
        </w:rPr>
        <w:t xml:space="preserve">Conforme el artículo 30 de la Ley 39/2015 del Procedimiento Administrativo Común de las Administraciones Públicas, siempre que por Ley o en </w:t>
      </w:r>
      <w:r>
        <w:rPr>
          <w:rFonts w:ascii="Arial" w:eastAsia="Arial" w:hAnsi="Arial" w:cs="Arial"/>
        </w:rPr>
        <w:t>el Derecho de la Unión Europea no se exprese otro cómputo, cuando los plazos se señalen por días, se entiende que éstos son hábiles, excluyéndose del cómputo los sábados, los domingos y los declarados festivos.</w:t>
      </w:r>
      <w:r>
        <w:rPr>
          <w:rFonts w:ascii="Times New Roman" w:eastAsia="Times New Roman" w:hAnsi="Times New Roman" w:cs="Times New Roman"/>
          <w:sz w:val="24"/>
        </w:rPr>
        <w:t xml:space="preserve"> </w:t>
      </w:r>
    </w:p>
    <w:p w:rsidR="00FF384B" w:rsidRDefault="003E3BA9">
      <w:pPr>
        <w:spacing w:after="172" w:line="247" w:lineRule="auto"/>
        <w:ind w:left="268" w:right="244" w:firstLine="360"/>
        <w:jc w:val="both"/>
      </w:pPr>
      <w:r>
        <w:rPr>
          <w:rFonts w:ascii="Arial" w:eastAsia="Arial" w:hAnsi="Arial" w:cs="Arial"/>
        </w:rPr>
        <w:t>Cuando los plazos se hayan señalado por días</w:t>
      </w:r>
      <w:r>
        <w:rPr>
          <w:rFonts w:ascii="Arial" w:eastAsia="Arial" w:hAnsi="Arial" w:cs="Arial"/>
        </w:rPr>
        <w:t xml:space="preserve"> naturales por declararlo así una ley o por el Derecho de la Unión Europea, se hará constar esta circunstancia en las correspondientes notificaciones. </w:t>
      </w:r>
    </w:p>
    <w:p w:rsidR="00FF384B" w:rsidRDefault="003E3BA9">
      <w:pPr>
        <w:spacing w:after="174" w:line="247" w:lineRule="auto"/>
        <w:ind w:left="268" w:right="244" w:firstLine="360"/>
        <w:jc w:val="both"/>
      </w:pPr>
      <w:r>
        <w:rPr>
          <w:rFonts w:ascii="Arial" w:eastAsia="Arial" w:hAnsi="Arial" w:cs="Arial"/>
        </w:rPr>
        <w:t>Por ello, este Interventor informa desfavorablemente las alegaciones presentadas por el Grupo Mixto, con</w:t>
      </w:r>
      <w:r>
        <w:rPr>
          <w:rFonts w:ascii="Arial" w:eastAsia="Arial" w:hAnsi="Arial" w:cs="Arial"/>
        </w:rPr>
        <w:t>tra la Ordenanza General y Bases Reguladoras de Subvenciones, aprobadas inicialmente por el Pleno municipal, de fecha 26 de noviembre de 2020 y publicado en el BOP de 14 de diciembre.</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spacing w:after="101" w:line="247" w:lineRule="auto"/>
        <w:ind w:left="1001" w:right="244" w:hanging="10"/>
        <w:jc w:val="both"/>
      </w:pPr>
      <w:r>
        <w:rPr>
          <w:rFonts w:ascii="Arial" w:eastAsia="Arial" w:hAnsi="Arial" w:cs="Arial"/>
        </w:rPr>
        <w:t>Esta Concejalía delegada de Hacienda PROPONE:</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b/>
        </w:rPr>
        <w:t>PRIMERO.</w:t>
      </w:r>
      <w:r>
        <w:rPr>
          <w:rFonts w:ascii="Arial" w:eastAsia="Arial" w:hAnsi="Arial" w:cs="Arial"/>
        </w:rPr>
        <w:t xml:space="preserve"> Aprobar defini</w:t>
      </w:r>
      <w:r>
        <w:rPr>
          <w:rFonts w:ascii="Arial" w:eastAsia="Arial" w:hAnsi="Arial" w:cs="Arial"/>
        </w:rPr>
        <w:t>tivamente la ORDENANZA GENERAL MUNICIPAL Y BASES REGULADORAS DE SUBVENCIONES DEL AYUNTAMIENTO DE CANDELARIA, con la redacción, que a continuación se detalla:</w:t>
      </w:r>
      <w:r>
        <w:rPr>
          <w:rFonts w:ascii="Times New Roman" w:eastAsia="Times New Roman" w:hAnsi="Times New Roman" w:cs="Times New Roman"/>
          <w:sz w:val="24"/>
        </w:rPr>
        <w:t xml:space="preserve"> </w:t>
      </w:r>
    </w:p>
    <w:p w:rsidR="00FF384B" w:rsidRDefault="003E3BA9">
      <w:pPr>
        <w:spacing w:after="275"/>
        <w:ind w:left="283"/>
      </w:pPr>
      <w:r>
        <w:rPr>
          <w:rFonts w:ascii="Arial" w:eastAsia="Arial" w:hAnsi="Arial" w:cs="Arial"/>
        </w:rPr>
        <w:t xml:space="preserve"> </w:t>
      </w:r>
    </w:p>
    <w:p w:rsidR="00FF384B" w:rsidRDefault="003E3BA9">
      <w:pPr>
        <w:pStyle w:val="Ttulo1"/>
        <w:spacing w:after="131" w:line="259" w:lineRule="auto"/>
        <w:ind w:left="26" w:firstLine="0"/>
      </w:pPr>
      <w:r>
        <w:rPr>
          <w:color w:val="202020"/>
        </w:rPr>
        <w:t xml:space="preserve">EXPOSICIÓN DE MOTIVOS </w:t>
      </w:r>
    </w:p>
    <w:p w:rsidR="00FF384B" w:rsidRDefault="003E3BA9">
      <w:pPr>
        <w:spacing w:after="142" w:line="248" w:lineRule="auto"/>
        <w:ind w:left="268" w:right="244" w:firstLine="708"/>
        <w:jc w:val="both"/>
      </w:pPr>
      <w:r>
        <w:rPr>
          <w:noProof/>
        </w:rPr>
        <mc:AlternateContent>
          <mc:Choice Requires="wpg">
            <w:drawing>
              <wp:anchor distT="0" distB="0" distL="114300" distR="114300" simplePos="0" relativeHeight="2517657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5153" name="Group 45515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773" name="Picture 22773"/>
                          <pic:cNvPicPr/>
                        </pic:nvPicPr>
                        <pic:blipFill>
                          <a:blip r:embed="rId62"/>
                          <a:stretch>
                            <a:fillRect/>
                          </a:stretch>
                        </pic:blipFill>
                        <pic:spPr>
                          <a:xfrm rot="-5399999">
                            <a:off x="-1720849" y="1720849"/>
                            <a:ext cx="3797300" cy="355601"/>
                          </a:xfrm>
                          <a:prstGeom prst="rect">
                            <a:avLst/>
                          </a:prstGeom>
                        </pic:spPr>
                      </pic:pic>
                      <wps:wsp>
                        <wps:cNvPr id="22774" name="Rectangle 227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775" name="Rectangle 2277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5153" style="width:41.2715pt;height:299pt;position:absolute;mso-position-horizontal-relative:page;mso-position-horizontal:absolute;margin-left:653.71pt;mso-position-vertical-relative:page;margin-top:512.92pt;" coordsize="5241,37973">
                <v:shape id="Picture 22773" style="position:absolute;width:37973;height:3556;left:-17208;top:17208;rotation:-89;" filled="f">
                  <v:imagedata r:id="rId63"/>
                </v:shape>
                <v:rect id="Rectangle 227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77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353 </w:t>
                        </w:r>
                      </w:p>
                    </w:txbxContent>
                  </v:textbox>
                </v:rect>
                <w10:wrap type="square"/>
              </v:group>
            </w:pict>
          </mc:Fallback>
        </mc:AlternateContent>
      </w:r>
      <w:r>
        <w:rPr>
          <w:rFonts w:ascii="Arial" w:eastAsia="Arial" w:hAnsi="Arial" w:cs="Arial"/>
          <w:color w:val="202020"/>
        </w:rPr>
        <w:t>Una parte importante de la actividad económica del sector púb</w:t>
      </w:r>
      <w:r>
        <w:rPr>
          <w:rFonts w:ascii="Arial" w:eastAsia="Arial" w:hAnsi="Arial" w:cs="Arial"/>
          <w:color w:val="202020"/>
        </w:rPr>
        <w:t>lico y de su labor de fomento y promoción se canaliza a través de subvenciones, con el objeto de dar respuesta, con medidas de apoyo financiero, a demandas sociales y económicas de personas y entidades públicas o privadas. De forma que, de manera regular y</w:t>
      </w:r>
      <w:r>
        <w:rPr>
          <w:rFonts w:ascii="Arial" w:eastAsia="Arial" w:hAnsi="Arial" w:cs="Arial"/>
          <w:color w:val="202020"/>
        </w:rPr>
        <w:t xml:space="preserve"> con una tendencia casi siempre al alza, las Administraciones Públicas -y entre ellas no ha sido una excepción el Ayuntamiento de Candelaria-, vienen destinando importantes recursos a la acción de fomento, entendida en algunos casos como una manifestación </w:t>
      </w:r>
      <w:r>
        <w:rPr>
          <w:rFonts w:ascii="Arial" w:eastAsia="Arial" w:hAnsi="Arial" w:cs="Arial"/>
          <w:color w:val="202020"/>
        </w:rPr>
        <w:t>del Estado del bienestar, a través de ayudas de carácter asistencial o como expresión de la solidaridad entre la ciudadanía, en otros como promoción de determinadas actividades privadas a las que se atribuye un interés público, y finalmente como forma de f</w:t>
      </w:r>
      <w:r>
        <w:rPr>
          <w:rFonts w:ascii="Arial" w:eastAsia="Arial" w:hAnsi="Arial" w:cs="Arial"/>
          <w:color w:val="202020"/>
        </w:rPr>
        <w:t xml:space="preserve">avorecer la participación ciudadana, una exigencia del Estado social y democrático de derecho. </w:t>
      </w:r>
    </w:p>
    <w:p w:rsidR="00FF384B" w:rsidRDefault="003E3BA9">
      <w:pPr>
        <w:spacing w:after="142" w:line="248" w:lineRule="auto"/>
        <w:ind w:left="268" w:right="244" w:firstLine="708"/>
        <w:jc w:val="both"/>
      </w:pPr>
      <w:r>
        <w:rPr>
          <w:rFonts w:ascii="Arial" w:eastAsia="Arial" w:hAnsi="Arial" w:cs="Arial"/>
          <w:color w:val="202020"/>
        </w:rPr>
        <w:t>Los beneficiarios de esta acción pública, que en su modalidad más conocida se manifiesta a través de la técnica de la subvención, pueden ser personas individual</w:t>
      </w:r>
      <w:r>
        <w:rPr>
          <w:rFonts w:ascii="Arial" w:eastAsia="Arial" w:hAnsi="Arial" w:cs="Arial"/>
          <w:color w:val="202020"/>
        </w:rPr>
        <w:t>es o, más frecuentemente, grupos organizados en asociaciones, colectivos, entidades sin ánimo de lucro, organizaciones no gubernamentales, fundaciones o incluso empresas. Los ámbitos de actuación son muy diversos y van desde la acción social al deporte, de</w:t>
      </w:r>
      <w:r>
        <w:rPr>
          <w:rFonts w:ascii="Arial" w:eastAsia="Arial" w:hAnsi="Arial" w:cs="Arial"/>
          <w:color w:val="202020"/>
        </w:rPr>
        <w:t xml:space="preserve">sde la educación y la cultura, del medio ambiente, además de actividades puntuales que los poderes públicos consideran conveniente promover en desarrollo de políticas generales o sectoriales concretas. </w:t>
      </w:r>
    </w:p>
    <w:p w:rsidR="00FF384B" w:rsidRDefault="003E3BA9">
      <w:pPr>
        <w:spacing w:after="142" w:line="248" w:lineRule="auto"/>
        <w:ind w:left="268" w:right="244" w:firstLine="708"/>
        <w:jc w:val="both"/>
      </w:pPr>
      <w:r>
        <w:rPr>
          <w:rFonts w:ascii="Arial" w:eastAsia="Arial" w:hAnsi="Arial" w:cs="Arial"/>
          <w:color w:val="202020"/>
        </w:rPr>
        <w:t>Para regular esta situación, adaptada a la ley genera</w:t>
      </w:r>
      <w:r>
        <w:rPr>
          <w:rFonts w:ascii="Arial" w:eastAsia="Arial" w:hAnsi="Arial" w:cs="Arial"/>
          <w:color w:val="202020"/>
        </w:rPr>
        <w:t xml:space="preserve">l de subvenciones, se elabora la presente Ordenanza General Municipal de Subvenciones, que se ampara, entre otras, en la siguiente normativa: </w:t>
      </w:r>
    </w:p>
    <w:p w:rsidR="00FF384B" w:rsidRDefault="003E3BA9">
      <w:pPr>
        <w:numPr>
          <w:ilvl w:val="0"/>
          <w:numId w:val="105"/>
        </w:numPr>
        <w:spacing w:after="92" w:line="248" w:lineRule="auto"/>
        <w:ind w:right="244" w:hanging="259"/>
        <w:jc w:val="both"/>
      </w:pPr>
      <w:r>
        <w:rPr>
          <w:rFonts w:ascii="Arial" w:eastAsia="Arial" w:hAnsi="Arial" w:cs="Arial"/>
          <w:color w:val="202020"/>
        </w:rPr>
        <w:t xml:space="preserve">Ley 38/2003, de 17 de noviembre, General de Subvenciones, como normativa básica estatal. </w:t>
      </w:r>
    </w:p>
    <w:p w:rsidR="00FF384B" w:rsidRDefault="003E3BA9">
      <w:pPr>
        <w:numPr>
          <w:ilvl w:val="0"/>
          <w:numId w:val="105"/>
        </w:numPr>
        <w:spacing w:after="292" w:line="247" w:lineRule="auto"/>
        <w:ind w:right="244" w:hanging="259"/>
        <w:jc w:val="both"/>
      </w:pPr>
      <w:r>
        <w:rPr>
          <w:rFonts w:ascii="Arial" w:eastAsia="Arial" w:hAnsi="Arial" w:cs="Arial"/>
        </w:rPr>
        <w:t xml:space="preserve">Decreto 36/2009, de 31 </w:t>
      </w:r>
      <w:r>
        <w:rPr>
          <w:rFonts w:ascii="Arial" w:eastAsia="Arial" w:hAnsi="Arial" w:cs="Arial"/>
        </w:rPr>
        <w:t>de marzo, por el que se establece el régimen general de subvenciones de la Comunidad Autónoma de Canarias.</w:t>
      </w:r>
      <w:r>
        <w:rPr>
          <w:rFonts w:ascii="Times New Roman" w:eastAsia="Times New Roman" w:hAnsi="Times New Roman" w:cs="Times New Roman"/>
          <w:sz w:val="24"/>
        </w:rPr>
        <w:t xml:space="preserve"> </w:t>
      </w:r>
    </w:p>
    <w:p w:rsidR="00FF384B" w:rsidRDefault="003E3BA9">
      <w:pPr>
        <w:numPr>
          <w:ilvl w:val="0"/>
          <w:numId w:val="105"/>
        </w:numPr>
        <w:spacing w:after="12" w:line="249" w:lineRule="auto"/>
        <w:ind w:right="244" w:hanging="259"/>
        <w:jc w:val="both"/>
      </w:pPr>
      <w:r>
        <w:rPr>
          <w:rFonts w:ascii="Arial" w:eastAsia="Arial" w:hAnsi="Arial" w:cs="Arial"/>
          <w:color w:val="202020"/>
        </w:rPr>
        <w:t xml:space="preserve">Real </w:t>
      </w:r>
      <w:r>
        <w:rPr>
          <w:rFonts w:ascii="Arial" w:eastAsia="Arial" w:hAnsi="Arial" w:cs="Arial"/>
        </w:rPr>
        <w:t xml:space="preserve">Decreto 887/2006 de 21 de julio, por el que se aprueba el Reglamento </w:t>
      </w:r>
    </w:p>
    <w:p w:rsidR="00FF384B" w:rsidRDefault="003E3BA9">
      <w:pPr>
        <w:spacing w:after="172" w:line="247" w:lineRule="auto"/>
        <w:ind w:left="1001" w:right="244" w:hanging="10"/>
        <w:jc w:val="both"/>
      </w:pPr>
      <w:r>
        <w:rPr>
          <w:rFonts w:ascii="Arial" w:eastAsia="Arial" w:hAnsi="Arial" w:cs="Arial"/>
        </w:rPr>
        <w:t>de la Ley 38/2003, de 17 de noviembre, General de Subvenciones</w:t>
      </w:r>
      <w:r>
        <w:rPr>
          <w:sz w:val="26"/>
        </w:rPr>
        <w:t xml:space="preserve"> </w:t>
      </w:r>
    </w:p>
    <w:p w:rsidR="00FF384B" w:rsidRDefault="003E3BA9">
      <w:pPr>
        <w:spacing w:after="142" w:line="248" w:lineRule="auto"/>
        <w:ind w:left="268" w:right="244" w:firstLine="360"/>
        <w:jc w:val="both"/>
      </w:pPr>
      <w:r>
        <w:rPr>
          <w:rFonts w:ascii="Arial" w:eastAsia="Arial" w:hAnsi="Arial" w:cs="Arial"/>
          <w:color w:val="202020"/>
        </w:rPr>
        <w:t xml:space="preserve">Esta Ordenanza General de subvenciones, trata de ser el marco normativo de referencia de casi la totalidad de las subvenciones municipales de muy variada tipología y diferentes objetivos concedidas anualmente: desde las subvenciones de carácter social, al </w:t>
      </w:r>
      <w:r>
        <w:rPr>
          <w:rFonts w:ascii="Arial" w:eastAsia="Arial" w:hAnsi="Arial" w:cs="Arial"/>
          <w:color w:val="202020"/>
        </w:rPr>
        <w:t xml:space="preserve">apoyo a los clubes deportivos, o el funcionamiento de una parte importante de la estructura asociativa y vecinal de la ciudad. </w:t>
      </w:r>
    </w:p>
    <w:p w:rsidR="00FF384B" w:rsidRDefault="003E3BA9">
      <w:pPr>
        <w:spacing w:after="142" w:line="248" w:lineRule="auto"/>
        <w:ind w:left="268" w:right="244" w:firstLine="360"/>
        <w:jc w:val="both"/>
      </w:pPr>
      <w:r>
        <w:rPr>
          <w:rFonts w:ascii="Arial" w:eastAsia="Arial" w:hAnsi="Arial" w:cs="Arial"/>
          <w:color w:val="202020"/>
        </w:rPr>
        <w:t xml:space="preserve">En cuanto a los aspectos técnicos, se propone una redacción que incluye dentro de la Ordenanza la remisión en muchos aspectos ya regulados en la legislación estatal y autonómica, que en todo caso resultarán aplicables a las subvenciones municipales. </w:t>
      </w:r>
    </w:p>
    <w:p w:rsidR="00FF384B" w:rsidRDefault="003E3BA9">
      <w:pPr>
        <w:spacing w:after="278"/>
        <w:ind w:left="643"/>
      </w:pPr>
      <w:r>
        <w:rPr>
          <w:rFonts w:ascii="Arial" w:eastAsia="Arial" w:hAnsi="Arial" w:cs="Arial"/>
          <w:color w:val="202020"/>
        </w:rPr>
        <w:t xml:space="preserve"> </w:t>
      </w:r>
    </w:p>
    <w:p w:rsidR="00FF384B" w:rsidRDefault="003E3BA9">
      <w:pPr>
        <w:spacing w:after="287" w:line="249" w:lineRule="auto"/>
        <w:ind w:left="278" w:hanging="10"/>
      </w:pPr>
      <w:r>
        <w:rPr>
          <w:rFonts w:ascii="Arial" w:eastAsia="Arial" w:hAnsi="Arial" w:cs="Arial"/>
          <w:b/>
          <w:color w:val="202020"/>
        </w:rPr>
        <w:t>TÍT</w:t>
      </w:r>
      <w:r>
        <w:rPr>
          <w:rFonts w:ascii="Arial" w:eastAsia="Arial" w:hAnsi="Arial" w:cs="Arial"/>
          <w:b/>
          <w:color w:val="202020"/>
        </w:rPr>
        <w:t xml:space="preserve">ULO PRIMERO. DISPOSICIONES GENERALES </w:t>
      </w:r>
    </w:p>
    <w:p w:rsidR="00FF384B" w:rsidRDefault="003E3BA9">
      <w:pPr>
        <w:spacing w:after="140" w:line="249" w:lineRule="auto"/>
        <w:ind w:left="278" w:hanging="10"/>
      </w:pPr>
      <w:r>
        <w:rPr>
          <w:rFonts w:ascii="Arial" w:eastAsia="Arial" w:hAnsi="Arial" w:cs="Arial"/>
          <w:b/>
          <w:color w:val="202020"/>
        </w:rPr>
        <w:t xml:space="preserve">CAPÍTULO I. Objeto, concepto de subvención y ámbito subjetivo de aplicación. </w:t>
      </w:r>
    </w:p>
    <w:p w:rsidR="00FF384B" w:rsidRDefault="003E3BA9">
      <w:pPr>
        <w:spacing w:after="140" w:line="249" w:lineRule="auto"/>
        <w:ind w:left="278" w:hanging="10"/>
      </w:pPr>
      <w:r>
        <w:rPr>
          <w:rFonts w:ascii="Arial" w:eastAsia="Arial" w:hAnsi="Arial" w:cs="Arial"/>
          <w:b/>
          <w:color w:val="202020"/>
        </w:rPr>
        <w:t xml:space="preserve">Artículo 1. Objeto de la ordenanza y concepto de subvención. </w:t>
      </w:r>
    </w:p>
    <w:p w:rsidR="00FF384B" w:rsidRDefault="003E3BA9">
      <w:pPr>
        <w:numPr>
          <w:ilvl w:val="0"/>
          <w:numId w:val="106"/>
        </w:numPr>
        <w:spacing w:after="142" w:line="248" w:lineRule="auto"/>
        <w:ind w:right="244" w:hanging="10"/>
        <w:jc w:val="both"/>
      </w:pPr>
      <w:r>
        <w:rPr>
          <w:rFonts w:ascii="Arial" w:eastAsia="Arial" w:hAnsi="Arial" w:cs="Arial"/>
          <w:color w:val="202020"/>
        </w:rPr>
        <w:t>Esta Ordenanza tiene por objeto la regulación del régimen jurídico general y l</w:t>
      </w:r>
      <w:r>
        <w:rPr>
          <w:rFonts w:ascii="Arial" w:eastAsia="Arial" w:hAnsi="Arial" w:cs="Arial"/>
          <w:color w:val="202020"/>
        </w:rPr>
        <w:t xml:space="preserve">as bases reguladoras de las subvenciones otorgadas por el Ayuntamiento de Candelaria. </w:t>
      </w:r>
    </w:p>
    <w:p w:rsidR="00FF384B" w:rsidRDefault="003E3BA9">
      <w:pPr>
        <w:numPr>
          <w:ilvl w:val="0"/>
          <w:numId w:val="106"/>
        </w:numPr>
        <w:spacing w:after="142" w:line="248" w:lineRule="auto"/>
        <w:ind w:right="244" w:hanging="10"/>
        <w:jc w:val="both"/>
      </w:pPr>
      <w:r>
        <w:rPr>
          <w:noProof/>
        </w:rPr>
        <mc:AlternateContent>
          <mc:Choice Requires="wpg">
            <w:drawing>
              <wp:anchor distT="0" distB="0" distL="114300" distR="114300" simplePos="0" relativeHeight="2517667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4560" name="Group 45456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2894" name="Picture 22894"/>
                          <pic:cNvPicPr/>
                        </pic:nvPicPr>
                        <pic:blipFill>
                          <a:blip r:embed="rId62"/>
                          <a:stretch>
                            <a:fillRect/>
                          </a:stretch>
                        </pic:blipFill>
                        <pic:spPr>
                          <a:xfrm rot="-5399999">
                            <a:off x="-1720849" y="1720849"/>
                            <a:ext cx="3797300" cy="355601"/>
                          </a:xfrm>
                          <a:prstGeom prst="rect">
                            <a:avLst/>
                          </a:prstGeom>
                        </pic:spPr>
                      </pic:pic>
                      <wps:wsp>
                        <wps:cNvPr id="22895" name="Rectangle 2289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2896" name="Rectangle 2289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w:t>
                              </w:r>
                              <w:r>
                                <w:rPr>
                                  <w:rFonts w:ascii="Arial" w:eastAsia="Arial" w:hAnsi="Arial" w:cs="Arial"/>
                                  <w:sz w:val="12"/>
                                </w:rPr>
                                <w:t xml:space="preserve">estiona | Página 105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4560" style="width:41.2715pt;height:299pt;position:absolute;mso-position-horizontal-relative:page;mso-position-horizontal:absolute;margin-left:653.71pt;mso-position-vertical-relative:page;margin-top:512.92pt;" coordsize="5241,37973">
                <v:shape id="Picture 22894" style="position:absolute;width:37973;height:3556;left:-17208;top:17208;rotation:-89;" filled="f">
                  <v:imagedata r:id="rId63"/>
                </v:shape>
                <v:rect id="Rectangle 2289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289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353 </w:t>
                        </w:r>
                      </w:p>
                    </w:txbxContent>
                  </v:textbox>
                </v:rect>
                <w10:wrap type="square"/>
              </v:group>
            </w:pict>
          </mc:Fallback>
        </mc:AlternateContent>
      </w:r>
      <w:r>
        <w:rPr>
          <w:rFonts w:ascii="Arial" w:eastAsia="Arial" w:hAnsi="Arial" w:cs="Arial"/>
          <w:color w:val="202020"/>
        </w:rPr>
        <w:t>Se entiende por subvención, a los efectos de esta Ordenanza, toda disposición dineraria realizada por el Ayuntamiento de Candelaria, con cargo al Presupuesto General, a favor de personas públicas o privadas, o entes sin persona</w:t>
      </w:r>
      <w:r>
        <w:rPr>
          <w:rFonts w:ascii="Arial" w:eastAsia="Arial" w:hAnsi="Arial" w:cs="Arial"/>
          <w:color w:val="202020"/>
        </w:rPr>
        <w:t xml:space="preserve">lidad jurídica, que cumplan los requisitos legalmente establecidos, a saber:  </w:t>
      </w:r>
    </w:p>
    <w:p w:rsidR="00FF384B" w:rsidRDefault="003E3BA9">
      <w:pPr>
        <w:spacing w:after="129"/>
        <w:ind w:left="283"/>
      </w:pPr>
      <w:r>
        <w:rPr>
          <w:rFonts w:ascii="Arial" w:eastAsia="Arial" w:hAnsi="Arial" w:cs="Arial"/>
          <w:color w:val="202020"/>
        </w:rPr>
        <w:t xml:space="preserve">  </w:t>
      </w:r>
    </w:p>
    <w:p w:rsidR="00FF384B" w:rsidRDefault="003E3BA9">
      <w:pPr>
        <w:numPr>
          <w:ilvl w:val="0"/>
          <w:numId w:val="107"/>
        </w:numPr>
        <w:spacing w:after="142" w:line="248" w:lineRule="auto"/>
        <w:ind w:right="244" w:hanging="257"/>
        <w:jc w:val="both"/>
      </w:pPr>
      <w:r>
        <w:rPr>
          <w:rFonts w:ascii="Arial" w:eastAsia="Arial" w:hAnsi="Arial" w:cs="Arial"/>
          <w:color w:val="202020"/>
        </w:rPr>
        <w:t xml:space="preserve">Que la entrega se realice sin contraprestación directa de los beneficiarios.   </w:t>
      </w:r>
    </w:p>
    <w:p w:rsidR="00FF384B" w:rsidRDefault="003E3BA9">
      <w:pPr>
        <w:numPr>
          <w:ilvl w:val="0"/>
          <w:numId w:val="107"/>
        </w:numPr>
        <w:spacing w:after="142" w:line="248" w:lineRule="auto"/>
        <w:ind w:right="244" w:hanging="257"/>
        <w:jc w:val="both"/>
      </w:pPr>
      <w:r>
        <w:rPr>
          <w:rFonts w:ascii="Arial" w:eastAsia="Arial" w:hAnsi="Arial" w:cs="Arial"/>
          <w:color w:val="202020"/>
        </w:rPr>
        <w:t>Que la entrega esté sujeta al cumplimiento de un determinado objetivo, la ejecución de un proy</w:t>
      </w:r>
      <w:r>
        <w:rPr>
          <w:rFonts w:ascii="Arial" w:eastAsia="Arial" w:hAnsi="Arial" w:cs="Arial"/>
          <w:color w:val="202020"/>
        </w:rPr>
        <w:t>ecto, la realización de una actividad, la adopción de un comportamiento singular, ya realizados o por desarrollar, o la concurrencia de una situación, debiendo el beneficiario cumplir las obligaciones materiales y formales que se hubieran establecido.    c</w:t>
      </w:r>
      <w:r>
        <w:rPr>
          <w:rFonts w:ascii="Arial" w:eastAsia="Arial" w:hAnsi="Arial" w:cs="Arial"/>
          <w:color w:val="202020"/>
        </w:rPr>
        <w:t xml:space="preserve">) Que el proyecto, la acción, conducta o situación financiada tenga por objeto el fomento de una actividad de utilidad pública o interés social o de promoción de una finalidad pública.   </w:t>
      </w:r>
    </w:p>
    <w:p w:rsidR="00FF384B" w:rsidRDefault="003E3BA9">
      <w:pPr>
        <w:spacing w:after="127"/>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Artículo 2. Ámbito subjetivo de aplicación. </w:t>
      </w:r>
    </w:p>
    <w:p w:rsidR="00FF384B" w:rsidRDefault="003E3BA9">
      <w:pPr>
        <w:numPr>
          <w:ilvl w:val="0"/>
          <w:numId w:val="108"/>
        </w:numPr>
        <w:spacing w:after="142" w:line="248" w:lineRule="auto"/>
        <w:ind w:right="244" w:hanging="247"/>
        <w:jc w:val="both"/>
      </w:pPr>
      <w:r>
        <w:rPr>
          <w:rFonts w:ascii="Arial" w:eastAsia="Arial" w:hAnsi="Arial" w:cs="Arial"/>
          <w:color w:val="202020"/>
        </w:rPr>
        <w:t xml:space="preserve">Esta ordenanza será de aplicación a las subvenciones otorgadas por el Ayuntamiento de Candelaria. </w:t>
      </w:r>
    </w:p>
    <w:p w:rsidR="00FF384B" w:rsidRDefault="003E3BA9">
      <w:pPr>
        <w:numPr>
          <w:ilvl w:val="0"/>
          <w:numId w:val="108"/>
        </w:numPr>
        <w:spacing w:after="142" w:line="248" w:lineRule="auto"/>
        <w:ind w:right="244" w:hanging="247"/>
        <w:jc w:val="both"/>
      </w:pPr>
      <w:r>
        <w:rPr>
          <w:rFonts w:ascii="Arial" w:eastAsia="Arial" w:hAnsi="Arial" w:cs="Arial"/>
          <w:color w:val="202020"/>
        </w:rPr>
        <w:t xml:space="preserve">No están comprendidas en el ámbito de aplicación de esta ordenanza: </w:t>
      </w:r>
    </w:p>
    <w:p w:rsidR="00FF384B" w:rsidRDefault="003E3BA9">
      <w:pPr>
        <w:numPr>
          <w:ilvl w:val="1"/>
          <w:numId w:val="108"/>
        </w:numPr>
        <w:spacing w:after="142" w:line="248" w:lineRule="auto"/>
        <w:ind w:right="244" w:hanging="259"/>
        <w:jc w:val="both"/>
      </w:pPr>
      <w:r>
        <w:rPr>
          <w:rFonts w:ascii="Arial" w:eastAsia="Arial" w:hAnsi="Arial" w:cs="Arial"/>
          <w:color w:val="202020"/>
        </w:rPr>
        <w:t>Las aportaciones dinerarias entre el Ayuntamiento y otras Administraciones públicas para</w:t>
      </w:r>
      <w:r>
        <w:rPr>
          <w:rFonts w:ascii="Arial" w:eastAsia="Arial" w:hAnsi="Arial" w:cs="Arial"/>
          <w:color w:val="202020"/>
        </w:rPr>
        <w:t xml:space="preserve"> financiar globalmente la actividad de la administración a la que vayan destinadas. </w:t>
      </w:r>
    </w:p>
    <w:p w:rsidR="00FF384B" w:rsidRDefault="003E3BA9">
      <w:pPr>
        <w:numPr>
          <w:ilvl w:val="1"/>
          <w:numId w:val="108"/>
        </w:numPr>
        <w:spacing w:after="92" w:line="248" w:lineRule="auto"/>
        <w:ind w:right="244" w:hanging="259"/>
        <w:jc w:val="both"/>
      </w:pPr>
      <w:r>
        <w:rPr>
          <w:rFonts w:ascii="Arial" w:eastAsia="Arial" w:hAnsi="Arial" w:cs="Arial"/>
          <w:color w:val="202020"/>
        </w:rPr>
        <w:t>Las aportaciones del Ayuntamiento a sus organismos públicos y otros entes dependientes de derecho privado, cuya finalidad sea financiar la actividad de cada ente en el ámb</w:t>
      </w:r>
      <w:r>
        <w:rPr>
          <w:rFonts w:ascii="Arial" w:eastAsia="Arial" w:hAnsi="Arial" w:cs="Arial"/>
          <w:color w:val="202020"/>
        </w:rPr>
        <w:t xml:space="preserve">ito propio de sus competencias. </w:t>
      </w:r>
    </w:p>
    <w:p w:rsidR="00FF384B" w:rsidRDefault="003E3BA9">
      <w:pPr>
        <w:numPr>
          <w:ilvl w:val="1"/>
          <w:numId w:val="108"/>
        </w:numPr>
        <w:spacing w:after="89" w:line="248" w:lineRule="auto"/>
        <w:ind w:right="244" w:hanging="259"/>
        <w:jc w:val="both"/>
      </w:pPr>
      <w:r>
        <w:rPr>
          <w:rFonts w:ascii="Arial" w:eastAsia="Arial" w:hAnsi="Arial" w:cs="Arial"/>
          <w:color w:val="202020"/>
        </w:rPr>
        <w:t xml:space="preserve">Las aportaciones dinerarias a la fundación en la que participe el Ayuntamiento. </w:t>
      </w:r>
    </w:p>
    <w:p w:rsidR="00FF384B" w:rsidRDefault="003E3BA9">
      <w:pPr>
        <w:numPr>
          <w:ilvl w:val="1"/>
          <w:numId w:val="108"/>
        </w:numPr>
        <w:spacing w:after="89" w:line="248" w:lineRule="auto"/>
        <w:ind w:right="244" w:hanging="259"/>
        <w:jc w:val="both"/>
      </w:pPr>
      <w:r>
        <w:rPr>
          <w:rFonts w:ascii="Arial" w:eastAsia="Arial" w:hAnsi="Arial" w:cs="Arial"/>
          <w:color w:val="202020"/>
        </w:rPr>
        <w:t xml:space="preserve">Las aportaciones presupuestarias a los grupos políticos municipales. </w:t>
      </w:r>
    </w:p>
    <w:p w:rsidR="00FF384B" w:rsidRDefault="003E3BA9">
      <w:pPr>
        <w:numPr>
          <w:ilvl w:val="1"/>
          <w:numId w:val="108"/>
        </w:numPr>
        <w:spacing w:after="90" w:line="248" w:lineRule="auto"/>
        <w:ind w:right="244" w:hanging="259"/>
        <w:jc w:val="both"/>
      </w:pPr>
      <w:r>
        <w:rPr>
          <w:rFonts w:ascii="Arial" w:eastAsia="Arial" w:hAnsi="Arial" w:cs="Arial"/>
          <w:color w:val="202020"/>
        </w:rPr>
        <w:t xml:space="preserve">Los premios que se otorguen sin la previa solicitud del beneficiario. </w:t>
      </w:r>
    </w:p>
    <w:p w:rsidR="00FF384B" w:rsidRDefault="003E3BA9">
      <w:pPr>
        <w:numPr>
          <w:ilvl w:val="1"/>
          <w:numId w:val="108"/>
        </w:numPr>
        <w:spacing w:after="291" w:line="248" w:lineRule="auto"/>
        <w:ind w:right="244" w:hanging="259"/>
        <w:jc w:val="both"/>
      </w:pPr>
      <w:r>
        <w:rPr>
          <w:rFonts w:ascii="Arial" w:eastAsia="Arial" w:hAnsi="Arial" w:cs="Arial"/>
          <w:color w:val="202020"/>
        </w:rPr>
        <w:t>L</w:t>
      </w:r>
      <w:r>
        <w:rPr>
          <w:rFonts w:ascii="Arial" w:eastAsia="Arial" w:hAnsi="Arial" w:cs="Arial"/>
          <w:color w:val="202020"/>
        </w:rPr>
        <w:t xml:space="preserve">as ayudas de urgencia de carácter social, cuyo otorgamiento se regirá por su normativa específica. </w:t>
      </w:r>
    </w:p>
    <w:p w:rsidR="00FF384B" w:rsidRDefault="003E3BA9">
      <w:pPr>
        <w:spacing w:after="275"/>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II. Régimen jurídico. </w:t>
      </w:r>
    </w:p>
    <w:p w:rsidR="00FF384B" w:rsidRDefault="003E3BA9">
      <w:pPr>
        <w:spacing w:after="140" w:line="249" w:lineRule="auto"/>
        <w:ind w:left="278" w:hanging="10"/>
      </w:pPr>
      <w:r>
        <w:rPr>
          <w:rFonts w:ascii="Arial" w:eastAsia="Arial" w:hAnsi="Arial" w:cs="Arial"/>
          <w:b/>
          <w:color w:val="202020"/>
        </w:rPr>
        <w:t xml:space="preserve">Artículo 3. Régimen jurídico. </w:t>
      </w:r>
    </w:p>
    <w:p w:rsidR="00FF384B" w:rsidRDefault="003E3BA9">
      <w:pPr>
        <w:spacing w:after="142" w:line="248" w:lineRule="auto"/>
        <w:ind w:left="278" w:right="244" w:hanging="10"/>
        <w:jc w:val="both"/>
      </w:pPr>
      <w:r>
        <w:rPr>
          <w:rFonts w:ascii="Arial" w:eastAsia="Arial" w:hAnsi="Arial" w:cs="Arial"/>
          <w:color w:val="202020"/>
        </w:rPr>
        <w:t>1. Las subvenciones se regirán por las prescripciones contenidas en esta Ordenanza, por la normativa de Subvenciones de Canarias, y sus disposiciones de desarrollo, por la normativa básica estatal en esta materia, por las bases de ejecución del presupuesto</w:t>
      </w:r>
      <w:r>
        <w:rPr>
          <w:rFonts w:ascii="Arial" w:eastAsia="Arial" w:hAnsi="Arial" w:cs="Arial"/>
          <w:color w:val="202020"/>
        </w:rPr>
        <w:t xml:space="preserve"> municipal y normas de derecho administrativo que resulten de aplicación. 2. Las convocatorias deberán ajustarse a lo previsto en el párrafo anterior. </w:t>
      </w:r>
    </w:p>
    <w:p w:rsidR="00FF384B" w:rsidRDefault="003E3BA9">
      <w:pPr>
        <w:spacing w:after="291" w:line="248" w:lineRule="auto"/>
        <w:ind w:left="278" w:right="244" w:hanging="10"/>
        <w:jc w:val="both"/>
      </w:pPr>
      <w:r>
        <w:rPr>
          <w:noProof/>
        </w:rPr>
        <mc:AlternateContent>
          <mc:Choice Requires="wpg">
            <w:drawing>
              <wp:anchor distT="0" distB="0" distL="114300" distR="114300" simplePos="0" relativeHeight="2517678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5878" name="Group 45587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027" name="Picture 23027"/>
                          <pic:cNvPicPr/>
                        </pic:nvPicPr>
                        <pic:blipFill>
                          <a:blip r:embed="rId62"/>
                          <a:stretch>
                            <a:fillRect/>
                          </a:stretch>
                        </pic:blipFill>
                        <pic:spPr>
                          <a:xfrm rot="-5399999">
                            <a:off x="-1720849" y="1720849"/>
                            <a:ext cx="3797300" cy="355601"/>
                          </a:xfrm>
                          <a:prstGeom prst="rect">
                            <a:avLst/>
                          </a:prstGeom>
                        </pic:spPr>
                      </pic:pic>
                      <wps:wsp>
                        <wps:cNvPr id="23028" name="Rectangle 2302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3029" name="Rectangle 2302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w:t>
                              </w:r>
                              <w:r>
                                <w:rPr>
                                  <w:rFonts w:ascii="Arial" w:eastAsia="Arial" w:hAnsi="Arial" w:cs="Arial"/>
                                  <w:sz w:val="12"/>
                                </w:rPr>
                                <w:t xml:space="preserve">ocumento firmado electrónicamente desde la plataforma esPublico Gestiona | Página 106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5878" style="width:41.2715pt;height:299pt;position:absolute;mso-position-horizontal-relative:page;mso-position-horizontal:absolute;margin-left:653.71pt;mso-position-vertical-relative:page;margin-top:512.92pt;" coordsize="5241,37973">
                <v:shape id="Picture 23027" style="position:absolute;width:37973;height:3556;left:-17208;top:17208;rotation:-89;" filled="f">
                  <v:imagedata r:id="rId63"/>
                </v:shape>
                <v:rect id="Rectangle 2302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02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353 </w:t>
                        </w:r>
                      </w:p>
                    </w:txbxContent>
                  </v:textbox>
                </v:rect>
                <w10:wrap type="square"/>
              </v:group>
            </w:pict>
          </mc:Fallback>
        </mc:AlternateContent>
      </w:r>
      <w:r>
        <w:rPr>
          <w:rFonts w:ascii="Arial" w:eastAsia="Arial" w:hAnsi="Arial" w:cs="Arial"/>
          <w:color w:val="202020"/>
        </w:rPr>
        <w:t xml:space="preserve">3. Las subvenciones financiadas total o parcialmente con cargo a fondos de la Unión Europea, se regirán por las normas comunitarias vigentes y por la legislación </w:t>
      </w:r>
      <w:r>
        <w:rPr>
          <w:rFonts w:ascii="Arial" w:eastAsia="Arial" w:hAnsi="Arial" w:cs="Arial"/>
          <w:color w:val="202020"/>
        </w:rPr>
        <w:t xml:space="preserve">y normativa que le sea de aplicación en cada caso. </w:t>
      </w:r>
    </w:p>
    <w:p w:rsidR="00FF384B" w:rsidRDefault="003E3BA9">
      <w:pPr>
        <w:spacing w:after="280"/>
        <w:ind w:left="283"/>
      </w:pPr>
      <w:r>
        <w:rPr>
          <w:rFonts w:ascii="Arial" w:eastAsia="Arial" w:hAnsi="Arial" w:cs="Arial"/>
          <w:b/>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III. Principios generales. </w:t>
      </w:r>
    </w:p>
    <w:p w:rsidR="00FF384B" w:rsidRDefault="003E3BA9">
      <w:pPr>
        <w:spacing w:after="140" w:line="249" w:lineRule="auto"/>
        <w:ind w:left="278" w:hanging="10"/>
      </w:pPr>
      <w:r>
        <w:rPr>
          <w:rFonts w:ascii="Arial" w:eastAsia="Arial" w:hAnsi="Arial" w:cs="Arial"/>
          <w:b/>
          <w:color w:val="202020"/>
        </w:rPr>
        <w:t xml:space="preserve">Artículo 4. Principios generales. </w:t>
      </w:r>
    </w:p>
    <w:p w:rsidR="00FF384B" w:rsidRDefault="003E3BA9">
      <w:pPr>
        <w:spacing w:after="142" w:line="248" w:lineRule="auto"/>
        <w:ind w:left="278" w:right="244" w:hanging="10"/>
        <w:jc w:val="both"/>
      </w:pPr>
      <w:r>
        <w:rPr>
          <w:rFonts w:ascii="Arial" w:eastAsia="Arial" w:hAnsi="Arial" w:cs="Arial"/>
          <w:color w:val="202020"/>
        </w:rPr>
        <w:t xml:space="preserve">La gestión de las subvenciones a que se refiere esta ordenanza se hará de acuerdo con los siguientes principios: </w:t>
      </w:r>
    </w:p>
    <w:p w:rsidR="00FF384B" w:rsidRDefault="003E3BA9">
      <w:pPr>
        <w:numPr>
          <w:ilvl w:val="0"/>
          <w:numId w:val="109"/>
        </w:numPr>
        <w:spacing w:after="93" w:line="248" w:lineRule="auto"/>
        <w:ind w:right="244" w:hanging="360"/>
        <w:jc w:val="both"/>
      </w:pPr>
      <w:r>
        <w:rPr>
          <w:rFonts w:ascii="Arial" w:eastAsia="Arial" w:hAnsi="Arial" w:cs="Arial"/>
          <w:color w:val="202020"/>
        </w:rPr>
        <w:t xml:space="preserve">a) Publicidad, transparencia, concurrencia, objetividad, igualdad y no discriminación. </w:t>
      </w:r>
    </w:p>
    <w:p w:rsidR="00FF384B" w:rsidRDefault="003E3BA9">
      <w:pPr>
        <w:numPr>
          <w:ilvl w:val="0"/>
          <w:numId w:val="109"/>
        </w:numPr>
        <w:spacing w:after="93" w:line="248" w:lineRule="auto"/>
        <w:ind w:right="244" w:hanging="360"/>
        <w:jc w:val="both"/>
      </w:pPr>
      <w:r>
        <w:rPr>
          <w:rFonts w:ascii="Arial" w:eastAsia="Arial" w:hAnsi="Arial" w:cs="Arial"/>
          <w:color w:val="202020"/>
        </w:rPr>
        <w:t xml:space="preserve">b) Eficacia en el cumplimiento de los objetivos fijados por la Administración otorgante. </w:t>
      </w:r>
    </w:p>
    <w:p w:rsidR="00FF384B" w:rsidRDefault="003E3BA9">
      <w:pPr>
        <w:numPr>
          <w:ilvl w:val="0"/>
          <w:numId w:val="109"/>
        </w:numPr>
        <w:spacing w:after="142" w:line="248" w:lineRule="auto"/>
        <w:ind w:right="244" w:hanging="360"/>
        <w:jc w:val="both"/>
      </w:pPr>
      <w:r>
        <w:rPr>
          <w:rFonts w:ascii="Arial" w:eastAsia="Arial" w:hAnsi="Arial" w:cs="Arial"/>
          <w:color w:val="202020"/>
        </w:rPr>
        <w:t xml:space="preserve">c) Eficiencia en la asignación y utilización de los recursos públicos. </w:t>
      </w:r>
    </w:p>
    <w:p w:rsidR="00FF384B" w:rsidRDefault="003E3BA9">
      <w:pPr>
        <w:spacing w:after="127"/>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Artículo 5. Plan Estratégico de Subvenciones. </w:t>
      </w:r>
    </w:p>
    <w:p w:rsidR="00FF384B" w:rsidRDefault="003E3BA9">
      <w:pPr>
        <w:numPr>
          <w:ilvl w:val="0"/>
          <w:numId w:val="110"/>
        </w:numPr>
        <w:spacing w:after="142" w:line="248" w:lineRule="auto"/>
        <w:ind w:right="244" w:hanging="247"/>
        <w:jc w:val="both"/>
      </w:pPr>
      <w:r>
        <w:rPr>
          <w:rFonts w:ascii="Arial" w:eastAsia="Arial" w:hAnsi="Arial" w:cs="Arial"/>
          <w:color w:val="202020"/>
        </w:rPr>
        <w:t>El Plan Estratégico de Subvenciones, que será único para el propio Ayuntamiento y en el que se establecerán los objetivos y efectos que se pretende con su aplicación, el plazo necesario para su consecución, lo</w:t>
      </w:r>
      <w:r>
        <w:rPr>
          <w:rFonts w:ascii="Arial" w:eastAsia="Arial" w:hAnsi="Arial" w:cs="Arial"/>
          <w:color w:val="202020"/>
        </w:rPr>
        <w:t>s costes previsibles y sus fuentes de financiación, supeditándose al cumplimiento de los objetivos de estabilidad presupuestaria, contendrá todas las subvenciones de previsible ejecución, que estarán incluidas dentro de las respectivas líneas de subvención</w:t>
      </w:r>
      <w:r>
        <w:rPr>
          <w:rFonts w:ascii="Arial" w:eastAsia="Arial" w:hAnsi="Arial" w:cs="Arial"/>
          <w:color w:val="202020"/>
        </w:rPr>
        <w:t xml:space="preserve">.  </w:t>
      </w:r>
    </w:p>
    <w:p w:rsidR="00FF384B" w:rsidRDefault="003E3BA9">
      <w:pPr>
        <w:numPr>
          <w:ilvl w:val="0"/>
          <w:numId w:val="110"/>
        </w:numPr>
        <w:spacing w:after="142" w:line="248" w:lineRule="auto"/>
        <w:ind w:right="244" w:hanging="247"/>
        <w:jc w:val="both"/>
      </w:pPr>
      <w:r>
        <w:rPr>
          <w:rFonts w:ascii="Arial" w:eastAsia="Arial" w:hAnsi="Arial" w:cs="Arial"/>
          <w:color w:val="202020"/>
        </w:rPr>
        <w:t>El Plan Estratégico tendrá un periodo de vigencia de 4 años, salvo que por la naturaleza de las actuaciones a las que atiendan sea necesario un plazo mayor, circunstancia que será debidamente motivada en el propio documento. No obstante, el Plan estrat</w:t>
      </w:r>
      <w:r>
        <w:rPr>
          <w:rFonts w:ascii="Arial" w:eastAsia="Arial" w:hAnsi="Arial" w:cs="Arial"/>
          <w:color w:val="202020"/>
        </w:rPr>
        <w:t xml:space="preserve">égico será revisado anualmente, incorporando en el mismo las aplicaciones económicas fijadas en el Presupuesto municipal aprobado. </w:t>
      </w:r>
    </w:p>
    <w:p w:rsidR="00FF384B" w:rsidRDefault="003E3BA9">
      <w:pPr>
        <w:numPr>
          <w:ilvl w:val="0"/>
          <w:numId w:val="110"/>
        </w:numPr>
        <w:spacing w:after="142" w:line="248" w:lineRule="auto"/>
        <w:ind w:right="244" w:hanging="247"/>
        <w:jc w:val="both"/>
      </w:pPr>
      <w:r>
        <w:rPr>
          <w:rFonts w:ascii="Arial" w:eastAsia="Arial" w:hAnsi="Arial" w:cs="Arial"/>
          <w:color w:val="202020"/>
        </w:rPr>
        <w:t xml:space="preserve">El Plan estratégico de Subvenciones tendrá, al menos, el siguiente contenido: </w:t>
      </w:r>
    </w:p>
    <w:p w:rsidR="00FF384B" w:rsidRDefault="003E3BA9">
      <w:pPr>
        <w:numPr>
          <w:ilvl w:val="1"/>
          <w:numId w:val="110"/>
        </w:numPr>
        <w:spacing w:after="77" w:line="248" w:lineRule="auto"/>
        <w:ind w:right="244" w:hanging="360"/>
        <w:jc w:val="both"/>
      </w:pPr>
      <w:r>
        <w:rPr>
          <w:rFonts w:ascii="Arial" w:eastAsia="Arial" w:hAnsi="Arial" w:cs="Arial"/>
          <w:color w:val="202020"/>
        </w:rPr>
        <w:t>Las líneas estratégicas de subvención para ca</w:t>
      </w:r>
      <w:r>
        <w:rPr>
          <w:rFonts w:ascii="Arial" w:eastAsia="Arial" w:hAnsi="Arial" w:cs="Arial"/>
          <w:color w:val="202020"/>
        </w:rPr>
        <w:t xml:space="preserve">da sector de actividad, con sus objetivos específicos y efectos que se pretenden conseguir y el plazo necesario.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color w:val="202020"/>
        </w:rPr>
        <w:t xml:space="preserve">Los costes de realización y las fuentes de financiación. </w:t>
      </w:r>
    </w:p>
    <w:p w:rsidR="00FF384B" w:rsidRDefault="003E3BA9">
      <w:pPr>
        <w:numPr>
          <w:ilvl w:val="1"/>
          <w:numId w:val="110"/>
        </w:numPr>
        <w:spacing w:after="93" w:line="248" w:lineRule="auto"/>
        <w:ind w:right="244" w:hanging="360"/>
        <w:jc w:val="both"/>
      </w:pPr>
      <w:r>
        <w:rPr>
          <w:rFonts w:ascii="Arial" w:eastAsia="Arial" w:hAnsi="Arial" w:cs="Arial"/>
          <w:color w:val="202020"/>
        </w:rPr>
        <w:t>Las líneas básicas de las bases reguladoras de la concesión de subvenciones, establ</w:t>
      </w:r>
      <w:r>
        <w:rPr>
          <w:rFonts w:ascii="Arial" w:eastAsia="Arial" w:hAnsi="Arial" w:cs="Arial"/>
          <w:color w:val="202020"/>
        </w:rPr>
        <w:t xml:space="preserve">ecidas en la presente Ordenanza. </w:t>
      </w:r>
    </w:p>
    <w:p w:rsidR="00FF384B" w:rsidRDefault="003E3BA9">
      <w:pPr>
        <w:numPr>
          <w:ilvl w:val="1"/>
          <w:numId w:val="110"/>
        </w:numPr>
        <w:spacing w:after="80" w:line="248" w:lineRule="auto"/>
        <w:ind w:right="244" w:hanging="360"/>
        <w:jc w:val="both"/>
      </w:pPr>
      <w:r>
        <w:rPr>
          <w:rFonts w:ascii="Arial" w:eastAsia="Arial" w:hAnsi="Arial" w:cs="Arial"/>
          <w:color w:val="202020"/>
        </w:rPr>
        <w:t xml:space="preserve">El régimen de seguimiento y evaluación de la actividad subvencional. </w:t>
      </w:r>
    </w:p>
    <w:p w:rsidR="00FF384B" w:rsidRDefault="003E3BA9">
      <w:pPr>
        <w:numPr>
          <w:ilvl w:val="1"/>
          <w:numId w:val="110"/>
        </w:numPr>
        <w:spacing w:after="92" w:line="248" w:lineRule="auto"/>
        <w:ind w:right="244" w:hanging="360"/>
        <w:jc w:val="both"/>
      </w:pPr>
      <w:r>
        <w:rPr>
          <w:rFonts w:ascii="Arial" w:eastAsia="Arial" w:hAnsi="Arial" w:cs="Arial"/>
          <w:color w:val="202020"/>
        </w:rPr>
        <w:t>Las líneas específicas incluidas en cada línea estratégica o en cada sector de actividad, con el régimen de concesión directa o concurrencia competitiva</w:t>
      </w:r>
      <w:r>
        <w:rPr>
          <w:rFonts w:ascii="Arial" w:eastAsia="Arial" w:hAnsi="Arial" w:cs="Arial"/>
          <w:color w:val="202020"/>
        </w:rPr>
        <w:t xml:space="preserve">- de cada una de ellas. </w:t>
      </w:r>
    </w:p>
    <w:p w:rsidR="00FF384B" w:rsidRDefault="003E3BA9">
      <w:pPr>
        <w:numPr>
          <w:ilvl w:val="0"/>
          <w:numId w:val="110"/>
        </w:numPr>
        <w:spacing w:after="142" w:line="248" w:lineRule="auto"/>
        <w:ind w:right="244" w:hanging="247"/>
        <w:jc w:val="both"/>
      </w:pPr>
      <w:r>
        <w:rPr>
          <w:noProof/>
        </w:rPr>
        <mc:AlternateContent>
          <mc:Choice Requires="wpg">
            <w:drawing>
              <wp:anchor distT="0" distB="0" distL="114300" distR="114300" simplePos="0" relativeHeight="2517688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5995" name="Group 45599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179" name="Picture 23179"/>
                          <pic:cNvPicPr/>
                        </pic:nvPicPr>
                        <pic:blipFill>
                          <a:blip r:embed="rId62"/>
                          <a:stretch>
                            <a:fillRect/>
                          </a:stretch>
                        </pic:blipFill>
                        <pic:spPr>
                          <a:xfrm rot="-5399999">
                            <a:off x="-1720849" y="1720849"/>
                            <a:ext cx="3797300" cy="355601"/>
                          </a:xfrm>
                          <a:prstGeom prst="rect">
                            <a:avLst/>
                          </a:prstGeom>
                        </pic:spPr>
                      </pic:pic>
                      <wps:wsp>
                        <wps:cNvPr id="23180" name="Rectangle 2318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3181" name="Rectangle 2318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5995" style="width:41.2715pt;height:299pt;position:absolute;mso-position-horizontal-relative:page;mso-position-horizontal:absolute;margin-left:653.71pt;mso-position-vertical-relative:page;margin-top:512.92pt;" coordsize="5241,37973">
                <v:shape id="Picture 23179" style="position:absolute;width:37973;height:3556;left:-17208;top:17208;rotation:-89;" filled="f">
                  <v:imagedata r:id="rId63"/>
                </v:shape>
                <v:rect id="Rectangle 2318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18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353 </w:t>
                        </w:r>
                      </w:p>
                    </w:txbxContent>
                  </v:textbox>
                </v:rect>
                <w10:wrap type="square"/>
              </v:group>
            </w:pict>
          </mc:Fallback>
        </mc:AlternateContent>
      </w:r>
      <w:r>
        <w:rPr>
          <w:rFonts w:ascii="Arial" w:eastAsia="Arial" w:hAnsi="Arial" w:cs="Arial"/>
          <w:color w:val="202020"/>
        </w:rPr>
        <w:t xml:space="preserve">Mesa técnica de Subvenciones sectorial. Para el seguimiento y evaluación del Plan Estratégico de Subvenciones, podrá procederse a la creación de una Mesa técnica para cada Concejalía, que se constituirá como Comisión de Seguimiento, en la que se integrará </w:t>
      </w:r>
      <w:r>
        <w:rPr>
          <w:rFonts w:ascii="Arial" w:eastAsia="Arial" w:hAnsi="Arial" w:cs="Arial"/>
          <w:color w:val="202020"/>
        </w:rPr>
        <w:t xml:space="preserve">un representante de cada Área y la Intervención de Fondos. </w:t>
      </w:r>
    </w:p>
    <w:p w:rsidR="00FF384B" w:rsidRDefault="003E3BA9">
      <w:pPr>
        <w:numPr>
          <w:ilvl w:val="0"/>
          <w:numId w:val="110"/>
        </w:numPr>
        <w:spacing w:after="142" w:line="248" w:lineRule="auto"/>
        <w:ind w:right="244" w:hanging="247"/>
        <w:jc w:val="both"/>
      </w:pPr>
      <w:r>
        <w:rPr>
          <w:rFonts w:ascii="Arial" w:eastAsia="Arial" w:hAnsi="Arial" w:cs="Arial"/>
          <w:color w:val="202020"/>
        </w:rPr>
        <w:t>Dentro de los 6 primeros meses de cada ejercicio, a propuesta de la Intervención municipal, dará cuenta al Pleno de una Memoria de las subvenciones concedidas durante el ejercicio anterior que, en</w:t>
      </w:r>
      <w:r>
        <w:rPr>
          <w:rFonts w:ascii="Arial" w:eastAsia="Arial" w:hAnsi="Arial" w:cs="Arial"/>
          <w:color w:val="202020"/>
        </w:rPr>
        <w:t xml:space="preserve"> todo caso, contendrá: </w:t>
      </w:r>
    </w:p>
    <w:p w:rsidR="00FF384B" w:rsidRDefault="003E3BA9">
      <w:pPr>
        <w:numPr>
          <w:ilvl w:val="2"/>
          <w:numId w:val="111"/>
        </w:numPr>
        <w:spacing w:after="92" w:line="248" w:lineRule="auto"/>
        <w:ind w:right="244" w:hanging="10"/>
        <w:jc w:val="both"/>
      </w:pPr>
      <w:r>
        <w:rPr>
          <w:rFonts w:ascii="Arial" w:eastAsia="Arial" w:hAnsi="Arial" w:cs="Arial"/>
          <w:color w:val="202020"/>
        </w:rPr>
        <w:t xml:space="preserve">Informe de la ejecución presupuestaria de las aplicaciones del Presupuesto destinadas a subvenciones. </w:t>
      </w:r>
    </w:p>
    <w:p w:rsidR="00FF384B" w:rsidRDefault="003E3BA9">
      <w:pPr>
        <w:numPr>
          <w:ilvl w:val="2"/>
          <w:numId w:val="111"/>
        </w:numPr>
        <w:spacing w:after="92" w:line="248" w:lineRule="auto"/>
        <w:ind w:right="244" w:hanging="10"/>
        <w:jc w:val="both"/>
      </w:pPr>
      <w:r>
        <w:rPr>
          <w:rFonts w:ascii="Arial" w:eastAsia="Arial" w:hAnsi="Arial" w:cs="Arial"/>
          <w:color w:val="202020"/>
        </w:rPr>
        <w:t>Relación detallada de todas las subvenciones concedidas así como de su importe en cada uno de los programas de subvenciones estab</w:t>
      </w:r>
      <w:r>
        <w:rPr>
          <w:rFonts w:ascii="Arial" w:eastAsia="Arial" w:hAnsi="Arial" w:cs="Arial"/>
          <w:color w:val="202020"/>
        </w:rPr>
        <w:t xml:space="preserve">lecidos. </w:t>
      </w:r>
    </w:p>
    <w:p w:rsidR="00FF384B" w:rsidRDefault="003E3BA9">
      <w:pPr>
        <w:numPr>
          <w:ilvl w:val="2"/>
          <w:numId w:val="111"/>
        </w:numPr>
        <w:spacing w:after="142" w:line="248" w:lineRule="auto"/>
        <w:ind w:right="244" w:hanging="10"/>
        <w:jc w:val="both"/>
      </w:pPr>
      <w:r>
        <w:rPr>
          <w:rFonts w:ascii="Arial" w:eastAsia="Arial" w:hAnsi="Arial" w:cs="Arial"/>
          <w:color w:val="202020"/>
        </w:rPr>
        <w:t xml:space="preserve">Evaluación de las Líneas estratégicas establecidas en el Plan estratégico de Subvenciones con el grado de cumplimiento de los distintos objetivos fijados en el mismo. </w:t>
      </w:r>
    </w:p>
    <w:p w:rsidR="00FF384B" w:rsidRDefault="003E3BA9">
      <w:pPr>
        <w:spacing w:after="124"/>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Artículo 6. Régimen jurídico y convocatorias de las subvenciones. </w:t>
      </w:r>
    </w:p>
    <w:p w:rsidR="00FF384B" w:rsidRDefault="003E3BA9">
      <w:pPr>
        <w:numPr>
          <w:ilvl w:val="0"/>
          <w:numId w:val="112"/>
        </w:numPr>
        <w:spacing w:after="142" w:line="248" w:lineRule="auto"/>
        <w:ind w:right="244" w:hanging="10"/>
        <w:jc w:val="both"/>
      </w:pPr>
      <w:r>
        <w:rPr>
          <w:rFonts w:ascii="Arial" w:eastAsia="Arial" w:hAnsi="Arial" w:cs="Arial"/>
          <w:color w:val="202020"/>
        </w:rPr>
        <w:t>Las subve</w:t>
      </w:r>
      <w:r>
        <w:rPr>
          <w:rFonts w:ascii="Arial" w:eastAsia="Arial" w:hAnsi="Arial" w:cs="Arial"/>
          <w:color w:val="202020"/>
        </w:rPr>
        <w:t xml:space="preserve">nciones municipales del Ayuntamiento de Candelaria, se regularán por lo establecido en la presente Ordenanza, que constituye la normativa y las bases reguladoras generales que establecen y desarrollan el régimen jurídico de las subvenciones. </w:t>
      </w:r>
    </w:p>
    <w:p w:rsidR="00FF384B" w:rsidRDefault="003E3BA9">
      <w:pPr>
        <w:numPr>
          <w:ilvl w:val="0"/>
          <w:numId w:val="112"/>
        </w:numPr>
        <w:spacing w:after="142" w:line="248" w:lineRule="auto"/>
        <w:ind w:right="244" w:hanging="10"/>
        <w:jc w:val="both"/>
      </w:pPr>
      <w:r>
        <w:rPr>
          <w:rFonts w:ascii="Arial" w:eastAsia="Arial" w:hAnsi="Arial" w:cs="Arial"/>
          <w:color w:val="202020"/>
        </w:rPr>
        <w:t>Cada Concejal</w:t>
      </w:r>
      <w:r>
        <w:rPr>
          <w:rFonts w:ascii="Arial" w:eastAsia="Arial" w:hAnsi="Arial" w:cs="Arial"/>
          <w:color w:val="202020"/>
        </w:rPr>
        <w:t>ía delegada es el órgano competente para la aprobación de las convocatorias de las subvenciones que puedan otorgar los órganos de la administración municipal, en el marco de las bases de ejecución del presupuesto y a través de esta Ordenanza general de sub</w:t>
      </w:r>
      <w:r>
        <w:rPr>
          <w:rFonts w:ascii="Arial" w:eastAsia="Arial" w:hAnsi="Arial" w:cs="Arial"/>
          <w:color w:val="202020"/>
        </w:rPr>
        <w:t xml:space="preserve">venciones. </w:t>
      </w:r>
    </w:p>
    <w:p w:rsidR="00FF384B" w:rsidRDefault="003E3BA9">
      <w:pPr>
        <w:numPr>
          <w:ilvl w:val="0"/>
          <w:numId w:val="112"/>
        </w:numPr>
        <w:spacing w:after="142" w:line="248" w:lineRule="auto"/>
        <w:ind w:right="244" w:hanging="10"/>
        <w:jc w:val="both"/>
      </w:pPr>
      <w:r>
        <w:rPr>
          <w:rFonts w:ascii="Arial" w:eastAsia="Arial" w:hAnsi="Arial" w:cs="Arial"/>
          <w:color w:val="202020"/>
        </w:rPr>
        <w:t xml:space="preserve">Las convocatorias estarán sujetas a sistema de publicación legalmente establecido, así como al sistema de control interno que se acuerde. </w:t>
      </w:r>
    </w:p>
    <w:p w:rsidR="00FF384B" w:rsidRDefault="003E3BA9">
      <w:pPr>
        <w:spacing w:after="127"/>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Artículo 7. Contenido de las convocatorias de las subvenciones. </w:t>
      </w:r>
    </w:p>
    <w:p w:rsidR="00FF384B" w:rsidRDefault="003E3BA9">
      <w:pPr>
        <w:numPr>
          <w:ilvl w:val="0"/>
          <w:numId w:val="113"/>
        </w:numPr>
        <w:spacing w:after="142" w:line="248" w:lineRule="auto"/>
        <w:ind w:right="244" w:hanging="10"/>
        <w:jc w:val="both"/>
      </w:pPr>
      <w:r>
        <w:rPr>
          <w:rFonts w:ascii="Arial" w:eastAsia="Arial" w:hAnsi="Arial" w:cs="Arial"/>
          <w:color w:val="202020"/>
        </w:rPr>
        <w:t xml:space="preserve">Las convocatorias de subvenciones tendrán, como contenido mínimo, el regulado en el artículo 14.5 de la </w:t>
      </w:r>
      <w:r>
        <w:rPr>
          <w:rFonts w:ascii="Arial" w:eastAsia="Arial" w:hAnsi="Arial" w:cs="Arial"/>
        </w:rPr>
        <w:t>Decreto 36/2009, de 31 de marzo, por el que se establece el régimen general de subvenciones de la Comunidad Autónoma de Canarias</w:t>
      </w:r>
      <w:r>
        <w:rPr>
          <w:rFonts w:ascii="Arial" w:eastAsia="Arial" w:hAnsi="Arial" w:cs="Arial"/>
          <w:color w:val="202020"/>
        </w:rPr>
        <w:t xml:space="preserve"> y lo establecido en la </w:t>
      </w:r>
      <w:r>
        <w:rPr>
          <w:rFonts w:ascii="Arial" w:eastAsia="Arial" w:hAnsi="Arial" w:cs="Arial"/>
          <w:color w:val="202020"/>
        </w:rPr>
        <w:t>presente Ordenanza, procedimiento de concesión establecido en la misma, así como en su caso, la aplicación del procedimiento simplificado o la modalidad elegida en el caso de subvenciones nominativas.</w:t>
      </w:r>
      <w:r>
        <w:rPr>
          <w:rFonts w:ascii="Times New Roman" w:eastAsia="Times New Roman" w:hAnsi="Times New Roman" w:cs="Times New Roman"/>
          <w:sz w:val="24"/>
        </w:rPr>
        <w:t xml:space="preserve"> </w:t>
      </w:r>
    </w:p>
    <w:p w:rsidR="00FF384B" w:rsidRDefault="003E3BA9">
      <w:pPr>
        <w:numPr>
          <w:ilvl w:val="0"/>
          <w:numId w:val="113"/>
        </w:numPr>
        <w:spacing w:after="291" w:line="248" w:lineRule="auto"/>
        <w:ind w:right="244" w:hanging="10"/>
        <w:jc w:val="both"/>
      </w:pPr>
      <w:r>
        <w:rPr>
          <w:rFonts w:ascii="Arial" w:eastAsia="Arial" w:hAnsi="Arial" w:cs="Arial"/>
          <w:color w:val="202020"/>
        </w:rPr>
        <w:t>Las convocatorias deberán de adaptarse al contenido mí</w:t>
      </w:r>
      <w:r>
        <w:rPr>
          <w:rFonts w:ascii="Arial" w:eastAsia="Arial" w:hAnsi="Arial" w:cs="Arial"/>
          <w:color w:val="202020"/>
        </w:rPr>
        <w:t xml:space="preserve">nimo establecido en el Anexo de la presente Ordenanza. </w:t>
      </w:r>
    </w:p>
    <w:p w:rsidR="00FF384B" w:rsidRDefault="003E3BA9">
      <w:pPr>
        <w:spacing w:after="287" w:line="249" w:lineRule="auto"/>
        <w:ind w:left="278" w:hanging="10"/>
      </w:pPr>
      <w:r>
        <w:rPr>
          <w:rFonts w:ascii="Arial" w:eastAsia="Arial" w:hAnsi="Arial" w:cs="Arial"/>
          <w:b/>
          <w:color w:val="202020"/>
        </w:rPr>
        <w:t xml:space="preserve">TÍTULO SEGUNDO. BENEFICIARIOS Y ENTIDADES COLABORADORAS. </w:t>
      </w:r>
    </w:p>
    <w:p w:rsidR="00FF384B" w:rsidRDefault="003E3BA9">
      <w:pPr>
        <w:spacing w:after="113" w:line="249" w:lineRule="auto"/>
        <w:ind w:left="278" w:hanging="10"/>
      </w:pPr>
      <w:r>
        <w:rPr>
          <w:rFonts w:ascii="Arial" w:eastAsia="Arial" w:hAnsi="Arial" w:cs="Arial"/>
          <w:b/>
          <w:color w:val="202020"/>
        </w:rPr>
        <w:t>CAPÍTULO I. De los beneficiarios. Requisitos y obligaciones. Entidades colaboradoras.</w:t>
      </w:r>
      <w:r>
        <w:rPr>
          <w:sz w:val="26"/>
        </w:rPr>
        <w:t xml:space="preserve">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7698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5965" name="Group 45596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314" name="Picture 23314"/>
                          <pic:cNvPicPr/>
                        </pic:nvPicPr>
                        <pic:blipFill>
                          <a:blip r:embed="rId62"/>
                          <a:stretch>
                            <a:fillRect/>
                          </a:stretch>
                        </pic:blipFill>
                        <pic:spPr>
                          <a:xfrm rot="-5399999">
                            <a:off x="-1720849" y="1720849"/>
                            <a:ext cx="3797300" cy="355601"/>
                          </a:xfrm>
                          <a:prstGeom prst="rect">
                            <a:avLst/>
                          </a:prstGeom>
                        </pic:spPr>
                      </pic:pic>
                      <wps:wsp>
                        <wps:cNvPr id="23315" name="Rectangle 2331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23316" name="Rectangle 2331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5965" style="width:41.2715pt;height:299pt;position:absolute;mso-position-horizontal-relative:page;mso-position-horizontal:absolute;margin-left:653.71pt;mso-position-vertical-relative:page;margin-top:512.92pt;" coordsize="5241,37973">
                <v:shape id="Picture 23314" style="position:absolute;width:37973;height:3556;left:-17208;top:17208;rotation:-89;" filled="f">
                  <v:imagedata r:id="rId63"/>
                </v:shape>
                <v:rect id="Rectangle 2331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31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353 </w:t>
                        </w:r>
                      </w:p>
                    </w:txbxContent>
                  </v:textbox>
                </v:rect>
                <w10:wrap type="square"/>
              </v:group>
            </w:pict>
          </mc:Fallback>
        </mc:AlternateContent>
      </w:r>
      <w:r>
        <w:rPr>
          <w:rFonts w:ascii="Arial" w:eastAsia="Arial" w:hAnsi="Arial" w:cs="Arial"/>
          <w:i/>
          <w:color w:val="202020"/>
        </w:rPr>
        <w:t xml:space="preserve">Artículo 8. Beneficiarios. </w:t>
      </w:r>
    </w:p>
    <w:p w:rsidR="00FF384B" w:rsidRDefault="003E3BA9">
      <w:pPr>
        <w:numPr>
          <w:ilvl w:val="0"/>
          <w:numId w:val="114"/>
        </w:numPr>
        <w:spacing w:after="142" w:line="248" w:lineRule="auto"/>
        <w:ind w:right="244" w:hanging="10"/>
        <w:jc w:val="both"/>
      </w:pPr>
      <w:r>
        <w:rPr>
          <w:rFonts w:ascii="Arial" w:eastAsia="Arial" w:hAnsi="Arial" w:cs="Arial"/>
          <w:color w:val="202020"/>
        </w:rPr>
        <w:t xml:space="preserve">Tendrá la consideración de beneficiario de subvenciones la persona física o jurídica </w:t>
      </w:r>
      <w:r>
        <w:rPr>
          <w:rFonts w:ascii="Arial" w:eastAsia="Arial" w:hAnsi="Arial" w:cs="Arial"/>
          <w:color w:val="202020"/>
        </w:rPr>
        <w:t xml:space="preserve">que haya de realizar la actividad que fundamentó su otorgamiento o que se encuentre en la situación que legitima su concesión. </w:t>
      </w:r>
    </w:p>
    <w:p w:rsidR="00FF384B" w:rsidRDefault="003E3BA9">
      <w:pPr>
        <w:numPr>
          <w:ilvl w:val="0"/>
          <w:numId w:val="114"/>
        </w:numPr>
        <w:spacing w:after="142" w:line="248" w:lineRule="auto"/>
        <w:ind w:right="244" w:hanging="10"/>
        <w:jc w:val="both"/>
      </w:pPr>
      <w:r>
        <w:rPr>
          <w:rFonts w:ascii="Arial" w:eastAsia="Arial" w:hAnsi="Arial" w:cs="Arial"/>
          <w:color w:val="202020"/>
        </w:rPr>
        <w:t>Cuando el beneficiario sea una persona jurídica, los miembros asociados del beneficiario que se comprometan a efectuar la totali</w:t>
      </w:r>
      <w:r>
        <w:rPr>
          <w:rFonts w:ascii="Arial" w:eastAsia="Arial" w:hAnsi="Arial" w:cs="Arial"/>
          <w:color w:val="202020"/>
        </w:rPr>
        <w:t xml:space="preserve">dad o parte de las actividades que fundamentan la concesión de la subvención en nombre y por cuenta del primero tendrán igualmente la consideración de beneficiarios. </w:t>
      </w:r>
    </w:p>
    <w:p w:rsidR="00FF384B" w:rsidRDefault="003E3BA9">
      <w:pPr>
        <w:numPr>
          <w:ilvl w:val="0"/>
          <w:numId w:val="114"/>
        </w:numPr>
        <w:spacing w:after="142" w:line="248" w:lineRule="auto"/>
        <w:ind w:right="244" w:hanging="10"/>
        <w:jc w:val="both"/>
      </w:pPr>
      <w:r>
        <w:rPr>
          <w:rFonts w:ascii="Arial" w:eastAsia="Arial" w:hAnsi="Arial" w:cs="Arial"/>
          <w:color w:val="202020"/>
        </w:rPr>
        <w:t>Cuando se prevea expresamente en las convocatorias, podrán acceder a la condición de bene</w:t>
      </w:r>
      <w:r>
        <w:rPr>
          <w:rFonts w:ascii="Arial" w:eastAsia="Arial" w:hAnsi="Arial" w:cs="Arial"/>
          <w:color w:val="202020"/>
        </w:rPr>
        <w:t>ficiario las agrupaciones de personas físicas o jurídicas, públicas o privadas, las comunidades de bienes o cualquier otro tipo de unidad económica o patrimonio separado que, aun careciendo de personalidad jurídica, puedan llevar a cabo los proyectos, acti</w:t>
      </w:r>
      <w:r>
        <w:rPr>
          <w:rFonts w:ascii="Arial" w:eastAsia="Arial" w:hAnsi="Arial" w:cs="Arial"/>
          <w:color w:val="202020"/>
        </w:rPr>
        <w:t xml:space="preserve">vidades o comportamientos o se encuentren en la situación que motiva la concesión de la subvención.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9. Entidades colaboradoras. </w:t>
      </w:r>
    </w:p>
    <w:p w:rsidR="00FF384B" w:rsidRDefault="003E3BA9">
      <w:pPr>
        <w:numPr>
          <w:ilvl w:val="0"/>
          <w:numId w:val="115"/>
        </w:numPr>
        <w:spacing w:after="142" w:line="248" w:lineRule="auto"/>
        <w:ind w:right="244" w:hanging="10"/>
        <w:jc w:val="both"/>
      </w:pPr>
      <w:r>
        <w:rPr>
          <w:rFonts w:ascii="Arial" w:eastAsia="Arial" w:hAnsi="Arial" w:cs="Arial"/>
          <w:color w:val="202020"/>
        </w:rPr>
        <w:t xml:space="preserve">Será entidad colaboradora aquella que, actuando en nombre y por cuenta del órgano concedente, a todos los efectos relacionados con la subvención, entregue y distribuya los fondos públicos a los beneficiarios, o colabore en la gestión de la subvención, sin </w:t>
      </w:r>
      <w:r>
        <w:rPr>
          <w:rFonts w:ascii="Arial" w:eastAsia="Arial" w:hAnsi="Arial" w:cs="Arial"/>
          <w:color w:val="202020"/>
        </w:rPr>
        <w:t xml:space="preserve">que se produzca la previa entrega y distribución de los fondos recibidos. Estos fondos, en ningún caso, se considerarán integrantes de su patrimonio. </w:t>
      </w:r>
    </w:p>
    <w:p w:rsidR="00FF384B" w:rsidRDefault="003E3BA9">
      <w:pPr>
        <w:spacing w:after="142" w:line="248" w:lineRule="auto"/>
        <w:ind w:left="278" w:right="244" w:hanging="10"/>
        <w:jc w:val="both"/>
      </w:pPr>
      <w:r>
        <w:rPr>
          <w:rFonts w:ascii="Arial" w:eastAsia="Arial" w:hAnsi="Arial" w:cs="Arial"/>
          <w:color w:val="202020"/>
        </w:rPr>
        <w:t>Igualmente tendrán esta condición los que habiendo sido denominados beneficiarios conforme a la normativa</w:t>
      </w:r>
      <w:r>
        <w:rPr>
          <w:rFonts w:ascii="Arial" w:eastAsia="Arial" w:hAnsi="Arial" w:cs="Arial"/>
          <w:color w:val="202020"/>
        </w:rPr>
        <w:t xml:space="preserve"> comunitaria, tengan encomendadas exclusivamente las funciones enumeradas en el párrafo anterior. </w:t>
      </w:r>
    </w:p>
    <w:p w:rsidR="00FF384B" w:rsidRDefault="003E3BA9">
      <w:pPr>
        <w:numPr>
          <w:ilvl w:val="0"/>
          <w:numId w:val="115"/>
        </w:numPr>
        <w:spacing w:after="142" w:line="248" w:lineRule="auto"/>
        <w:ind w:right="244" w:hanging="10"/>
        <w:jc w:val="both"/>
      </w:pPr>
      <w:r>
        <w:rPr>
          <w:rFonts w:ascii="Arial" w:eastAsia="Arial" w:hAnsi="Arial" w:cs="Arial"/>
          <w:color w:val="202020"/>
        </w:rPr>
        <w:t>Podrán ser consideradas entidades colaboradoras, los organismos y demás entes de derecho público dependientes del Ayuntamiento, las sociedades mercantiles pa</w:t>
      </w:r>
      <w:r>
        <w:rPr>
          <w:rFonts w:ascii="Arial" w:eastAsia="Arial" w:hAnsi="Arial" w:cs="Arial"/>
          <w:color w:val="202020"/>
        </w:rPr>
        <w:t xml:space="preserve">rticipadas íntegra o mayoritariamente por el mismo y las asociaciones a que se refiere la disposición adicional quinta de la Ley 7/1985, de 2 de abril, reguladora de las Bases de Régimen Local, modificada por la Ley 57/2003, de 16 de diciembre, de Medidas </w:t>
      </w:r>
      <w:r>
        <w:rPr>
          <w:rFonts w:ascii="Arial" w:eastAsia="Arial" w:hAnsi="Arial" w:cs="Arial"/>
          <w:color w:val="202020"/>
        </w:rPr>
        <w:t>para la Modernización del Gobierno Local, y por la Ley 27/2013, de 27 de diciembre, de racionalización y sostenibilidad de la Administración Local, así como las demás personas jurídicas públicas o privadas que reúnan las condiciones de solvencia y eficacia</w:t>
      </w:r>
      <w:r>
        <w:rPr>
          <w:rFonts w:ascii="Arial" w:eastAsia="Arial" w:hAnsi="Arial" w:cs="Arial"/>
          <w:color w:val="202020"/>
        </w:rPr>
        <w:t xml:space="preserve"> que se establezcan. </w:t>
      </w:r>
    </w:p>
    <w:p w:rsidR="00FF384B" w:rsidRDefault="003E3BA9">
      <w:pPr>
        <w:numPr>
          <w:ilvl w:val="0"/>
          <w:numId w:val="115"/>
        </w:numPr>
        <w:spacing w:after="142" w:line="248" w:lineRule="auto"/>
        <w:ind w:right="244" w:hanging="10"/>
        <w:jc w:val="both"/>
      </w:pPr>
      <w:r>
        <w:rPr>
          <w:rFonts w:ascii="Arial" w:eastAsia="Arial" w:hAnsi="Arial" w:cs="Arial"/>
          <w:color w:val="202020"/>
        </w:rPr>
        <w:t xml:space="preserve">El Ayuntamiento de Candelaria podrá actuar como entidad colaboradora de las subvenciones concedidas por la Administración General del Estado, la Administración de la Comunidad Autónoma de Canarias, así como sus respectivos organismos </w:t>
      </w:r>
      <w:r>
        <w:rPr>
          <w:rFonts w:ascii="Arial" w:eastAsia="Arial" w:hAnsi="Arial" w:cs="Arial"/>
          <w:color w:val="202020"/>
        </w:rPr>
        <w:t>públicos y demás entes que tengan que ajustar su actividad al derecho público. De igual forma, y en los mismos términos, la Administración General del Estado, la Administración de la Comunidad Autónoma de Canarias y sus respectivos organismos públicos, pod</w:t>
      </w:r>
      <w:r>
        <w:rPr>
          <w:rFonts w:ascii="Arial" w:eastAsia="Arial" w:hAnsi="Arial" w:cs="Arial"/>
          <w:color w:val="202020"/>
        </w:rPr>
        <w:t xml:space="preserve">rán actuar como entidades colaboradoras respecto de las subvenciones concedidas por el Ayuntamiento de Candelaria y sus entes dependientes. </w:t>
      </w:r>
    </w:p>
    <w:p w:rsidR="00FF384B" w:rsidRDefault="003E3BA9">
      <w:pPr>
        <w:spacing w:after="143" w:line="248" w:lineRule="auto"/>
        <w:ind w:left="278" w:right="244" w:hanging="10"/>
        <w:jc w:val="both"/>
      </w:pPr>
      <w:r>
        <w:rPr>
          <w:rFonts w:ascii="Arial" w:eastAsia="Arial" w:hAnsi="Arial" w:cs="Arial"/>
          <w:i/>
          <w:color w:val="202020"/>
        </w:rPr>
        <w:t xml:space="preserve">Artículo 10. Requisitos para obtener la condición de beneficiario o entidad colaboradora. </w:t>
      </w:r>
    </w:p>
    <w:p w:rsidR="00FF384B" w:rsidRDefault="003E3BA9">
      <w:pPr>
        <w:numPr>
          <w:ilvl w:val="0"/>
          <w:numId w:val="116"/>
        </w:numPr>
        <w:spacing w:after="142" w:line="248" w:lineRule="auto"/>
        <w:ind w:right="244" w:hanging="10"/>
        <w:jc w:val="both"/>
      </w:pPr>
      <w:r>
        <w:rPr>
          <w:noProof/>
        </w:rPr>
        <mc:AlternateContent>
          <mc:Choice Requires="wpg">
            <w:drawing>
              <wp:anchor distT="0" distB="0" distL="114300" distR="114300" simplePos="0" relativeHeight="2517708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6098" name="Group 45609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461" name="Picture 23461"/>
                          <pic:cNvPicPr/>
                        </pic:nvPicPr>
                        <pic:blipFill>
                          <a:blip r:embed="rId62"/>
                          <a:stretch>
                            <a:fillRect/>
                          </a:stretch>
                        </pic:blipFill>
                        <pic:spPr>
                          <a:xfrm rot="-5399999">
                            <a:off x="-1720849" y="1720849"/>
                            <a:ext cx="3797300" cy="355601"/>
                          </a:xfrm>
                          <a:prstGeom prst="rect">
                            <a:avLst/>
                          </a:prstGeom>
                        </pic:spPr>
                      </pic:pic>
                      <wps:wsp>
                        <wps:cNvPr id="23462" name="Rectangle 234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w:t>
                              </w:r>
                              <w:r>
                                <w:rPr>
                                  <w:rFonts w:ascii="Arial" w:eastAsia="Arial" w:hAnsi="Arial" w:cs="Arial"/>
                                  <w:sz w:val="12"/>
                                </w:rPr>
                                <w:t xml:space="preserve">ADAG9QWZ53RMHD5RCHL7K | Verificación: https://candelaria.sedelectronica.es/ </w:t>
                              </w:r>
                            </w:p>
                          </w:txbxContent>
                        </wps:txbx>
                        <wps:bodyPr horzOverflow="overflow" vert="horz" lIns="0" tIns="0" rIns="0" bIns="0" rtlCol="0">
                          <a:noAutofit/>
                        </wps:bodyPr>
                      </wps:wsp>
                      <wps:wsp>
                        <wps:cNvPr id="23463" name="Rectangle 2346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109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6098" style="width:41.2715pt;height:299pt;position:absolute;mso-position-horizontal-relative:page;mso-position-horizontal:absolute;margin-left:653.71pt;mso-position-vertical-relative:page;margin-top:512.92pt;" coordsize="5241,37973">
                <v:shape id="Picture 23461" style="position:absolute;width:37973;height:3556;left:-17208;top:17208;rotation:-89;" filled="f">
                  <v:imagedata r:id="rId63"/>
                </v:shape>
                <v:rect id="Rectangle 234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46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353 </w:t>
                        </w:r>
                      </w:p>
                    </w:txbxContent>
                  </v:textbox>
                </v:rect>
                <w10:wrap type="square"/>
              </v:group>
            </w:pict>
          </mc:Fallback>
        </mc:AlternateContent>
      </w:r>
      <w:r>
        <w:rPr>
          <w:rFonts w:ascii="Arial" w:eastAsia="Arial" w:hAnsi="Arial" w:cs="Arial"/>
          <w:color w:val="202020"/>
        </w:rPr>
        <w:t>Podrán obtener la condición de beneficiario o entidad colaboradora, las personas o</w:t>
      </w:r>
      <w:r>
        <w:rPr>
          <w:rFonts w:ascii="Arial" w:eastAsia="Arial" w:hAnsi="Arial" w:cs="Arial"/>
          <w:color w:val="202020"/>
        </w:rPr>
        <w:t xml:space="preserve"> entidades que se encuentren en la situación que fundamenta la concesión de la subvención o en las que concurran las circunstancias previstas en la convocatoria. </w:t>
      </w:r>
    </w:p>
    <w:p w:rsidR="00FF384B" w:rsidRDefault="003E3BA9">
      <w:pPr>
        <w:numPr>
          <w:ilvl w:val="0"/>
          <w:numId w:val="116"/>
        </w:numPr>
        <w:spacing w:after="142" w:line="248" w:lineRule="auto"/>
        <w:ind w:right="244" w:hanging="10"/>
        <w:jc w:val="both"/>
      </w:pPr>
      <w:r>
        <w:rPr>
          <w:rFonts w:ascii="Arial" w:eastAsia="Arial" w:hAnsi="Arial" w:cs="Arial"/>
          <w:color w:val="202020"/>
        </w:rPr>
        <w:t>No podrán obtener la condición de beneficiario o entidad colaboradora de las subvenciones reguladas en esta Ordenanza, las personas o entidades en quienes concurra alguna de las circunstancias previstas en la legislación vigente, salvo que por la naturalez</w:t>
      </w:r>
      <w:r>
        <w:rPr>
          <w:rFonts w:ascii="Arial" w:eastAsia="Arial" w:hAnsi="Arial" w:cs="Arial"/>
          <w:color w:val="202020"/>
        </w:rPr>
        <w:t xml:space="preserve">a de la subvención se exceptúe por su normativa reguladora. </w:t>
      </w:r>
    </w:p>
    <w:p w:rsidR="00FF384B" w:rsidRDefault="003E3BA9">
      <w:pPr>
        <w:numPr>
          <w:ilvl w:val="1"/>
          <w:numId w:val="116"/>
        </w:numPr>
        <w:spacing w:after="92" w:line="248" w:lineRule="auto"/>
        <w:ind w:right="244" w:hanging="10"/>
        <w:jc w:val="both"/>
      </w:pPr>
      <w:r>
        <w:rPr>
          <w:rFonts w:ascii="Arial" w:eastAsia="Arial" w:hAnsi="Arial" w:cs="Arial"/>
          <w:color w:val="202020"/>
        </w:rPr>
        <w:t>Haber sido condenados mediante sentencia firme a la pena de pérdida de la posibilidad de obtener subvenciones o ayudas públicas o por delitos de prevaricación, cohecho, malversación de caudales p</w:t>
      </w:r>
      <w:r>
        <w:rPr>
          <w:rFonts w:ascii="Arial" w:eastAsia="Arial" w:hAnsi="Arial" w:cs="Arial"/>
          <w:color w:val="202020"/>
        </w:rPr>
        <w:t xml:space="preserve">úblicos, tráfico de influencias, fraudes y exacciones ilegales o delitos urbanísticos. </w:t>
      </w:r>
    </w:p>
    <w:p w:rsidR="00FF384B" w:rsidRDefault="003E3BA9">
      <w:pPr>
        <w:numPr>
          <w:ilvl w:val="1"/>
          <w:numId w:val="116"/>
        </w:numPr>
        <w:spacing w:after="92" w:line="248" w:lineRule="auto"/>
        <w:ind w:right="244" w:hanging="10"/>
        <w:jc w:val="both"/>
      </w:pPr>
      <w:r>
        <w:rPr>
          <w:rFonts w:ascii="Arial" w:eastAsia="Arial" w:hAnsi="Arial" w:cs="Arial"/>
          <w:color w:val="202020"/>
        </w:rPr>
        <w:t>Haber solicitado la declaración de concurso voluntario, haber sido declarados insolventes en cualquier procedimiento, hallarse declarados en concurso, salvo que en éste</w:t>
      </w:r>
      <w:r>
        <w:rPr>
          <w:rFonts w:ascii="Arial" w:eastAsia="Arial" w:hAnsi="Arial" w:cs="Arial"/>
          <w:color w:val="202020"/>
        </w:rPr>
        <w:t xml:space="preserve"> haya adquirido la eficacia un convenio, estar sujetos a intervención judicial o haber sido inhabilitados conforme a la Ley 22/2003, de 9 de julio, Concursal, sin que haya concluido el período de inhabilitación fijado en la sentencia de calificación del co</w:t>
      </w:r>
      <w:r>
        <w:rPr>
          <w:rFonts w:ascii="Arial" w:eastAsia="Arial" w:hAnsi="Arial" w:cs="Arial"/>
          <w:color w:val="202020"/>
        </w:rPr>
        <w:t xml:space="preserve">ncurso. </w:t>
      </w:r>
    </w:p>
    <w:p w:rsidR="00FF384B" w:rsidRDefault="003E3BA9">
      <w:pPr>
        <w:numPr>
          <w:ilvl w:val="1"/>
          <w:numId w:val="116"/>
        </w:numPr>
        <w:spacing w:after="95" w:line="248" w:lineRule="auto"/>
        <w:ind w:right="244" w:hanging="10"/>
        <w:jc w:val="both"/>
      </w:pPr>
      <w:r>
        <w:rPr>
          <w:rFonts w:ascii="Arial" w:eastAsia="Arial" w:hAnsi="Arial" w:cs="Arial"/>
          <w:color w:val="202020"/>
        </w:rPr>
        <w:t xml:space="preserve">Haber dado lugar, por causa de la que hubiesen sido declarados culpables, a la resolución firme de cualquier contrato celebrado con la Administración. </w:t>
      </w:r>
    </w:p>
    <w:p w:rsidR="00FF384B" w:rsidRDefault="003E3BA9">
      <w:pPr>
        <w:numPr>
          <w:ilvl w:val="1"/>
          <w:numId w:val="116"/>
        </w:numPr>
        <w:spacing w:after="92" w:line="248" w:lineRule="auto"/>
        <w:ind w:right="244" w:hanging="10"/>
        <w:jc w:val="both"/>
      </w:pPr>
      <w:r>
        <w:rPr>
          <w:rFonts w:ascii="Arial" w:eastAsia="Arial" w:hAnsi="Arial" w:cs="Arial"/>
          <w:color w:val="202020"/>
        </w:rPr>
        <w:t>Estar incursa la persona física, los administradores de las sociedades mercantiles o aquellos que ostenten la representación legal de otras personas jurídicas, en alguno de los supuestos de la Ley 3/2015, de 30 de marzo, reguladora del ejercicio del alto c</w:t>
      </w:r>
      <w:r>
        <w:rPr>
          <w:rFonts w:ascii="Arial" w:eastAsia="Arial" w:hAnsi="Arial" w:cs="Arial"/>
          <w:color w:val="202020"/>
        </w:rPr>
        <w:t>argo de la Administración General del Estado, de la Ley 53/1984, de 26 de diciembre, de incompatibilidades del Personal al Servicio de las Administraciones Públicas, o tratarse de cualquiera de los cargos electivos regulados en la Ley Orgánica 5/1985, de 1</w:t>
      </w:r>
      <w:r>
        <w:rPr>
          <w:rFonts w:ascii="Arial" w:eastAsia="Arial" w:hAnsi="Arial" w:cs="Arial"/>
          <w:color w:val="202020"/>
        </w:rPr>
        <w:t xml:space="preserve">9 de junio, del Régimen Electoral General, en los términos establecidos en la misma o en la normativa autonómica que regule estas materias. </w:t>
      </w:r>
    </w:p>
    <w:p w:rsidR="00FF384B" w:rsidRDefault="003E3BA9">
      <w:pPr>
        <w:numPr>
          <w:ilvl w:val="1"/>
          <w:numId w:val="116"/>
        </w:numPr>
        <w:spacing w:after="92" w:line="248" w:lineRule="auto"/>
        <w:ind w:right="244" w:hanging="10"/>
        <w:jc w:val="both"/>
      </w:pPr>
      <w:r>
        <w:rPr>
          <w:rFonts w:ascii="Arial" w:eastAsia="Arial" w:hAnsi="Arial" w:cs="Arial"/>
          <w:color w:val="202020"/>
        </w:rPr>
        <w:t>No hallarse al corriente en el cumplimiento de las obligaciones tributarias o frente a la Seguridad Social impuesta</w:t>
      </w:r>
      <w:r>
        <w:rPr>
          <w:rFonts w:ascii="Arial" w:eastAsia="Arial" w:hAnsi="Arial" w:cs="Arial"/>
          <w:color w:val="202020"/>
        </w:rPr>
        <w:t xml:space="preserve">s por las disposiciones vigentes, en la forma que se determine reglamentariamente. </w:t>
      </w:r>
    </w:p>
    <w:p w:rsidR="00FF384B" w:rsidRDefault="003E3BA9">
      <w:pPr>
        <w:numPr>
          <w:ilvl w:val="1"/>
          <w:numId w:val="116"/>
        </w:numPr>
        <w:spacing w:after="92" w:line="248" w:lineRule="auto"/>
        <w:ind w:right="244" w:hanging="10"/>
        <w:jc w:val="both"/>
      </w:pPr>
      <w:r>
        <w:rPr>
          <w:rFonts w:ascii="Arial" w:eastAsia="Arial" w:hAnsi="Arial" w:cs="Arial"/>
          <w:color w:val="202020"/>
        </w:rPr>
        <w:t xml:space="preserve">Tener la residencia fiscal en un país o territorio calificado reglamentariamente como paraíso fiscal. </w:t>
      </w:r>
    </w:p>
    <w:p w:rsidR="00FF384B" w:rsidRDefault="003E3BA9">
      <w:pPr>
        <w:numPr>
          <w:ilvl w:val="1"/>
          <w:numId w:val="116"/>
        </w:numPr>
        <w:spacing w:after="92" w:line="248" w:lineRule="auto"/>
        <w:ind w:right="244" w:hanging="10"/>
        <w:jc w:val="both"/>
      </w:pPr>
      <w:r>
        <w:rPr>
          <w:rFonts w:ascii="Arial" w:eastAsia="Arial" w:hAnsi="Arial" w:cs="Arial"/>
          <w:color w:val="202020"/>
        </w:rPr>
        <w:t>No hallarse al corriente de pago de obligaciones por reintegro de sub</w:t>
      </w:r>
      <w:r>
        <w:rPr>
          <w:rFonts w:ascii="Arial" w:eastAsia="Arial" w:hAnsi="Arial" w:cs="Arial"/>
          <w:color w:val="202020"/>
        </w:rPr>
        <w:t xml:space="preserve">venciones en los términos que reglamentariamente se determinen. </w:t>
      </w:r>
    </w:p>
    <w:p w:rsidR="00FF384B" w:rsidRDefault="003E3BA9">
      <w:pPr>
        <w:numPr>
          <w:ilvl w:val="1"/>
          <w:numId w:val="116"/>
        </w:numPr>
        <w:spacing w:after="92" w:line="248" w:lineRule="auto"/>
        <w:ind w:right="244" w:hanging="10"/>
        <w:jc w:val="both"/>
      </w:pPr>
      <w:r>
        <w:rPr>
          <w:rFonts w:ascii="Arial" w:eastAsia="Arial" w:hAnsi="Arial" w:cs="Arial"/>
          <w:color w:val="202020"/>
        </w:rPr>
        <w:t xml:space="preserve">Haber sido sancionado mediante resolución firme con la pérdida de la posibilidad de obtener subvenciones conforme a ésta u otras leyes que así lo establezcan. </w:t>
      </w:r>
    </w:p>
    <w:p w:rsidR="00FF384B" w:rsidRDefault="003E3BA9">
      <w:pPr>
        <w:numPr>
          <w:ilvl w:val="1"/>
          <w:numId w:val="116"/>
        </w:numPr>
        <w:spacing w:after="92" w:line="248" w:lineRule="auto"/>
        <w:ind w:right="244" w:hanging="10"/>
        <w:jc w:val="both"/>
      </w:pPr>
      <w:r>
        <w:rPr>
          <w:rFonts w:ascii="Arial" w:eastAsia="Arial" w:hAnsi="Arial" w:cs="Arial"/>
          <w:color w:val="202020"/>
        </w:rPr>
        <w:t>No podrán acceder a la condició</w:t>
      </w:r>
      <w:r>
        <w:rPr>
          <w:rFonts w:ascii="Arial" w:eastAsia="Arial" w:hAnsi="Arial" w:cs="Arial"/>
          <w:color w:val="202020"/>
        </w:rPr>
        <w:t xml:space="preserve">n de beneficiarios las agrupaciones previstas en el artículo 11.3, párrafo segundo de la ley General de Subvenciones, cuando concurra alguna de las prohibiciones anteriores en cualquiera de sus miembros. </w:t>
      </w:r>
    </w:p>
    <w:p w:rsidR="00FF384B" w:rsidRDefault="003E3BA9">
      <w:pPr>
        <w:numPr>
          <w:ilvl w:val="1"/>
          <w:numId w:val="116"/>
        </w:numPr>
        <w:spacing w:after="92" w:line="248" w:lineRule="auto"/>
        <w:ind w:right="244" w:hanging="10"/>
        <w:jc w:val="both"/>
      </w:pPr>
      <w:r>
        <w:rPr>
          <w:noProof/>
        </w:rPr>
        <mc:AlternateContent>
          <mc:Choice Requires="wpg">
            <w:drawing>
              <wp:anchor distT="0" distB="0" distL="114300" distR="114300" simplePos="0" relativeHeight="2517719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6218" name="Group 45621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604" name="Picture 23604"/>
                          <pic:cNvPicPr/>
                        </pic:nvPicPr>
                        <pic:blipFill>
                          <a:blip r:embed="rId62"/>
                          <a:stretch>
                            <a:fillRect/>
                          </a:stretch>
                        </pic:blipFill>
                        <pic:spPr>
                          <a:xfrm rot="-5399999">
                            <a:off x="-1720849" y="1720849"/>
                            <a:ext cx="3797300" cy="355601"/>
                          </a:xfrm>
                          <a:prstGeom prst="rect">
                            <a:avLst/>
                          </a:prstGeom>
                        </pic:spPr>
                      </pic:pic>
                      <wps:wsp>
                        <wps:cNvPr id="23605" name="Rectangle 2360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23606" name="Rectangle 23606"/>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6218" style="width:41.2715pt;height:299pt;position:absolute;mso-position-horizontal-relative:page;mso-position-horizontal:absolute;margin-left:653.71pt;mso-position-vertical-relative:page;margin-top:512.92pt;" coordsize="5241,37973">
                <v:shape id="Picture 23604" style="position:absolute;width:37973;height:3556;left:-17208;top:17208;rotation:-89;" filled="f">
                  <v:imagedata r:id="rId63"/>
                </v:shape>
                <v:rect id="Rectangle 2360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606"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353 </w:t>
                        </w:r>
                      </w:p>
                    </w:txbxContent>
                  </v:textbox>
                </v:rect>
                <w10:wrap type="square"/>
              </v:group>
            </w:pict>
          </mc:Fallback>
        </mc:AlternateContent>
      </w:r>
      <w:r>
        <w:rPr>
          <w:rFonts w:ascii="Arial" w:eastAsia="Arial" w:hAnsi="Arial" w:cs="Arial"/>
          <w:color w:val="202020"/>
        </w:rPr>
        <w:t xml:space="preserve">Las prohibiciones de obtener subvenciones afectarán también a aquellas empresas de las que, por razón de las </w:t>
      </w:r>
      <w:r>
        <w:rPr>
          <w:rFonts w:ascii="Arial" w:eastAsia="Arial" w:hAnsi="Arial" w:cs="Arial"/>
          <w:color w:val="202020"/>
        </w:rPr>
        <w:t xml:space="preserve">personas que las rigen o de otras circunstancias, pueda presumirse que son continuación o que derivan, por transformación, fusión o sucesión, de otras empresas en las que hubiesen concurrido aquéllas. </w:t>
      </w:r>
    </w:p>
    <w:p w:rsidR="00FF384B" w:rsidRDefault="003E3BA9">
      <w:pPr>
        <w:numPr>
          <w:ilvl w:val="1"/>
          <w:numId w:val="116"/>
        </w:numPr>
        <w:spacing w:after="0" w:line="248" w:lineRule="auto"/>
        <w:ind w:right="244" w:hanging="10"/>
        <w:jc w:val="both"/>
      </w:pPr>
      <w:r>
        <w:rPr>
          <w:rFonts w:ascii="Arial" w:eastAsia="Arial" w:hAnsi="Arial" w:cs="Arial"/>
          <w:color w:val="202020"/>
        </w:rPr>
        <w:t>En ningún caso podrán obtener la condición de benefici</w:t>
      </w:r>
      <w:r>
        <w:rPr>
          <w:rFonts w:ascii="Arial" w:eastAsia="Arial" w:hAnsi="Arial" w:cs="Arial"/>
          <w:color w:val="202020"/>
        </w:rPr>
        <w:t xml:space="preserve">ario o entidad colaboradora de las subvenciones reguladas en esta ley las asociaciones incursas en las causas de prohibición previstas en los apartados 5 y 6 del artículo 4 de la Ley Orgánica 1/2002, de 22 de marzo, reguladora del Derecho de Asociación. </w:t>
      </w:r>
    </w:p>
    <w:p w:rsidR="00FF384B" w:rsidRDefault="003E3BA9">
      <w:pPr>
        <w:spacing w:after="92" w:line="248" w:lineRule="auto"/>
        <w:ind w:left="1013" w:right="244" w:hanging="10"/>
        <w:jc w:val="both"/>
      </w:pPr>
      <w:r>
        <w:rPr>
          <w:rFonts w:ascii="Arial" w:eastAsia="Arial" w:hAnsi="Arial" w:cs="Arial"/>
          <w:color w:val="202020"/>
        </w:rPr>
        <w:t>T</w:t>
      </w:r>
      <w:r>
        <w:rPr>
          <w:rFonts w:ascii="Arial" w:eastAsia="Arial" w:hAnsi="Arial" w:cs="Arial"/>
          <w:color w:val="202020"/>
        </w:rPr>
        <w:t>ampoco podrán obtener la condición de beneficiario o entidad colaboradora las asociaciones respecto de las que se hubiera suspendido el procedimiento administrativo de inscripción por encontrarse indicios racionales de ilicitud penal, en aplicación de lo d</w:t>
      </w:r>
      <w:r>
        <w:rPr>
          <w:rFonts w:ascii="Arial" w:eastAsia="Arial" w:hAnsi="Arial" w:cs="Arial"/>
          <w:color w:val="202020"/>
        </w:rPr>
        <w:t xml:space="preserve">ispuesto en el artículo 30.4 de la Ley Orgánica 1/2002, en tanto no recaiga resolución judicial firme en cuya virtud pueda practicarse la inscripción en el correspondiente registro. </w:t>
      </w:r>
    </w:p>
    <w:p w:rsidR="00FF384B" w:rsidRDefault="003E3BA9">
      <w:pPr>
        <w:numPr>
          <w:ilvl w:val="1"/>
          <w:numId w:val="116"/>
        </w:numPr>
        <w:spacing w:after="92" w:line="248" w:lineRule="auto"/>
        <w:ind w:right="244" w:hanging="10"/>
        <w:jc w:val="both"/>
      </w:pPr>
      <w:r>
        <w:rPr>
          <w:rFonts w:ascii="Arial" w:eastAsia="Arial" w:hAnsi="Arial" w:cs="Arial"/>
          <w:color w:val="202020"/>
        </w:rPr>
        <w:t>Las prohibiciones contenidas en los párrafos b), d), e), f), g), h), i) y</w:t>
      </w:r>
      <w:r>
        <w:rPr>
          <w:rFonts w:ascii="Arial" w:eastAsia="Arial" w:hAnsi="Arial" w:cs="Arial"/>
          <w:color w:val="202020"/>
        </w:rPr>
        <w:t xml:space="preserve"> j) del apartado 2 y en el apartado 3 de este artículo se apreciarán de forma automática y subsistirán mientras concurran las circunstancias que, en cada caso, las determinen. </w:t>
      </w:r>
    </w:p>
    <w:p w:rsidR="00FF384B" w:rsidRDefault="003E3BA9">
      <w:pPr>
        <w:numPr>
          <w:ilvl w:val="1"/>
          <w:numId w:val="116"/>
        </w:numPr>
        <w:spacing w:after="0" w:line="248" w:lineRule="auto"/>
        <w:ind w:right="244" w:hanging="10"/>
        <w:jc w:val="both"/>
      </w:pPr>
      <w:r>
        <w:rPr>
          <w:rFonts w:ascii="Arial" w:eastAsia="Arial" w:hAnsi="Arial" w:cs="Arial"/>
          <w:color w:val="202020"/>
        </w:rPr>
        <w:t>Las prohibiciones contenidas en los párrafos a) y h) del apartado 2 de este art</w:t>
      </w:r>
      <w:r>
        <w:rPr>
          <w:rFonts w:ascii="Arial" w:eastAsia="Arial" w:hAnsi="Arial" w:cs="Arial"/>
          <w:color w:val="202020"/>
        </w:rPr>
        <w:t xml:space="preserve">ículo se apreciarán de forma automática. El alcance de la prohibición será el que determine la sentencia o resolución firme. En su defecto, el alcance se fijará de acuerdo con el procedimiento determinado reglamentariamente, sin que pueda exceder de cinco </w:t>
      </w:r>
      <w:r>
        <w:rPr>
          <w:rFonts w:ascii="Arial" w:eastAsia="Arial" w:hAnsi="Arial" w:cs="Arial"/>
          <w:color w:val="202020"/>
        </w:rPr>
        <w:t xml:space="preserve">años en caso de que la prohibición no derive de sentencia firme. </w:t>
      </w:r>
    </w:p>
    <w:p w:rsidR="00FF384B" w:rsidRDefault="003E3BA9">
      <w:pPr>
        <w:numPr>
          <w:ilvl w:val="1"/>
          <w:numId w:val="116"/>
        </w:numPr>
        <w:spacing w:after="94" w:line="248" w:lineRule="auto"/>
        <w:ind w:right="244" w:hanging="10"/>
        <w:jc w:val="both"/>
      </w:pPr>
      <w:r>
        <w:rPr>
          <w:rFonts w:ascii="Arial" w:eastAsia="Arial" w:hAnsi="Arial" w:cs="Arial"/>
          <w:color w:val="202020"/>
        </w:rPr>
        <w:t xml:space="preserve">La apreciación y alcance de la prohibición contenida en el párrafo c) del apartado 2 de este artículo se determinará de acuerdo con lo establecido en el artículo 72, en relación con el artículo 71 de la Ley de Contratos del Sector Público. </w:t>
      </w:r>
    </w:p>
    <w:p w:rsidR="00FF384B" w:rsidRDefault="003E3BA9">
      <w:pPr>
        <w:numPr>
          <w:ilvl w:val="0"/>
          <w:numId w:val="116"/>
        </w:numPr>
        <w:spacing w:after="142" w:line="248" w:lineRule="auto"/>
        <w:ind w:right="244" w:hanging="10"/>
        <w:jc w:val="both"/>
      </w:pPr>
      <w:r>
        <w:rPr>
          <w:rFonts w:ascii="Arial" w:eastAsia="Arial" w:hAnsi="Arial" w:cs="Arial"/>
          <w:color w:val="202020"/>
        </w:rPr>
        <w:t>La justificació</w:t>
      </w:r>
      <w:r>
        <w:rPr>
          <w:rFonts w:ascii="Arial" w:eastAsia="Arial" w:hAnsi="Arial" w:cs="Arial"/>
          <w:color w:val="202020"/>
        </w:rPr>
        <w:t>n por parte de las personas o entidades de no estar incursos en las prohibiciones para obtener la condición de beneficiario o entidad colaboradora, señaladas en el apartado anterior, podrá realizarse mediante testimonio judicial, certificados telemáticos o</w:t>
      </w:r>
      <w:r>
        <w:rPr>
          <w:rFonts w:ascii="Arial" w:eastAsia="Arial" w:hAnsi="Arial" w:cs="Arial"/>
          <w:color w:val="202020"/>
        </w:rPr>
        <w:t xml:space="preserve"> transmisiones de datos, de acuerdo con lo establecido en la normativa reglamentaria que regule la utilización de técnicas electrónicas, informáticas y telemáticas por la Administración General del Estado o de las comunidades autónomas, o certificación adm</w:t>
      </w:r>
      <w:r>
        <w:rPr>
          <w:rFonts w:ascii="Arial" w:eastAsia="Arial" w:hAnsi="Arial" w:cs="Arial"/>
          <w:color w:val="202020"/>
        </w:rPr>
        <w:t xml:space="preserve">inistrativa, según los casos, y cuando dicho documento no pueda ser expedido por la autoridad competente, podrá ser sustituido por una declaración responsable otorgada ante una autoridad administrativa o notario público.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Artículo 11. Obligaciones de los</w:t>
      </w:r>
      <w:r>
        <w:rPr>
          <w:rFonts w:ascii="Arial" w:eastAsia="Arial" w:hAnsi="Arial" w:cs="Arial"/>
          <w:i/>
          <w:color w:val="202020"/>
        </w:rPr>
        <w:t xml:space="preserve"> beneficiarios. </w:t>
      </w:r>
    </w:p>
    <w:p w:rsidR="00FF384B" w:rsidRDefault="003E3BA9">
      <w:pPr>
        <w:spacing w:after="142" w:line="248" w:lineRule="auto"/>
        <w:ind w:left="278" w:right="244" w:hanging="10"/>
        <w:jc w:val="both"/>
      </w:pPr>
      <w:r>
        <w:rPr>
          <w:rFonts w:ascii="Arial" w:eastAsia="Arial" w:hAnsi="Arial" w:cs="Arial"/>
          <w:color w:val="202020"/>
        </w:rPr>
        <w:t xml:space="preserve">1. Son obligaciones del beneficiario, además de las previstas en la legislación vigente: </w:t>
      </w:r>
    </w:p>
    <w:p w:rsidR="00FF384B" w:rsidRDefault="003E3BA9">
      <w:pPr>
        <w:numPr>
          <w:ilvl w:val="0"/>
          <w:numId w:val="117"/>
        </w:numPr>
        <w:spacing w:after="92" w:line="248" w:lineRule="auto"/>
        <w:ind w:right="244" w:hanging="247"/>
        <w:jc w:val="both"/>
      </w:pPr>
      <w:r>
        <w:rPr>
          <w:rFonts w:ascii="Arial" w:eastAsia="Arial" w:hAnsi="Arial" w:cs="Arial"/>
          <w:color w:val="202020"/>
        </w:rPr>
        <w:t xml:space="preserve">Cumplir el objetivo, ejecutar el proyecto, realizar la actividad o adoptar el comportamiento que fundamenta la concesión de las subvenciones. </w:t>
      </w:r>
    </w:p>
    <w:p w:rsidR="00FF384B" w:rsidRDefault="003E3BA9">
      <w:pPr>
        <w:numPr>
          <w:ilvl w:val="0"/>
          <w:numId w:val="117"/>
        </w:numPr>
        <w:spacing w:after="92" w:line="248" w:lineRule="auto"/>
        <w:ind w:right="244" w:hanging="247"/>
        <w:jc w:val="both"/>
      </w:pPr>
      <w:r>
        <w:rPr>
          <w:noProof/>
        </w:rPr>
        <mc:AlternateContent>
          <mc:Choice Requires="wpg">
            <w:drawing>
              <wp:anchor distT="0" distB="0" distL="114300" distR="114300" simplePos="0" relativeHeight="2517729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6726" name="Group 45672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741" name="Picture 23741"/>
                          <pic:cNvPicPr/>
                        </pic:nvPicPr>
                        <pic:blipFill>
                          <a:blip r:embed="rId62"/>
                          <a:stretch>
                            <a:fillRect/>
                          </a:stretch>
                        </pic:blipFill>
                        <pic:spPr>
                          <a:xfrm rot="-5399999">
                            <a:off x="-1720849" y="1720849"/>
                            <a:ext cx="3797300" cy="355601"/>
                          </a:xfrm>
                          <a:prstGeom prst="rect">
                            <a:avLst/>
                          </a:prstGeom>
                        </pic:spPr>
                      </pic:pic>
                      <wps:wsp>
                        <wps:cNvPr id="23742" name="Rectangle 2374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w:t>
                              </w:r>
                              <w:r>
                                <w:rPr>
                                  <w:rFonts w:ascii="Arial" w:eastAsia="Arial" w:hAnsi="Arial" w:cs="Arial"/>
                                  <w:sz w:val="12"/>
                                </w:rPr>
                                <w:t xml:space="preserve">. Validación: 9792ADAG9QWZ53RMHD5RCHL7K | Verificación: https://candelaria.sedelectronica.es/ </w:t>
                              </w:r>
                            </w:p>
                          </w:txbxContent>
                        </wps:txbx>
                        <wps:bodyPr horzOverflow="overflow" vert="horz" lIns="0" tIns="0" rIns="0" bIns="0" rtlCol="0">
                          <a:noAutofit/>
                        </wps:bodyPr>
                      </wps:wsp>
                      <wps:wsp>
                        <wps:cNvPr id="23743" name="Rectangle 23743"/>
                        <wps:cNvSpPr/>
                        <wps:spPr>
                          <a:xfrm rot="-5399999">
                            <a:off x="-1728256" y="1516802"/>
                            <a:ext cx="4447773"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6726" style="width:41.2715pt;height:299pt;position:absolute;mso-position-horizontal-relative:page;mso-position-horizontal:absolute;margin-left:653.71pt;mso-position-vertical-relative:page;margin-top:512.92pt;" coordsize="5241,37973">
                <v:shape id="Picture 23741" style="position:absolute;width:37973;height:3556;left:-17208;top:17208;rotation:-89;" filled="f">
                  <v:imagedata r:id="rId63"/>
                </v:shape>
                <v:rect id="Rectangle 2374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743" style="position:absolute;width:44477;height:1132;left:-17282;top:1516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353 </w:t>
                        </w:r>
                      </w:p>
                    </w:txbxContent>
                  </v:textbox>
                </v:rect>
                <w10:wrap type="square"/>
              </v:group>
            </w:pict>
          </mc:Fallback>
        </mc:AlternateContent>
      </w:r>
      <w:r>
        <w:rPr>
          <w:rFonts w:ascii="Arial" w:eastAsia="Arial" w:hAnsi="Arial" w:cs="Arial"/>
          <w:color w:val="202020"/>
        </w:rPr>
        <w:t xml:space="preserve">Justificar ante el órgano concedente o la entidad colaboradora, </w:t>
      </w:r>
      <w:r>
        <w:rPr>
          <w:rFonts w:ascii="Arial" w:eastAsia="Arial" w:hAnsi="Arial" w:cs="Arial"/>
          <w:color w:val="202020"/>
        </w:rPr>
        <w:t xml:space="preserve">en su caso, el cumplimiento de los requisitos y condiciones, así como la realización de la actividad y el cumplimiento de la finalidad que determinen la concesión o disfrute de la subvención. </w:t>
      </w:r>
    </w:p>
    <w:p w:rsidR="00FF384B" w:rsidRDefault="003E3BA9">
      <w:pPr>
        <w:numPr>
          <w:ilvl w:val="0"/>
          <w:numId w:val="117"/>
        </w:numPr>
        <w:spacing w:after="92" w:line="248" w:lineRule="auto"/>
        <w:ind w:right="244" w:hanging="247"/>
        <w:jc w:val="both"/>
      </w:pPr>
      <w:r>
        <w:rPr>
          <w:rFonts w:ascii="Arial" w:eastAsia="Arial" w:hAnsi="Arial" w:cs="Arial"/>
          <w:color w:val="202020"/>
        </w:rPr>
        <w:t xml:space="preserve">Someterse a las actuaciones de comprobación, a efectuar por el </w:t>
      </w:r>
      <w:r>
        <w:rPr>
          <w:rFonts w:ascii="Arial" w:eastAsia="Arial" w:hAnsi="Arial" w:cs="Arial"/>
          <w:color w:val="202020"/>
        </w:rPr>
        <w:t>órgano concedente o la entidad colaboradora, en su caso, así como cualesquiera otras de comprobación y control financiero que puedan realizar los órganos de control competentes, tanto nacionales como comunitarios, aportando cuanta información le sea requer</w:t>
      </w:r>
      <w:r>
        <w:rPr>
          <w:rFonts w:ascii="Arial" w:eastAsia="Arial" w:hAnsi="Arial" w:cs="Arial"/>
          <w:color w:val="202020"/>
        </w:rPr>
        <w:t xml:space="preserve">ida en el ejercicio de las actuaciones anteriores. </w:t>
      </w:r>
    </w:p>
    <w:p w:rsidR="00FF384B" w:rsidRDefault="003E3BA9">
      <w:pPr>
        <w:numPr>
          <w:ilvl w:val="0"/>
          <w:numId w:val="117"/>
        </w:numPr>
        <w:spacing w:after="1" w:line="239" w:lineRule="auto"/>
        <w:ind w:right="244" w:hanging="247"/>
        <w:jc w:val="both"/>
      </w:pPr>
      <w:r>
        <w:rPr>
          <w:rFonts w:ascii="Arial" w:eastAsia="Arial" w:hAnsi="Arial" w:cs="Arial"/>
          <w:color w:val="202020"/>
        </w:rPr>
        <w:t xml:space="preserve">Comunicar al órgano concedente o la entidad colaboradora la obtención de otras subvenciones, ayudas, ingresos o recursos que financien las actividades subvencionadas. </w:t>
      </w:r>
    </w:p>
    <w:p w:rsidR="00FF384B" w:rsidRDefault="003E3BA9">
      <w:pPr>
        <w:spacing w:after="92" w:line="248" w:lineRule="auto"/>
        <w:ind w:left="1013" w:right="244" w:hanging="10"/>
        <w:jc w:val="both"/>
      </w:pPr>
      <w:r>
        <w:rPr>
          <w:rFonts w:ascii="Arial" w:eastAsia="Arial" w:hAnsi="Arial" w:cs="Arial"/>
          <w:color w:val="202020"/>
        </w:rPr>
        <w:t xml:space="preserve">Esta comunicación deberá efectuarse tan pronto como se conozca y, en todo caso, con anterioridad a la justificación de la aplicación dada a los fondos percibidos. </w:t>
      </w:r>
    </w:p>
    <w:p w:rsidR="00FF384B" w:rsidRDefault="003E3BA9">
      <w:pPr>
        <w:numPr>
          <w:ilvl w:val="0"/>
          <w:numId w:val="117"/>
        </w:numPr>
        <w:spacing w:after="92" w:line="248" w:lineRule="auto"/>
        <w:ind w:right="244" w:hanging="247"/>
        <w:jc w:val="both"/>
      </w:pPr>
      <w:r>
        <w:rPr>
          <w:rFonts w:ascii="Arial" w:eastAsia="Arial" w:hAnsi="Arial" w:cs="Arial"/>
          <w:color w:val="202020"/>
        </w:rPr>
        <w:t>Acreditar con anterioridad a dictarse la propuesta de resolución de concesión que se halla a</w:t>
      </w:r>
      <w:r>
        <w:rPr>
          <w:rFonts w:ascii="Arial" w:eastAsia="Arial" w:hAnsi="Arial" w:cs="Arial"/>
          <w:color w:val="202020"/>
        </w:rPr>
        <w:t xml:space="preserve">l corriente en el cumplimiento de sus obligaciones tributarias y frente a la Seguridad Social. </w:t>
      </w:r>
    </w:p>
    <w:p w:rsidR="00FF384B" w:rsidRDefault="003E3BA9">
      <w:pPr>
        <w:numPr>
          <w:ilvl w:val="0"/>
          <w:numId w:val="117"/>
        </w:numPr>
        <w:spacing w:after="92" w:line="248" w:lineRule="auto"/>
        <w:ind w:right="244" w:hanging="247"/>
        <w:jc w:val="both"/>
      </w:pPr>
      <w:r>
        <w:rPr>
          <w:rFonts w:ascii="Arial" w:eastAsia="Arial" w:hAnsi="Arial" w:cs="Arial"/>
          <w:color w:val="202020"/>
        </w:rPr>
        <w:t>Disponer de los libros contables, registros diligenciados y demás documentos debidamente auditados en los términos exigidos por la legislación mercantil y secto</w:t>
      </w:r>
      <w:r>
        <w:rPr>
          <w:rFonts w:ascii="Arial" w:eastAsia="Arial" w:hAnsi="Arial" w:cs="Arial"/>
          <w:color w:val="202020"/>
        </w:rPr>
        <w:t>rial aplicable al beneficiario en cada caso, así como cuantos estados contables y registros específicos sean exigidos por las bases reguladoras de las subvenciones, con la finalidad de garantizar el adecuado ejercicio de las facultades de comprobación y co</w:t>
      </w:r>
      <w:r>
        <w:rPr>
          <w:rFonts w:ascii="Arial" w:eastAsia="Arial" w:hAnsi="Arial" w:cs="Arial"/>
          <w:color w:val="202020"/>
        </w:rPr>
        <w:t xml:space="preserve">ntrol. </w:t>
      </w:r>
    </w:p>
    <w:p w:rsidR="00FF384B" w:rsidRDefault="003E3BA9">
      <w:pPr>
        <w:numPr>
          <w:ilvl w:val="0"/>
          <w:numId w:val="117"/>
        </w:numPr>
        <w:spacing w:after="99" w:line="239" w:lineRule="auto"/>
        <w:ind w:right="244" w:hanging="247"/>
        <w:jc w:val="both"/>
      </w:pPr>
      <w:r>
        <w:rPr>
          <w:rFonts w:ascii="Arial" w:eastAsia="Arial" w:hAnsi="Arial" w:cs="Arial"/>
          <w:color w:val="202020"/>
        </w:rPr>
        <w:t xml:space="preserve">Conservar los documentos justificativos de la aplicación de los fondos recibidos, incluidos los documentos electrónicos, en tanto puedan ser objeto de las actuaciones de comprobación y control. </w:t>
      </w:r>
    </w:p>
    <w:p w:rsidR="00FF384B" w:rsidRDefault="003E3BA9">
      <w:pPr>
        <w:numPr>
          <w:ilvl w:val="0"/>
          <w:numId w:val="117"/>
        </w:numPr>
        <w:spacing w:after="92" w:line="248" w:lineRule="auto"/>
        <w:ind w:right="244" w:hanging="247"/>
        <w:jc w:val="both"/>
      </w:pPr>
      <w:r>
        <w:rPr>
          <w:rFonts w:ascii="Arial" w:eastAsia="Arial" w:hAnsi="Arial" w:cs="Arial"/>
          <w:color w:val="202020"/>
        </w:rPr>
        <w:t>Adoptar las medidas de difusión contenidas en el apar</w:t>
      </w:r>
      <w:r>
        <w:rPr>
          <w:rFonts w:ascii="Arial" w:eastAsia="Arial" w:hAnsi="Arial" w:cs="Arial"/>
          <w:color w:val="202020"/>
        </w:rPr>
        <w:t xml:space="preserve">tado 4 del artículo 18 de esta ley. </w:t>
      </w:r>
    </w:p>
    <w:p w:rsidR="00FF384B" w:rsidRDefault="003E3BA9">
      <w:pPr>
        <w:numPr>
          <w:ilvl w:val="0"/>
          <w:numId w:val="117"/>
        </w:numPr>
        <w:spacing w:after="92" w:line="248" w:lineRule="auto"/>
        <w:ind w:right="244" w:hanging="247"/>
        <w:jc w:val="both"/>
      </w:pPr>
      <w:r>
        <w:rPr>
          <w:rFonts w:ascii="Arial" w:eastAsia="Arial" w:hAnsi="Arial" w:cs="Arial"/>
          <w:color w:val="202020"/>
        </w:rPr>
        <w:t xml:space="preserve">Proceder al reintegro de los fondos percibidos en los supuestos contemplados en el artículo 37 de la Ley General de Subvenciones. </w:t>
      </w:r>
    </w:p>
    <w:p w:rsidR="00FF384B" w:rsidRDefault="003E3BA9">
      <w:pPr>
        <w:numPr>
          <w:ilvl w:val="0"/>
          <w:numId w:val="117"/>
        </w:numPr>
        <w:spacing w:after="92" w:line="248" w:lineRule="auto"/>
        <w:ind w:right="244" w:hanging="247"/>
        <w:jc w:val="both"/>
      </w:pPr>
      <w:r>
        <w:rPr>
          <w:rFonts w:ascii="Arial" w:eastAsia="Arial" w:hAnsi="Arial" w:cs="Arial"/>
          <w:color w:val="202020"/>
        </w:rPr>
        <w:t xml:space="preserve">Dar la adecuada publicidad de que los programas, actividades, inversiones o actuaciones de cualquier tipo que sean objeto de subvención son financiadas por el Ayuntamiento o sus organismos o entes dependientes. </w:t>
      </w:r>
    </w:p>
    <w:p w:rsidR="00FF384B" w:rsidRDefault="003E3BA9">
      <w:pPr>
        <w:numPr>
          <w:ilvl w:val="0"/>
          <w:numId w:val="117"/>
        </w:numPr>
        <w:spacing w:after="89" w:line="248" w:lineRule="auto"/>
        <w:ind w:right="244" w:hanging="247"/>
        <w:jc w:val="both"/>
      </w:pPr>
      <w:r>
        <w:rPr>
          <w:rFonts w:ascii="Arial" w:eastAsia="Arial" w:hAnsi="Arial" w:cs="Arial"/>
          <w:color w:val="202020"/>
        </w:rPr>
        <w:t>Presentar la documentación en los formatos n</w:t>
      </w:r>
      <w:r>
        <w:rPr>
          <w:rFonts w:ascii="Arial" w:eastAsia="Arial" w:hAnsi="Arial" w:cs="Arial"/>
          <w:color w:val="202020"/>
        </w:rPr>
        <w:t xml:space="preserve">ormalizados al efecto. </w:t>
      </w:r>
    </w:p>
    <w:p w:rsidR="00FF384B" w:rsidRDefault="003E3BA9">
      <w:pPr>
        <w:numPr>
          <w:ilvl w:val="0"/>
          <w:numId w:val="117"/>
        </w:numPr>
        <w:spacing w:after="89" w:line="248" w:lineRule="auto"/>
        <w:ind w:right="244" w:hanging="247"/>
        <w:jc w:val="both"/>
      </w:pPr>
      <w:r>
        <w:rPr>
          <w:rFonts w:ascii="Arial" w:eastAsia="Arial" w:hAnsi="Arial" w:cs="Arial"/>
          <w:color w:val="202020"/>
        </w:rPr>
        <w:t xml:space="preserve">Presentar las solicitudes de forma telemática cuando así se establezca. </w:t>
      </w:r>
    </w:p>
    <w:p w:rsidR="00FF384B" w:rsidRDefault="003E3BA9">
      <w:pPr>
        <w:numPr>
          <w:ilvl w:val="0"/>
          <w:numId w:val="117"/>
        </w:numPr>
        <w:spacing w:after="92" w:line="248" w:lineRule="auto"/>
        <w:ind w:right="244" w:hanging="247"/>
        <w:jc w:val="both"/>
      </w:pPr>
      <w:r>
        <w:rPr>
          <w:rFonts w:ascii="Arial" w:eastAsia="Arial" w:hAnsi="Arial" w:cs="Arial"/>
          <w:color w:val="202020"/>
        </w:rPr>
        <w:t>Comunicar al órgano concedente cualquier circunstancia que provoque una modificación en los términos de la actuación subvencionada, en el plazo de un mes desde</w:t>
      </w:r>
      <w:r>
        <w:rPr>
          <w:rFonts w:ascii="Arial" w:eastAsia="Arial" w:hAnsi="Arial" w:cs="Arial"/>
          <w:color w:val="202020"/>
        </w:rPr>
        <w:t xml:space="preserve"> que se produjo la modificación. </w:t>
      </w:r>
    </w:p>
    <w:p w:rsidR="00FF384B" w:rsidRDefault="003E3BA9">
      <w:pPr>
        <w:numPr>
          <w:ilvl w:val="0"/>
          <w:numId w:val="117"/>
        </w:numPr>
        <w:spacing w:after="142" w:line="248" w:lineRule="auto"/>
        <w:ind w:right="244" w:hanging="247"/>
        <w:jc w:val="both"/>
      </w:pPr>
      <w:r>
        <w:rPr>
          <w:noProof/>
        </w:rPr>
        <mc:AlternateContent>
          <mc:Choice Requires="wpg">
            <w:drawing>
              <wp:anchor distT="0" distB="0" distL="114300" distR="114300" simplePos="0" relativeHeight="2517739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6915" name="Group 45691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860" name="Picture 23860"/>
                          <pic:cNvPicPr/>
                        </pic:nvPicPr>
                        <pic:blipFill>
                          <a:blip r:embed="rId62"/>
                          <a:stretch>
                            <a:fillRect/>
                          </a:stretch>
                        </pic:blipFill>
                        <pic:spPr>
                          <a:xfrm rot="-5399999">
                            <a:off x="-1720849" y="1720849"/>
                            <a:ext cx="3797300" cy="355601"/>
                          </a:xfrm>
                          <a:prstGeom prst="rect">
                            <a:avLst/>
                          </a:prstGeom>
                        </pic:spPr>
                      </pic:pic>
                      <wps:wsp>
                        <wps:cNvPr id="23861" name="Rectangle 2386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3862" name="Rectangle 23862"/>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6915" style="width:41.2715pt;height:299pt;position:absolute;mso-position-horizontal-relative:page;mso-position-horizontal:absolute;margin-left:653.71pt;mso-position-vertical-relative:page;margin-top:512.92pt;" coordsize="5241,37973">
                <v:shape id="Picture 23860" style="position:absolute;width:37973;height:3556;left:-17208;top:17208;rotation:-89;" filled="f">
                  <v:imagedata r:id="rId63"/>
                </v:shape>
                <v:rect id="Rectangle 2386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862"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353 </w:t>
                        </w:r>
                      </w:p>
                    </w:txbxContent>
                  </v:textbox>
                </v:rect>
                <w10:wrap type="square"/>
              </v:group>
            </w:pict>
          </mc:Fallback>
        </mc:AlternateContent>
      </w:r>
      <w:r>
        <w:rPr>
          <w:rFonts w:ascii="Arial" w:eastAsia="Arial" w:hAnsi="Arial" w:cs="Arial"/>
          <w:color w:val="202020"/>
        </w:rPr>
        <w:t>Acreditar el efectivo cumplimiento de los requisitos y la realización de la actividad en todas las subvenciones que le hayan sido concedidas al beneficiario con anterioridad para un mismo destino y finalidad en ejercicios anteriores por alguno de los sujet</w:t>
      </w:r>
      <w:r>
        <w:rPr>
          <w:rFonts w:ascii="Arial" w:eastAsia="Arial" w:hAnsi="Arial" w:cs="Arial"/>
          <w:color w:val="202020"/>
        </w:rPr>
        <w:t xml:space="preserve">os comprendidos en los apartados 1 y 2 del artículo 2 de esta ley, aunque se trate de diferentes fases o aspectos de un mismo proyecto. La convocatoria establecerá la forma de acreditación. </w:t>
      </w:r>
    </w:p>
    <w:p w:rsidR="00FF384B" w:rsidRDefault="003E3BA9">
      <w:pPr>
        <w:spacing w:after="143" w:line="248" w:lineRule="auto"/>
        <w:ind w:left="278" w:right="244" w:hanging="10"/>
        <w:jc w:val="both"/>
      </w:pPr>
      <w:r>
        <w:rPr>
          <w:rFonts w:ascii="Arial" w:eastAsia="Arial" w:hAnsi="Arial" w:cs="Arial"/>
          <w:i/>
          <w:color w:val="202020"/>
        </w:rPr>
        <w:t xml:space="preserve">Artículo 12. Obligaciones de las entidades colaboradoras. </w:t>
      </w:r>
    </w:p>
    <w:p w:rsidR="00FF384B" w:rsidRDefault="003E3BA9">
      <w:pPr>
        <w:numPr>
          <w:ilvl w:val="0"/>
          <w:numId w:val="118"/>
        </w:numPr>
        <w:spacing w:after="142" w:line="248" w:lineRule="auto"/>
        <w:ind w:right="244" w:hanging="10"/>
        <w:jc w:val="both"/>
      </w:pPr>
      <w:r>
        <w:rPr>
          <w:rFonts w:ascii="Arial" w:eastAsia="Arial" w:hAnsi="Arial" w:cs="Arial"/>
          <w:color w:val="202020"/>
        </w:rPr>
        <w:t>Para l</w:t>
      </w:r>
      <w:r>
        <w:rPr>
          <w:rFonts w:ascii="Arial" w:eastAsia="Arial" w:hAnsi="Arial" w:cs="Arial"/>
          <w:color w:val="202020"/>
        </w:rPr>
        <w:t xml:space="preserve">a regulación de las condiciones de las entidades colaboradoras se formalizará un convenio de colaboración entre el órgano administrativo concedente y la entidad colaboradora, en el que se regularán las condiciones y obligaciones asumidas por ésta. </w:t>
      </w:r>
    </w:p>
    <w:p w:rsidR="00FF384B" w:rsidRDefault="003E3BA9">
      <w:pPr>
        <w:numPr>
          <w:ilvl w:val="0"/>
          <w:numId w:val="118"/>
        </w:numPr>
        <w:spacing w:after="142" w:line="248" w:lineRule="auto"/>
        <w:ind w:right="244" w:hanging="10"/>
        <w:jc w:val="both"/>
      </w:pPr>
      <w:r>
        <w:rPr>
          <w:rFonts w:ascii="Arial" w:eastAsia="Arial" w:hAnsi="Arial" w:cs="Arial"/>
          <w:color w:val="202020"/>
        </w:rPr>
        <w:t>El conv</w:t>
      </w:r>
      <w:r>
        <w:rPr>
          <w:rFonts w:ascii="Arial" w:eastAsia="Arial" w:hAnsi="Arial" w:cs="Arial"/>
          <w:color w:val="202020"/>
        </w:rPr>
        <w:t>enio de colaboración no podrá tener un plazo de vigencia superior a tres años, si bien podrá preverse en el mismo, su modificación y su prórroga por mutuo acuerdo de las partes antes de la finalización de aquél, sin que la duración total de las prórrogas p</w:t>
      </w:r>
      <w:r>
        <w:rPr>
          <w:rFonts w:ascii="Arial" w:eastAsia="Arial" w:hAnsi="Arial" w:cs="Arial"/>
          <w:color w:val="202020"/>
        </w:rPr>
        <w:t xml:space="preserve">ueda ser superior a la vigencia del período inicial y sin que en conjunto, la duración total del convenio de colaboración pueda exceder de seis años.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13. Órganos competentes para la concesión de subvenciones. </w:t>
      </w:r>
    </w:p>
    <w:p w:rsidR="00FF384B" w:rsidRDefault="003E3BA9">
      <w:pPr>
        <w:spacing w:after="142" w:line="248" w:lineRule="auto"/>
        <w:ind w:left="268" w:right="244" w:firstLine="708"/>
        <w:jc w:val="both"/>
      </w:pPr>
      <w:r>
        <w:rPr>
          <w:rFonts w:ascii="Arial" w:eastAsia="Arial" w:hAnsi="Arial" w:cs="Arial"/>
          <w:color w:val="202020"/>
        </w:rPr>
        <w:t>Son órganos competentes para la co</w:t>
      </w:r>
      <w:r>
        <w:rPr>
          <w:rFonts w:ascii="Arial" w:eastAsia="Arial" w:hAnsi="Arial" w:cs="Arial"/>
          <w:color w:val="202020"/>
        </w:rPr>
        <w:t xml:space="preserve">ncesión de ayudas y subvenciones, la Alcaldía o persona en quien delegue. </w:t>
      </w:r>
    </w:p>
    <w:p w:rsidR="00FF384B" w:rsidRDefault="003E3BA9">
      <w:pPr>
        <w:spacing w:after="0"/>
        <w:ind w:left="283"/>
      </w:pPr>
      <w:r>
        <w:rPr>
          <w:rFonts w:ascii="Arial" w:eastAsia="Arial" w:hAnsi="Arial" w:cs="Arial"/>
          <w:color w:val="202020"/>
        </w:rPr>
        <w:t xml:space="preserve"> </w:t>
      </w:r>
    </w:p>
    <w:p w:rsidR="00FF384B" w:rsidRDefault="003E3BA9">
      <w:pPr>
        <w:spacing w:after="287" w:line="249" w:lineRule="auto"/>
        <w:ind w:left="278" w:hanging="10"/>
      </w:pPr>
      <w:r>
        <w:rPr>
          <w:rFonts w:ascii="Arial" w:eastAsia="Arial" w:hAnsi="Arial" w:cs="Arial"/>
          <w:b/>
          <w:color w:val="202020"/>
        </w:rPr>
        <w:t xml:space="preserve">TÍTULO III. TIPOS Y PROCEDIMIENTOS DE CONCESIÓN DE LAS SUBVENCIONES </w:t>
      </w:r>
    </w:p>
    <w:p w:rsidR="00FF384B" w:rsidRDefault="003E3BA9">
      <w:pPr>
        <w:spacing w:after="97" w:line="249" w:lineRule="auto"/>
        <w:ind w:left="278" w:hanging="10"/>
      </w:pPr>
      <w:r>
        <w:rPr>
          <w:rFonts w:ascii="Arial" w:eastAsia="Arial" w:hAnsi="Arial" w:cs="Arial"/>
          <w:b/>
          <w:color w:val="202020"/>
        </w:rPr>
        <w:t>CAPÍTULO I. De los tipos y los procedimientos de concesión de las subvenciones.</w:t>
      </w:r>
      <w:r>
        <w:rPr>
          <w:sz w:val="26"/>
        </w:rPr>
        <w:t xml:space="preserve"> </w:t>
      </w:r>
    </w:p>
    <w:p w:rsidR="00FF384B" w:rsidRDefault="003E3BA9">
      <w:pPr>
        <w:spacing w:after="127"/>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Artículo 14. Tipos de proce</w:t>
      </w:r>
      <w:r>
        <w:rPr>
          <w:rFonts w:ascii="Arial" w:eastAsia="Arial" w:hAnsi="Arial" w:cs="Arial"/>
          <w:i/>
          <w:color w:val="202020"/>
        </w:rPr>
        <w:t xml:space="preserve">dimiento de concesión. </w:t>
      </w:r>
    </w:p>
    <w:p w:rsidR="00FF384B" w:rsidRDefault="003E3BA9">
      <w:pPr>
        <w:numPr>
          <w:ilvl w:val="0"/>
          <w:numId w:val="119"/>
        </w:numPr>
        <w:spacing w:after="142" w:line="248" w:lineRule="auto"/>
        <w:ind w:right="244" w:hanging="10"/>
        <w:jc w:val="both"/>
      </w:pPr>
      <w:r>
        <w:rPr>
          <w:rFonts w:ascii="Arial" w:eastAsia="Arial" w:hAnsi="Arial" w:cs="Arial"/>
          <w:color w:val="202020"/>
        </w:rPr>
        <w:t xml:space="preserve">Las subvenciones podrán concederse en régimen de concurrencia competitiva que será el procedimiento ordinario, preferente y general o de forma directa. </w:t>
      </w:r>
    </w:p>
    <w:p w:rsidR="00FF384B" w:rsidRDefault="003E3BA9">
      <w:pPr>
        <w:spacing w:after="142" w:line="248" w:lineRule="auto"/>
        <w:ind w:left="278" w:right="244" w:hanging="10"/>
        <w:jc w:val="both"/>
      </w:pPr>
      <w:r>
        <w:rPr>
          <w:rFonts w:ascii="Arial" w:eastAsia="Arial" w:hAnsi="Arial" w:cs="Arial"/>
          <w:color w:val="202020"/>
        </w:rPr>
        <w:t xml:space="preserve">Podrán concederse de forma directa, cuando así se prevea en el Plan Estratégico, las siguientes subvenciones: </w:t>
      </w:r>
    </w:p>
    <w:p w:rsidR="00FF384B" w:rsidRDefault="003E3BA9">
      <w:pPr>
        <w:numPr>
          <w:ilvl w:val="1"/>
          <w:numId w:val="119"/>
        </w:numPr>
        <w:spacing w:after="79"/>
        <w:ind w:right="244" w:hanging="259"/>
        <w:jc w:val="both"/>
      </w:pPr>
      <w:r>
        <w:rPr>
          <w:rFonts w:ascii="Arial" w:eastAsia="Arial" w:hAnsi="Arial" w:cs="Arial"/>
          <w:color w:val="202020"/>
        </w:rPr>
        <w:t xml:space="preserve">Las previstas nominativamente en el Presupuesto General Municipal. </w:t>
      </w:r>
    </w:p>
    <w:p w:rsidR="00FF384B" w:rsidRDefault="003E3BA9">
      <w:pPr>
        <w:numPr>
          <w:ilvl w:val="1"/>
          <w:numId w:val="119"/>
        </w:numPr>
        <w:spacing w:after="92" w:line="248" w:lineRule="auto"/>
        <w:ind w:right="244" w:hanging="259"/>
        <w:jc w:val="both"/>
      </w:pPr>
      <w:r>
        <w:rPr>
          <w:rFonts w:ascii="Arial" w:eastAsia="Arial" w:hAnsi="Arial" w:cs="Arial"/>
          <w:color w:val="202020"/>
        </w:rPr>
        <w:t xml:space="preserve">Aquellas cuyo otorgamiento o cuantía vengan impuestos por una norma de rango </w:t>
      </w:r>
      <w:r>
        <w:rPr>
          <w:rFonts w:ascii="Arial" w:eastAsia="Arial" w:hAnsi="Arial" w:cs="Arial"/>
          <w:color w:val="202020"/>
        </w:rPr>
        <w:t xml:space="preserve">legal, que seguirán el procedimiento de concesión que les resulte de aplicación de acuerdo con su propia normativa. </w:t>
      </w:r>
    </w:p>
    <w:p w:rsidR="00FF384B" w:rsidRDefault="003E3BA9">
      <w:pPr>
        <w:numPr>
          <w:ilvl w:val="1"/>
          <w:numId w:val="119"/>
        </w:numPr>
        <w:spacing w:after="92" w:line="248" w:lineRule="auto"/>
        <w:ind w:right="244" w:hanging="259"/>
        <w:jc w:val="both"/>
      </w:pPr>
      <w:r>
        <w:rPr>
          <w:rFonts w:ascii="Arial" w:eastAsia="Arial" w:hAnsi="Arial" w:cs="Arial"/>
          <w:color w:val="202020"/>
        </w:rPr>
        <w:t xml:space="preserve">Con carácter excepcional, aquellas otras subvenciones en que se acrediten razones de interés público, social, económico o humanitario. </w:t>
      </w:r>
    </w:p>
    <w:p w:rsidR="00FF384B" w:rsidRDefault="003E3BA9">
      <w:pPr>
        <w:numPr>
          <w:ilvl w:val="0"/>
          <w:numId w:val="119"/>
        </w:numPr>
        <w:spacing w:after="142" w:line="248" w:lineRule="auto"/>
        <w:ind w:right="244" w:hanging="10"/>
        <w:jc w:val="both"/>
      </w:pPr>
      <w:r>
        <w:rPr>
          <w:rFonts w:ascii="Arial" w:eastAsia="Arial" w:hAnsi="Arial" w:cs="Arial"/>
          <w:color w:val="202020"/>
        </w:rPr>
        <w:t xml:space="preserve">El </w:t>
      </w:r>
      <w:r>
        <w:rPr>
          <w:rFonts w:ascii="Arial" w:eastAsia="Arial" w:hAnsi="Arial" w:cs="Arial"/>
          <w:color w:val="202020"/>
        </w:rPr>
        <w:t xml:space="preserve">importe de las subvenciones concedidas no podrá ser superior a las previstas en las convocatorias. </w:t>
      </w:r>
    </w:p>
    <w:p w:rsidR="00FF384B" w:rsidRDefault="003E3BA9">
      <w:pPr>
        <w:spacing w:after="129"/>
        <w:ind w:left="283"/>
      </w:pPr>
      <w:r>
        <w:rPr>
          <w:noProof/>
        </w:rPr>
        <mc:AlternateContent>
          <mc:Choice Requires="wpg">
            <w:drawing>
              <wp:anchor distT="0" distB="0" distL="114300" distR="114300" simplePos="0" relativeHeight="2517749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7085" name="Group 45708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3990" name="Picture 23990"/>
                          <pic:cNvPicPr/>
                        </pic:nvPicPr>
                        <pic:blipFill>
                          <a:blip r:embed="rId62"/>
                          <a:stretch>
                            <a:fillRect/>
                          </a:stretch>
                        </pic:blipFill>
                        <pic:spPr>
                          <a:xfrm rot="-5399999">
                            <a:off x="-1720849" y="1720849"/>
                            <a:ext cx="3797300" cy="355601"/>
                          </a:xfrm>
                          <a:prstGeom prst="rect">
                            <a:avLst/>
                          </a:prstGeom>
                        </pic:spPr>
                      </pic:pic>
                      <wps:wsp>
                        <wps:cNvPr id="23991" name="Rectangle 2399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3992" name="Rectangle 23992"/>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7085" style="width:41.2715pt;height:299pt;position:absolute;mso-position-horizontal-relative:page;mso-position-horizontal:absolute;margin-left:653.71pt;mso-position-vertical-relative:page;margin-top:512.92pt;" coordsize="5241,37973">
                <v:shape id="Picture 23990" style="position:absolute;width:37973;height:3556;left:-17208;top:17208;rotation:-89;" filled="f">
                  <v:imagedata r:id="rId63"/>
                </v:shape>
                <v:rect id="Rectangle 2399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3992"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353 </w:t>
                        </w:r>
                      </w:p>
                    </w:txbxContent>
                  </v:textbox>
                </v:rect>
                <w10:wrap type="square"/>
              </v:group>
            </w:pict>
          </mc:Fallback>
        </mc:AlternateContent>
      </w: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15. Procedimientos de concesión. </w:t>
      </w:r>
    </w:p>
    <w:p w:rsidR="00FF384B" w:rsidRDefault="003E3BA9">
      <w:pPr>
        <w:numPr>
          <w:ilvl w:val="0"/>
          <w:numId w:val="120"/>
        </w:numPr>
        <w:spacing w:after="142" w:line="248" w:lineRule="auto"/>
        <w:ind w:right="244" w:hanging="10"/>
        <w:jc w:val="both"/>
      </w:pPr>
      <w:r>
        <w:rPr>
          <w:rFonts w:ascii="Arial" w:eastAsia="Arial" w:hAnsi="Arial" w:cs="Arial"/>
          <w:color w:val="202020"/>
        </w:rPr>
        <w:t xml:space="preserve">El procedimiento ordinario de concesión de subvenciones se tramitará en régimen de concurrencia competitiva. </w:t>
      </w:r>
    </w:p>
    <w:p w:rsidR="00FF384B" w:rsidRDefault="003E3BA9">
      <w:pPr>
        <w:spacing w:after="142" w:line="248" w:lineRule="auto"/>
        <w:ind w:left="278" w:right="244" w:hanging="10"/>
        <w:jc w:val="both"/>
      </w:pPr>
      <w:r>
        <w:rPr>
          <w:rFonts w:ascii="Arial" w:eastAsia="Arial" w:hAnsi="Arial" w:cs="Arial"/>
          <w:color w:val="202020"/>
        </w:rPr>
        <w:t xml:space="preserve">Tendrá esta consideración el procedimiento mediante el cual, la concesión de las subvenciones se realiza mediante la comparación de las solicitudes presentadas dentro de un plazo limitado, a fin de establecer una prelación entre las mismas, de acuerdo con </w:t>
      </w:r>
      <w:r>
        <w:rPr>
          <w:rFonts w:ascii="Arial" w:eastAsia="Arial" w:hAnsi="Arial" w:cs="Arial"/>
          <w:color w:val="202020"/>
        </w:rPr>
        <w:t>los criterios de valoración previamente fijados en las bases reguladoras y en la convocatoria, y adjudicar, con el límite fijado en las respectivas convocatorias o bases reguladoras dentro del crédito disponible, aquellas que hayan obtenido mayor valoració</w:t>
      </w:r>
      <w:r>
        <w:rPr>
          <w:rFonts w:ascii="Arial" w:eastAsia="Arial" w:hAnsi="Arial" w:cs="Arial"/>
          <w:color w:val="202020"/>
        </w:rPr>
        <w:t xml:space="preserve">n en aplicación de los citados criterios. La Valoración de los proyectos deberá ser realizada por cada Concejalía, que elevará su propuesta al órgano concedente a través del instructor. </w:t>
      </w:r>
    </w:p>
    <w:p w:rsidR="00FF384B" w:rsidRDefault="003E3BA9">
      <w:pPr>
        <w:spacing w:after="142" w:line="248" w:lineRule="auto"/>
        <w:ind w:left="278" w:right="244" w:hanging="10"/>
        <w:jc w:val="both"/>
      </w:pPr>
      <w:r>
        <w:rPr>
          <w:rFonts w:ascii="Arial" w:eastAsia="Arial" w:hAnsi="Arial" w:cs="Arial"/>
          <w:color w:val="202020"/>
        </w:rPr>
        <w:t xml:space="preserve">No obstante lo dispuesto en el apartado anterior, en la convocatoria </w:t>
      </w:r>
      <w:r>
        <w:rPr>
          <w:rFonts w:ascii="Arial" w:eastAsia="Arial" w:hAnsi="Arial" w:cs="Arial"/>
          <w:color w:val="202020"/>
        </w:rPr>
        <w:t xml:space="preserve">podrán establecer un procedimiento simplificado de concurrencia competitiva. </w:t>
      </w:r>
    </w:p>
    <w:p w:rsidR="00FF384B" w:rsidRDefault="003E3BA9">
      <w:pPr>
        <w:numPr>
          <w:ilvl w:val="0"/>
          <w:numId w:val="120"/>
        </w:numPr>
        <w:spacing w:after="142" w:line="248" w:lineRule="auto"/>
        <w:ind w:right="244" w:hanging="10"/>
        <w:jc w:val="both"/>
      </w:pPr>
      <w:r>
        <w:rPr>
          <w:rFonts w:ascii="Arial" w:eastAsia="Arial" w:hAnsi="Arial" w:cs="Arial"/>
          <w:color w:val="202020"/>
        </w:rPr>
        <w:t>Excepcionalmente, en función del objeto de la convocatoria o base reguladora, siempre que así se prevea en la misma, el órgano competente procederá al prorrateo, entre los benefi</w:t>
      </w:r>
      <w:r>
        <w:rPr>
          <w:rFonts w:ascii="Arial" w:eastAsia="Arial" w:hAnsi="Arial" w:cs="Arial"/>
          <w:color w:val="202020"/>
        </w:rPr>
        <w:t xml:space="preserve">ciarios de la subvención, del importe global máximo destinado a las subvenciones. </w:t>
      </w:r>
    </w:p>
    <w:p w:rsidR="00FF384B" w:rsidRDefault="003E3BA9">
      <w:pPr>
        <w:numPr>
          <w:ilvl w:val="0"/>
          <w:numId w:val="120"/>
        </w:numPr>
        <w:spacing w:after="142" w:line="248" w:lineRule="auto"/>
        <w:ind w:right="244" w:hanging="10"/>
        <w:jc w:val="both"/>
      </w:pPr>
      <w:r>
        <w:rPr>
          <w:rFonts w:ascii="Arial" w:eastAsia="Arial" w:hAnsi="Arial" w:cs="Arial"/>
          <w:color w:val="202020"/>
        </w:rPr>
        <w:t xml:space="preserve">Podrán concederse de forma directa las previstas nominativamente en el presupuesto general municipal, de acuerdo con el procedimiento regulado en la presente normativa.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w:t>
      </w:r>
      <w:r>
        <w:rPr>
          <w:rFonts w:ascii="Arial" w:eastAsia="Arial" w:hAnsi="Arial" w:cs="Arial"/>
          <w:i/>
          <w:color w:val="202020"/>
        </w:rPr>
        <w:t xml:space="preserve">rtículo 16. Subvenciones plurianuales. </w:t>
      </w:r>
    </w:p>
    <w:p w:rsidR="00FF384B" w:rsidRDefault="003E3BA9">
      <w:pPr>
        <w:numPr>
          <w:ilvl w:val="0"/>
          <w:numId w:val="121"/>
        </w:numPr>
        <w:spacing w:after="142" w:line="248" w:lineRule="auto"/>
        <w:ind w:right="244" w:hanging="10"/>
        <w:jc w:val="both"/>
      </w:pPr>
      <w:r>
        <w:rPr>
          <w:rFonts w:ascii="Arial" w:eastAsia="Arial" w:hAnsi="Arial" w:cs="Arial"/>
          <w:color w:val="202020"/>
        </w:rPr>
        <w:t xml:space="preserve">Podrá autorizarse la convocatoria de subvenciones cuyo gasto sea imputable a ejercicios posteriores a aquél en que recaiga resolución de concesión. </w:t>
      </w:r>
    </w:p>
    <w:p w:rsidR="00FF384B" w:rsidRDefault="003E3BA9">
      <w:pPr>
        <w:numPr>
          <w:ilvl w:val="0"/>
          <w:numId w:val="121"/>
        </w:numPr>
        <w:spacing w:after="142" w:line="248" w:lineRule="auto"/>
        <w:ind w:right="244" w:hanging="10"/>
        <w:jc w:val="both"/>
      </w:pPr>
      <w:r>
        <w:rPr>
          <w:rFonts w:ascii="Arial" w:eastAsia="Arial" w:hAnsi="Arial" w:cs="Arial"/>
          <w:color w:val="202020"/>
        </w:rPr>
        <w:t>En la convocatoria deberá indicarse la cuantía total máxima a conce</w:t>
      </w:r>
      <w:r>
        <w:rPr>
          <w:rFonts w:ascii="Arial" w:eastAsia="Arial" w:hAnsi="Arial" w:cs="Arial"/>
          <w:color w:val="202020"/>
        </w:rPr>
        <w:t xml:space="preserve">der, así como su distribución por anualidades, dentro de los límites fijados en la normativa presupuestaria, atendiendo al momento en que se prevea realizar el gasto derivado de las subvenciones que se concedan. Dicha distribución tendrá carácter estimado </w:t>
      </w:r>
      <w:r>
        <w:rPr>
          <w:rFonts w:ascii="Arial" w:eastAsia="Arial" w:hAnsi="Arial" w:cs="Arial"/>
          <w:color w:val="202020"/>
        </w:rPr>
        <w:t>cuando las normas reguladoras hayan contemplado la posibilidad de los solicitantes de optar por el pago anticipado. La modificación de la distribución inicialmente aprobada requerirá la tramitación del correspondiente expediente de reajuste de anualidades.</w:t>
      </w:r>
      <w:r>
        <w:rPr>
          <w:rFonts w:ascii="Arial" w:eastAsia="Arial" w:hAnsi="Arial" w:cs="Arial"/>
          <w:color w:val="202020"/>
        </w:rPr>
        <w:t xml:space="preserve"> </w:t>
      </w:r>
    </w:p>
    <w:p w:rsidR="00FF384B" w:rsidRDefault="003E3BA9">
      <w:pPr>
        <w:numPr>
          <w:ilvl w:val="0"/>
          <w:numId w:val="121"/>
        </w:numPr>
        <w:spacing w:after="142" w:line="248" w:lineRule="auto"/>
        <w:ind w:right="244" w:hanging="10"/>
        <w:jc w:val="both"/>
      </w:pPr>
      <w:r>
        <w:rPr>
          <w:rFonts w:ascii="Arial" w:eastAsia="Arial" w:hAnsi="Arial" w:cs="Arial"/>
          <w:color w:val="202020"/>
        </w:rPr>
        <w:t>Cuando se haya previsto expresamente en la normativa reguladora la posibilidad de efectuar pagos a cuenta, en la resolución de concesión de una subvención plurianual se señalará la distribución por anualidades de la cuantía atendiendo al ritmo de ejecuci</w:t>
      </w:r>
      <w:r>
        <w:rPr>
          <w:rFonts w:ascii="Arial" w:eastAsia="Arial" w:hAnsi="Arial" w:cs="Arial"/>
          <w:color w:val="202020"/>
        </w:rPr>
        <w:t xml:space="preserve">ón de la acción subvencionada. La imputación a cada ejercicio se realizará previa aportación de la justificación equivalente a la cuantía que corresponda. La alteración del calendario de ejecución requerirá acuerdo al efecto. </w:t>
      </w:r>
    </w:p>
    <w:p w:rsidR="00FF384B" w:rsidRDefault="003E3BA9">
      <w:pPr>
        <w:numPr>
          <w:ilvl w:val="0"/>
          <w:numId w:val="121"/>
        </w:numPr>
        <w:spacing w:after="142" w:line="248" w:lineRule="auto"/>
        <w:ind w:right="244" w:hanging="10"/>
        <w:jc w:val="both"/>
      </w:pPr>
      <w:r>
        <w:rPr>
          <w:noProof/>
        </w:rPr>
        <mc:AlternateContent>
          <mc:Choice Requires="wpg">
            <w:drawing>
              <wp:anchor distT="0" distB="0" distL="114300" distR="114300" simplePos="0" relativeHeight="2517760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7163" name="Group 45716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120" name="Picture 24120"/>
                          <pic:cNvPicPr/>
                        </pic:nvPicPr>
                        <pic:blipFill>
                          <a:blip r:embed="rId62"/>
                          <a:stretch>
                            <a:fillRect/>
                          </a:stretch>
                        </pic:blipFill>
                        <pic:spPr>
                          <a:xfrm rot="-5399999">
                            <a:off x="-1720849" y="1720849"/>
                            <a:ext cx="3797300" cy="355601"/>
                          </a:xfrm>
                          <a:prstGeom prst="rect">
                            <a:avLst/>
                          </a:prstGeom>
                        </pic:spPr>
                      </pic:pic>
                      <wps:wsp>
                        <wps:cNvPr id="24121" name="Rectangle 2412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w:t>
                              </w:r>
                              <w:r>
                                <w:rPr>
                                  <w:rFonts w:ascii="Arial" w:eastAsia="Arial" w:hAnsi="Arial" w:cs="Arial"/>
                                  <w:sz w:val="12"/>
                                </w:rPr>
                                <w:t xml:space="preserve">QWZ53RMHD5RCHL7K | Verificación: https://candelaria.sedelectronica.es/ </w:t>
                              </w:r>
                            </w:p>
                          </w:txbxContent>
                        </wps:txbx>
                        <wps:bodyPr horzOverflow="overflow" vert="horz" lIns="0" tIns="0" rIns="0" bIns="0" rtlCol="0">
                          <a:noAutofit/>
                        </wps:bodyPr>
                      </wps:wsp>
                      <wps:wsp>
                        <wps:cNvPr id="24122" name="Rectangle 24122"/>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7163" style="width:41.2715pt;height:299pt;position:absolute;mso-position-horizontal-relative:page;mso-position-horizontal:absolute;margin-left:653.71pt;mso-position-vertical-relative:page;margin-top:512.92pt;" coordsize="5241,37973">
                <v:shape id="Picture 24120" style="position:absolute;width:37973;height:3556;left:-17208;top:17208;rotation:-89;" filled="f">
                  <v:imagedata r:id="rId63"/>
                </v:shape>
                <v:rect id="Rectangle 241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122"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353 </w:t>
                        </w:r>
                      </w:p>
                    </w:txbxContent>
                  </v:textbox>
                </v:rect>
                <w10:wrap type="square"/>
              </v:group>
            </w:pict>
          </mc:Fallback>
        </mc:AlternateContent>
      </w:r>
      <w:r>
        <w:rPr>
          <w:rFonts w:ascii="Arial" w:eastAsia="Arial" w:hAnsi="Arial" w:cs="Arial"/>
          <w:color w:val="202020"/>
        </w:rPr>
        <w:t>Las convocatorias en lo relativo a ejercicios posteriores, quedarán en todo caso condic</w:t>
      </w:r>
      <w:r>
        <w:rPr>
          <w:rFonts w:ascii="Arial" w:eastAsia="Arial" w:hAnsi="Arial" w:cs="Arial"/>
          <w:color w:val="202020"/>
        </w:rPr>
        <w:t xml:space="preserve">ionadas a la existencia de consignación adecuada y suficiente en cada uno de los ejercicios presupuestarios. </w:t>
      </w:r>
    </w:p>
    <w:p w:rsidR="00FF384B" w:rsidRDefault="003E3BA9">
      <w:pPr>
        <w:numPr>
          <w:ilvl w:val="0"/>
          <w:numId w:val="121"/>
        </w:numPr>
        <w:spacing w:after="294" w:line="248" w:lineRule="auto"/>
        <w:ind w:right="244" w:hanging="10"/>
        <w:jc w:val="both"/>
      </w:pPr>
      <w:r>
        <w:rPr>
          <w:rFonts w:ascii="Arial" w:eastAsia="Arial" w:hAnsi="Arial" w:cs="Arial"/>
          <w:color w:val="202020"/>
        </w:rPr>
        <w:t xml:space="preserve">En todo caso la duración de la convocatoria de subvenciones no podrá superar el plazo de vigencia del correspondiente Plan Estratégico de Subvenciones </w:t>
      </w:r>
    </w:p>
    <w:p w:rsidR="00FF384B" w:rsidRDefault="003E3BA9">
      <w:pPr>
        <w:spacing w:after="275"/>
        <w:ind w:left="283"/>
      </w:pPr>
      <w:r>
        <w:rPr>
          <w:rFonts w:ascii="Arial" w:eastAsia="Arial" w:hAnsi="Arial" w:cs="Arial"/>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II. Del procedimiento de concesión en régimen de concurrencia competitiva. </w:t>
      </w:r>
    </w:p>
    <w:p w:rsidR="00FF384B" w:rsidRDefault="003E3BA9">
      <w:pPr>
        <w:spacing w:after="143" w:line="248" w:lineRule="auto"/>
        <w:ind w:left="278" w:right="244" w:hanging="10"/>
        <w:jc w:val="both"/>
      </w:pPr>
      <w:r>
        <w:rPr>
          <w:rFonts w:ascii="Arial" w:eastAsia="Arial" w:hAnsi="Arial" w:cs="Arial"/>
          <w:i/>
          <w:color w:val="202020"/>
        </w:rPr>
        <w:t>Artículo 17. Inic</w:t>
      </w:r>
      <w:r>
        <w:rPr>
          <w:rFonts w:ascii="Arial" w:eastAsia="Arial" w:hAnsi="Arial" w:cs="Arial"/>
          <w:i/>
          <w:color w:val="202020"/>
        </w:rPr>
        <w:t xml:space="preserve">iación. </w:t>
      </w:r>
    </w:p>
    <w:p w:rsidR="00FF384B" w:rsidRDefault="003E3BA9">
      <w:pPr>
        <w:numPr>
          <w:ilvl w:val="0"/>
          <w:numId w:val="122"/>
        </w:numPr>
        <w:spacing w:after="142" w:line="248" w:lineRule="auto"/>
        <w:ind w:right="244" w:hanging="247"/>
        <w:jc w:val="both"/>
      </w:pPr>
      <w:r>
        <w:rPr>
          <w:rFonts w:ascii="Arial" w:eastAsia="Arial" w:hAnsi="Arial" w:cs="Arial"/>
          <w:color w:val="202020"/>
        </w:rPr>
        <w:t xml:space="preserve">El procedimiento para la concesión de subvenciones se inicia siempre de oficio. </w:t>
      </w:r>
    </w:p>
    <w:p w:rsidR="00FF384B" w:rsidRDefault="003E3BA9">
      <w:pPr>
        <w:numPr>
          <w:ilvl w:val="0"/>
          <w:numId w:val="122"/>
        </w:numPr>
        <w:spacing w:after="142" w:line="248" w:lineRule="auto"/>
        <w:ind w:right="244" w:hanging="247"/>
        <w:jc w:val="both"/>
      </w:pPr>
      <w:r>
        <w:rPr>
          <w:rFonts w:ascii="Arial" w:eastAsia="Arial" w:hAnsi="Arial" w:cs="Arial"/>
          <w:color w:val="202020"/>
        </w:rPr>
        <w:t>La iniciación de oficio se realizará siempre mediante convocatoria aprobada por la Alcaldía, que desarrollará el procedimiento para la concesión de las subvenciones c</w:t>
      </w:r>
      <w:r>
        <w:rPr>
          <w:rFonts w:ascii="Arial" w:eastAsia="Arial" w:hAnsi="Arial" w:cs="Arial"/>
          <w:color w:val="202020"/>
        </w:rPr>
        <w:t xml:space="preserve">onvocadas según lo establecido en la presente Ordenanza, y de acuerdo con los principios de la legislación vigente en materia de procedimiento administrativo y de las bases de ejecución del presupuesto y demás disposiciones aplicables. </w:t>
      </w:r>
    </w:p>
    <w:p w:rsidR="00FF384B" w:rsidRDefault="003E3BA9">
      <w:pPr>
        <w:numPr>
          <w:ilvl w:val="0"/>
          <w:numId w:val="122"/>
        </w:numPr>
        <w:spacing w:after="142" w:line="248" w:lineRule="auto"/>
        <w:ind w:right="244" w:hanging="247"/>
        <w:jc w:val="both"/>
      </w:pPr>
      <w:r>
        <w:rPr>
          <w:rFonts w:ascii="Arial" w:eastAsia="Arial" w:hAnsi="Arial" w:cs="Arial"/>
          <w:color w:val="202020"/>
        </w:rPr>
        <w:t>El órgano municipal</w:t>
      </w:r>
      <w:r>
        <w:rPr>
          <w:rFonts w:ascii="Arial" w:eastAsia="Arial" w:hAnsi="Arial" w:cs="Arial"/>
          <w:color w:val="202020"/>
        </w:rPr>
        <w:t xml:space="preserve"> responsable, en función de la materia, una vez recabado el documento contable de retención de gasto, dentro de los créditos disponibles en el presupuesto, y previo el informe preceptivo de la Intervención municipal, someterá la propuesta de la convocatori</w:t>
      </w:r>
      <w:r>
        <w:rPr>
          <w:rFonts w:ascii="Arial" w:eastAsia="Arial" w:hAnsi="Arial" w:cs="Arial"/>
          <w:color w:val="202020"/>
        </w:rPr>
        <w:t xml:space="preserve">a al órgano competente para su aprobación. Aprobación que deberá publicarse de acuerdo con la normativa vigente, así como en la sede electrónica del Ayuntamiento de Candelaria. </w:t>
      </w:r>
    </w:p>
    <w:p w:rsidR="00FF384B" w:rsidRDefault="003E3BA9">
      <w:pPr>
        <w:spacing w:after="142" w:line="248" w:lineRule="auto"/>
        <w:ind w:left="268" w:right="244" w:firstLine="708"/>
        <w:jc w:val="both"/>
      </w:pPr>
      <w:r>
        <w:rPr>
          <w:rFonts w:ascii="Arial" w:eastAsia="Arial" w:hAnsi="Arial" w:cs="Arial"/>
          <w:color w:val="202020"/>
        </w:rPr>
        <w:t>Si la convocatoria así lo establece, podrá realizarse la tramitación anticipad</w:t>
      </w:r>
      <w:r>
        <w:rPr>
          <w:rFonts w:ascii="Arial" w:eastAsia="Arial" w:hAnsi="Arial" w:cs="Arial"/>
          <w:color w:val="202020"/>
        </w:rPr>
        <w:t xml:space="preserve">a en las condiciones prevista en esta misma Ordenanza. </w:t>
      </w:r>
    </w:p>
    <w:p w:rsidR="00FF384B" w:rsidRDefault="003E3BA9">
      <w:pPr>
        <w:numPr>
          <w:ilvl w:val="0"/>
          <w:numId w:val="122"/>
        </w:numPr>
        <w:spacing w:after="142" w:line="248" w:lineRule="auto"/>
        <w:ind w:right="244" w:hanging="247"/>
        <w:jc w:val="both"/>
      </w:pPr>
      <w:r>
        <w:rPr>
          <w:rFonts w:ascii="Arial" w:eastAsia="Arial" w:hAnsi="Arial" w:cs="Arial"/>
          <w:color w:val="202020"/>
        </w:rPr>
        <w:t xml:space="preserve">La convocatoria incluirá, además de los requisitos previstos en la legislación vigente, los establecidos en el Anexo 1 de esta Ordenanza. </w:t>
      </w:r>
    </w:p>
    <w:p w:rsidR="00FF384B" w:rsidRDefault="003E3BA9">
      <w:pPr>
        <w:numPr>
          <w:ilvl w:val="0"/>
          <w:numId w:val="122"/>
        </w:numPr>
        <w:spacing w:after="142" w:line="248" w:lineRule="auto"/>
        <w:ind w:right="244" w:hanging="247"/>
        <w:jc w:val="both"/>
      </w:pPr>
      <w:r>
        <w:rPr>
          <w:rFonts w:ascii="Arial" w:eastAsia="Arial" w:hAnsi="Arial" w:cs="Arial"/>
          <w:color w:val="202020"/>
        </w:rPr>
        <w:t>Las solicitudes de subvención se presentarán en la forma y pl</w:t>
      </w:r>
      <w:r>
        <w:rPr>
          <w:rFonts w:ascii="Arial" w:eastAsia="Arial" w:hAnsi="Arial" w:cs="Arial"/>
          <w:color w:val="202020"/>
        </w:rPr>
        <w:t xml:space="preserve">azo que se establezcan en la convocatoria. </w:t>
      </w:r>
    </w:p>
    <w:p w:rsidR="00FF384B" w:rsidRDefault="003E3BA9">
      <w:pPr>
        <w:numPr>
          <w:ilvl w:val="0"/>
          <w:numId w:val="122"/>
        </w:numPr>
        <w:spacing w:after="142" w:line="248" w:lineRule="auto"/>
        <w:ind w:right="244" w:hanging="247"/>
        <w:jc w:val="both"/>
      </w:pPr>
      <w:r>
        <w:rPr>
          <w:rFonts w:ascii="Arial" w:eastAsia="Arial" w:hAnsi="Arial" w:cs="Arial"/>
          <w:color w:val="202020"/>
        </w:rPr>
        <w:t xml:space="preserve">Las solicitudes y la documentación requerida se presentarán conforme a los modelos normalizados, que se mantendrán actualizados en el portal de subvenciones de la sede electrónica del Ayuntamiento de Candelaria. </w:t>
      </w:r>
    </w:p>
    <w:p w:rsidR="00FF384B" w:rsidRDefault="003E3BA9">
      <w:pPr>
        <w:numPr>
          <w:ilvl w:val="0"/>
          <w:numId w:val="122"/>
        </w:numPr>
        <w:spacing w:after="142" w:line="248" w:lineRule="auto"/>
        <w:ind w:right="244" w:hanging="247"/>
        <w:jc w:val="both"/>
      </w:pPr>
      <w:r>
        <w:rPr>
          <w:rFonts w:ascii="Arial" w:eastAsia="Arial" w:hAnsi="Arial" w:cs="Arial"/>
          <w:color w:val="202020"/>
        </w:rPr>
        <w:t>La convocatoria podrá prever la sustitución de la presentación de determinados documentos por una declaración responsable del solicitante. En este caso, con anterioridad a la propuesta de resolución de concesión de la subvención, se deberá requerir por el</w:t>
      </w:r>
      <w:r>
        <w:rPr>
          <w:rFonts w:ascii="Arial" w:eastAsia="Arial" w:hAnsi="Arial" w:cs="Arial"/>
          <w:color w:val="202020"/>
        </w:rPr>
        <w:t xml:space="preserve"> órgano instructor la presentación de la documentación que acredite la realidad de los datos contenidos en la citada declaración, en un plazo no superior a diez días. El incumplimiento de dicha condición implicará el desistimiento de la solicitud, previa r</w:t>
      </w:r>
      <w:r>
        <w:rPr>
          <w:rFonts w:ascii="Arial" w:eastAsia="Arial" w:hAnsi="Arial" w:cs="Arial"/>
          <w:color w:val="202020"/>
        </w:rPr>
        <w:t xml:space="preserve">esolución del órgano competente. No se podrá requerir la aportación de documentos que ya obren en poder del Ayuntamiento. </w:t>
      </w:r>
    </w:p>
    <w:p w:rsidR="00FF384B" w:rsidRDefault="003E3BA9">
      <w:pPr>
        <w:numPr>
          <w:ilvl w:val="0"/>
          <w:numId w:val="122"/>
        </w:numPr>
        <w:spacing w:after="142" w:line="248" w:lineRule="auto"/>
        <w:ind w:right="244" w:hanging="247"/>
        <w:jc w:val="both"/>
      </w:pPr>
      <w:r>
        <w:rPr>
          <w:rFonts w:ascii="Arial" w:eastAsia="Arial" w:hAnsi="Arial" w:cs="Arial"/>
          <w:color w:val="202020"/>
        </w:rPr>
        <w:t xml:space="preserve">La presentación de la documentación en formato electrónico será obligatoria si así se establece en la convocatoria. </w:t>
      </w:r>
    </w:p>
    <w:p w:rsidR="00FF384B" w:rsidRDefault="003E3BA9">
      <w:pPr>
        <w:numPr>
          <w:ilvl w:val="0"/>
          <w:numId w:val="122"/>
        </w:numPr>
        <w:spacing w:after="142" w:line="248" w:lineRule="auto"/>
        <w:ind w:right="244" w:hanging="247"/>
        <w:jc w:val="both"/>
      </w:pPr>
      <w:r>
        <w:rPr>
          <w:noProof/>
        </w:rPr>
        <mc:AlternateContent>
          <mc:Choice Requires="wpg">
            <w:drawing>
              <wp:anchor distT="0" distB="0" distL="114300" distR="114300" simplePos="0" relativeHeight="2517770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7558" name="Group 45755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271" name="Picture 24271"/>
                          <pic:cNvPicPr/>
                        </pic:nvPicPr>
                        <pic:blipFill>
                          <a:blip r:embed="rId62"/>
                          <a:stretch>
                            <a:fillRect/>
                          </a:stretch>
                        </pic:blipFill>
                        <pic:spPr>
                          <a:xfrm rot="-5399999">
                            <a:off x="-1720849" y="1720849"/>
                            <a:ext cx="3797300" cy="355601"/>
                          </a:xfrm>
                          <a:prstGeom prst="rect">
                            <a:avLst/>
                          </a:prstGeom>
                        </pic:spPr>
                      </pic:pic>
                      <wps:wsp>
                        <wps:cNvPr id="24272" name="Rectangle 2427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273" name="Rectangle 24273"/>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7558" style="width:41.2715pt;height:299pt;position:absolute;mso-position-horizontal-relative:page;mso-position-horizontal:absolute;margin-left:653.71pt;mso-position-vertical-relative:page;margin-top:512.92pt;" coordsize="5241,37973">
                <v:shape id="Picture 24271" style="position:absolute;width:37973;height:3556;left:-17208;top:17208;rotation:-89;" filled="f">
                  <v:imagedata r:id="rId63"/>
                </v:shape>
                <v:rect id="Rectangle 2427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273"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353 </w:t>
                        </w:r>
                      </w:p>
                    </w:txbxContent>
                  </v:textbox>
                </v:rect>
                <w10:wrap type="square"/>
              </v:group>
            </w:pict>
          </mc:Fallback>
        </mc:AlternateContent>
      </w:r>
      <w:r>
        <w:rPr>
          <w:rFonts w:ascii="Arial" w:eastAsia="Arial" w:hAnsi="Arial" w:cs="Arial"/>
          <w:color w:val="202020"/>
        </w:rPr>
        <w:t>La presentación de la solicitud supone la autorización al órg</w:t>
      </w:r>
      <w:r>
        <w:rPr>
          <w:rFonts w:ascii="Arial" w:eastAsia="Arial" w:hAnsi="Arial" w:cs="Arial"/>
          <w:color w:val="202020"/>
        </w:rPr>
        <w:t xml:space="preserve">ano gestor municipal o de las entidades, para la solicitud telemática de los correspondientes certificados de la Agencia Tributaria, la Seguridad Social y Ayuntamiento de Candelaria. </w:t>
      </w:r>
    </w:p>
    <w:p w:rsidR="00FF384B" w:rsidRDefault="003E3BA9">
      <w:pPr>
        <w:spacing w:after="142" w:line="248" w:lineRule="auto"/>
        <w:ind w:left="278" w:right="244" w:hanging="10"/>
        <w:jc w:val="both"/>
      </w:pPr>
      <w:r>
        <w:rPr>
          <w:rFonts w:ascii="Arial" w:eastAsia="Arial" w:hAnsi="Arial" w:cs="Arial"/>
          <w:color w:val="202020"/>
        </w:rPr>
        <w:t>10.La presentación de la solicitud supone la autorización al órgano gest</w:t>
      </w:r>
      <w:r>
        <w:rPr>
          <w:rFonts w:ascii="Arial" w:eastAsia="Arial" w:hAnsi="Arial" w:cs="Arial"/>
          <w:color w:val="202020"/>
        </w:rPr>
        <w:t xml:space="preserve">or municipal o de las entidades, para la comprobación de los datos de identificación, residencia, nivel y origen de renta y situación de Seguridad Social que se requieran. </w:t>
      </w:r>
    </w:p>
    <w:p w:rsidR="00FF384B" w:rsidRDefault="003E3BA9">
      <w:pPr>
        <w:spacing w:after="143" w:line="248" w:lineRule="auto"/>
        <w:ind w:left="278" w:right="244" w:hanging="10"/>
        <w:jc w:val="both"/>
      </w:pPr>
      <w:r>
        <w:rPr>
          <w:rFonts w:ascii="Arial" w:eastAsia="Arial" w:hAnsi="Arial" w:cs="Arial"/>
          <w:i/>
          <w:color w:val="202020"/>
        </w:rPr>
        <w:t xml:space="preserve">Artículo 18. Tramitación anticipada. </w:t>
      </w:r>
    </w:p>
    <w:p w:rsidR="00FF384B" w:rsidRDefault="003E3BA9">
      <w:pPr>
        <w:numPr>
          <w:ilvl w:val="0"/>
          <w:numId w:val="123"/>
        </w:numPr>
        <w:spacing w:after="142" w:line="248" w:lineRule="auto"/>
        <w:ind w:right="244" w:hanging="10"/>
        <w:jc w:val="both"/>
      </w:pPr>
      <w:r>
        <w:rPr>
          <w:rFonts w:ascii="Arial" w:eastAsia="Arial" w:hAnsi="Arial" w:cs="Arial"/>
          <w:color w:val="202020"/>
        </w:rPr>
        <w:t>La convocatoria podrá aprobarse en un ejercic</w:t>
      </w:r>
      <w:r>
        <w:rPr>
          <w:rFonts w:ascii="Arial" w:eastAsia="Arial" w:hAnsi="Arial" w:cs="Arial"/>
          <w:color w:val="202020"/>
        </w:rPr>
        <w:t xml:space="preserve">io presupuestario anterior a aquél en el que vaya a tener lugar la resolución de la misma, siempre que la ejecución del gasto se realice en la misma anualidad en que se produce la concesión y se cumpla alguna de las siguientes circunstancias: </w:t>
      </w:r>
    </w:p>
    <w:p w:rsidR="00FF384B" w:rsidRDefault="003E3BA9">
      <w:pPr>
        <w:numPr>
          <w:ilvl w:val="1"/>
          <w:numId w:val="123"/>
        </w:numPr>
        <w:spacing w:after="92" w:line="248" w:lineRule="auto"/>
        <w:ind w:right="244" w:hanging="10"/>
        <w:jc w:val="both"/>
      </w:pPr>
      <w:r>
        <w:rPr>
          <w:rFonts w:ascii="Arial" w:eastAsia="Arial" w:hAnsi="Arial" w:cs="Arial"/>
          <w:color w:val="202020"/>
        </w:rPr>
        <w:t>Exista habit</w:t>
      </w:r>
      <w:r>
        <w:rPr>
          <w:rFonts w:ascii="Arial" w:eastAsia="Arial" w:hAnsi="Arial" w:cs="Arial"/>
          <w:color w:val="202020"/>
        </w:rPr>
        <w:t xml:space="preserve">ualmente crédito adecuado y suficiente para la cobertura presupuestaria del gasto de que se trate en los Presupuestos Municipales. </w:t>
      </w:r>
    </w:p>
    <w:p w:rsidR="00FF384B" w:rsidRDefault="003E3BA9">
      <w:pPr>
        <w:numPr>
          <w:ilvl w:val="1"/>
          <w:numId w:val="123"/>
        </w:numPr>
        <w:spacing w:after="92" w:line="248" w:lineRule="auto"/>
        <w:ind w:right="244" w:hanging="10"/>
        <w:jc w:val="both"/>
      </w:pPr>
      <w:r>
        <w:rPr>
          <w:rFonts w:ascii="Arial" w:eastAsia="Arial" w:hAnsi="Arial" w:cs="Arial"/>
          <w:color w:val="202020"/>
        </w:rPr>
        <w:t xml:space="preserve">Exista crédito adecuado y suficiente en el proyecto de Presupuestos Municipales para el ejercicio siguiente. </w:t>
      </w:r>
    </w:p>
    <w:p w:rsidR="00FF384B" w:rsidRDefault="003E3BA9">
      <w:pPr>
        <w:numPr>
          <w:ilvl w:val="0"/>
          <w:numId w:val="123"/>
        </w:numPr>
        <w:spacing w:after="142" w:line="248" w:lineRule="auto"/>
        <w:ind w:right="244" w:hanging="10"/>
        <w:jc w:val="both"/>
      </w:pPr>
      <w:r>
        <w:rPr>
          <w:rFonts w:ascii="Arial" w:eastAsia="Arial" w:hAnsi="Arial" w:cs="Arial"/>
          <w:color w:val="202020"/>
        </w:rPr>
        <w:t>En estos casos</w:t>
      </w:r>
      <w:r>
        <w:rPr>
          <w:rFonts w:ascii="Arial" w:eastAsia="Arial" w:hAnsi="Arial" w:cs="Arial"/>
          <w:color w:val="202020"/>
        </w:rPr>
        <w:t>, la cuantía total máxima que figure en la convocatoria tendrá carácter estimado, por lo que deberá hacerse constar expresamente en la misma que la concesión de las subvenciones queda condicionada a la existencia de crédito adecuado y suficiente en el mome</w:t>
      </w:r>
      <w:r>
        <w:rPr>
          <w:rFonts w:ascii="Arial" w:eastAsia="Arial" w:hAnsi="Arial" w:cs="Arial"/>
          <w:color w:val="202020"/>
        </w:rPr>
        <w:t>nto de la resolución de concesión. En los supuestos en los que el crédito presupuestario que resulte aprobado en el presupuesto Municipal fuera superior a la cuantía inicialmente estimada, el órgano gestor podrá decidir su aplicación o no a la convocatoria</w:t>
      </w:r>
      <w:r>
        <w:rPr>
          <w:rFonts w:ascii="Arial" w:eastAsia="Arial" w:hAnsi="Arial" w:cs="Arial"/>
          <w:color w:val="202020"/>
        </w:rPr>
        <w:t xml:space="preserve">, previa tramitación del correspondiente expediente de gasto antes de la resolución, sin necesidad de nueva convocatoria. </w:t>
      </w:r>
    </w:p>
    <w:p w:rsidR="00FF384B" w:rsidRDefault="003E3BA9">
      <w:pPr>
        <w:numPr>
          <w:ilvl w:val="0"/>
          <w:numId w:val="123"/>
        </w:numPr>
        <w:spacing w:after="142" w:line="248" w:lineRule="auto"/>
        <w:ind w:right="244" w:hanging="10"/>
        <w:jc w:val="both"/>
      </w:pPr>
      <w:r>
        <w:rPr>
          <w:rFonts w:ascii="Arial" w:eastAsia="Arial" w:hAnsi="Arial" w:cs="Arial"/>
          <w:color w:val="202020"/>
        </w:rPr>
        <w:t>En el expediente de gasto que se tramite con carácter previo a la convocatoria, el certificado de existencia de crédito será sustitui</w:t>
      </w:r>
      <w:r>
        <w:rPr>
          <w:rFonts w:ascii="Arial" w:eastAsia="Arial" w:hAnsi="Arial" w:cs="Arial"/>
          <w:color w:val="202020"/>
        </w:rPr>
        <w:t xml:space="preserve">do por un certificado expedido por el Servicio Gestor en el que se haga constar que concurre alguna de las circunstancias previstas en el apartado 1.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19. Instrucción. </w:t>
      </w:r>
    </w:p>
    <w:p w:rsidR="00FF384B" w:rsidRDefault="003E3BA9">
      <w:pPr>
        <w:numPr>
          <w:ilvl w:val="0"/>
          <w:numId w:val="124"/>
        </w:numPr>
        <w:spacing w:after="142" w:line="248" w:lineRule="auto"/>
        <w:ind w:right="244" w:hanging="247"/>
        <w:jc w:val="both"/>
      </w:pPr>
      <w:r>
        <w:rPr>
          <w:rFonts w:ascii="Arial" w:eastAsia="Arial" w:hAnsi="Arial" w:cs="Arial"/>
          <w:color w:val="202020"/>
        </w:rPr>
        <w:t>La instrucción del procedimiento de concesión de subvenciones corresponde al</w:t>
      </w:r>
      <w:r>
        <w:rPr>
          <w:rFonts w:ascii="Arial" w:eastAsia="Arial" w:hAnsi="Arial" w:cs="Arial"/>
          <w:color w:val="202020"/>
        </w:rPr>
        <w:t xml:space="preserve"> órgano que se designe en la convocatoria. </w:t>
      </w:r>
    </w:p>
    <w:p w:rsidR="00FF384B" w:rsidRDefault="003E3BA9">
      <w:pPr>
        <w:numPr>
          <w:ilvl w:val="0"/>
          <w:numId w:val="124"/>
        </w:numPr>
        <w:spacing w:after="142" w:line="248" w:lineRule="auto"/>
        <w:ind w:right="244" w:hanging="247"/>
        <w:jc w:val="both"/>
      </w:pPr>
      <w:r>
        <w:rPr>
          <w:rFonts w:ascii="Arial" w:eastAsia="Arial" w:hAnsi="Arial" w:cs="Arial"/>
          <w:color w:val="202020"/>
        </w:rPr>
        <w:t>El órgano gestor realizará de oficio cuantas actuaciones estime necesarias para la determinación, conocimiento y comprobación de los datos relativos a la actuación subvencionable y del cumplimiento de las condici</w:t>
      </w:r>
      <w:r>
        <w:rPr>
          <w:rFonts w:ascii="Arial" w:eastAsia="Arial" w:hAnsi="Arial" w:cs="Arial"/>
          <w:color w:val="202020"/>
        </w:rPr>
        <w:t xml:space="preserve">ones del solicitante para ser beneficiario de la subvención. </w:t>
      </w:r>
    </w:p>
    <w:p w:rsidR="00FF384B" w:rsidRDefault="003E3BA9">
      <w:pPr>
        <w:numPr>
          <w:ilvl w:val="0"/>
          <w:numId w:val="124"/>
        </w:numPr>
        <w:spacing w:after="142" w:line="248" w:lineRule="auto"/>
        <w:ind w:right="244" w:hanging="247"/>
        <w:jc w:val="both"/>
      </w:pPr>
      <w:r>
        <w:rPr>
          <w:rFonts w:ascii="Arial" w:eastAsia="Arial" w:hAnsi="Arial" w:cs="Arial"/>
          <w:color w:val="202020"/>
        </w:rPr>
        <w:t xml:space="preserve">Las actividades de instrucción comprenderán necesariamente: </w:t>
      </w:r>
    </w:p>
    <w:p w:rsidR="00FF384B" w:rsidRDefault="003E3BA9">
      <w:pPr>
        <w:numPr>
          <w:ilvl w:val="1"/>
          <w:numId w:val="124"/>
        </w:numPr>
        <w:spacing w:after="92" w:line="248" w:lineRule="auto"/>
        <w:ind w:right="244" w:hanging="10"/>
        <w:jc w:val="both"/>
      </w:pPr>
      <w:r>
        <w:rPr>
          <w:noProof/>
        </w:rPr>
        <mc:AlternateContent>
          <mc:Choice Requires="wpg">
            <w:drawing>
              <wp:anchor distT="0" distB="0" distL="114300" distR="114300" simplePos="0" relativeHeight="2517780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8093" name="Group 45809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413" name="Picture 24413"/>
                          <pic:cNvPicPr/>
                        </pic:nvPicPr>
                        <pic:blipFill>
                          <a:blip r:embed="rId62"/>
                          <a:stretch>
                            <a:fillRect/>
                          </a:stretch>
                        </pic:blipFill>
                        <pic:spPr>
                          <a:xfrm rot="-5399999">
                            <a:off x="-1720849" y="1720849"/>
                            <a:ext cx="3797300" cy="355601"/>
                          </a:xfrm>
                          <a:prstGeom prst="rect">
                            <a:avLst/>
                          </a:prstGeom>
                        </pic:spPr>
                      </pic:pic>
                      <wps:wsp>
                        <wps:cNvPr id="24414" name="Rectangle 2441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415" name="Rectangle 24415"/>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8093" style="width:41.2715pt;height:299pt;position:absolute;mso-position-horizontal-relative:page;mso-position-horizontal:absolute;margin-left:653.71pt;mso-position-vertical-relative:page;margin-top:512.92pt;" coordsize="5241,37973">
                <v:shape id="Picture 24413" style="position:absolute;width:37973;height:3556;left:-17208;top:17208;rotation:-89;" filled="f">
                  <v:imagedata r:id="rId63"/>
                </v:shape>
                <v:rect id="Rectangle 2441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415"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353 </w:t>
                        </w:r>
                      </w:p>
                    </w:txbxContent>
                  </v:textbox>
                </v:rect>
                <w10:wrap type="square"/>
              </v:group>
            </w:pict>
          </mc:Fallback>
        </mc:AlternateContent>
      </w:r>
      <w:r>
        <w:rPr>
          <w:rFonts w:ascii="Arial" w:eastAsia="Arial" w:hAnsi="Arial" w:cs="Arial"/>
          <w:color w:val="202020"/>
        </w:rPr>
        <w:t>Estudio y análisis de las solicitudes, efectuados conforme a los criterios objetivos, formas y prioridades de valoración de las solicitudes, recogidos en las con</w:t>
      </w:r>
      <w:r>
        <w:rPr>
          <w:rFonts w:ascii="Arial" w:eastAsia="Arial" w:hAnsi="Arial" w:cs="Arial"/>
          <w:color w:val="202020"/>
        </w:rPr>
        <w:t>vocatorias, desglose y puntuación otorgada a los mismos, establecidos en la convocatoria. Esta podrá prever una fase de preevaluación, en la que se verificará el cumplimiento de las condiciones impuestas para adquirir la condición de beneficiario de la sub</w:t>
      </w:r>
      <w:r>
        <w:rPr>
          <w:rFonts w:ascii="Arial" w:eastAsia="Arial" w:hAnsi="Arial" w:cs="Arial"/>
          <w:color w:val="202020"/>
        </w:rPr>
        <w:t xml:space="preserve">vención. </w:t>
      </w:r>
    </w:p>
    <w:p w:rsidR="00FF384B" w:rsidRDefault="003E3BA9">
      <w:pPr>
        <w:numPr>
          <w:ilvl w:val="1"/>
          <w:numId w:val="124"/>
        </w:numPr>
        <w:spacing w:after="95" w:line="248" w:lineRule="auto"/>
        <w:ind w:right="244" w:hanging="10"/>
        <w:jc w:val="both"/>
      </w:pPr>
      <w:r>
        <w:rPr>
          <w:rFonts w:ascii="Arial" w:eastAsia="Arial" w:hAnsi="Arial" w:cs="Arial"/>
          <w:color w:val="202020"/>
        </w:rPr>
        <w:t xml:space="preserve">Informe del gestor en el que conste que de la información que obra en su poder se desprende que los beneficiarios cumplen todos los requisitos necesarios para acceder a las mismas. </w:t>
      </w:r>
    </w:p>
    <w:p w:rsidR="00FF384B" w:rsidRDefault="003E3BA9">
      <w:pPr>
        <w:numPr>
          <w:ilvl w:val="0"/>
          <w:numId w:val="124"/>
        </w:numPr>
        <w:spacing w:after="142" w:line="248" w:lineRule="auto"/>
        <w:ind w:right="244" w:hanging="247"/>
        <w:jc w:val="both"/>
      </w:pPr>
      <w:r>
        <w:rPr>
          <w:rFonts w:ascii="Arial" w:eastAsia="Arial" w:hAnsi="Arial" w:cs="Arial"/>
          <w:color w:val="202020"/>
        </w:rPr>
        <w:t>Una vez estudiadas y analizadas las solicitudes, el órgano gesto</w:t>
      </w:r>
      <w:r>
        <w:rPr>
          <w:rFonts w:ascii="Arial" w:eastAsia="Arial" w:hAnsi="Arial" w:cs="Arial"/>
          <w:color w:val="202020"/>
        </w:rPr>
        <w:t xml:space="preserve">r elaborará un informe que elevará a dictamen de una Comisión de Valoración, como órgano colegiado al que corresponde evaluar las solicitudes presentadas, de acuerdo con los criterios de valoración establecidos en la convocatoria. </w:t>
      </w:r>
    </w:p>
    <w:p w:rsidR="00FF384B" w:rsidRDefault="003E3BA9">
      <w:pPr>
        <w:numPr>
          <w:ilvl w:val="0"/>
          <w:numId w:val="124"/>
        </w:numPr>
        <w:spacing w:after="142" w:line="248" w:lineRule="auto"/>
        <w:ind w:right="244" w:hanging="247"/>
        <w:jc w:val="both"/>
      </w:pPr>
      <w:r>
        <w:rPr>
          <w:rFonts w:ascii="Arial" w:eastAsia="Arial" w:hAnsi="Arial" w:cs="Arial"/>
          <w:color w:val="202020"/>
        </w:rPr>
        <w:t>La Comisión de Valoració</w:t>
      </w:r>
      <w:r>
        <w:rPr>
          <w:rFonts w:ascii="Arial" w:eastAsia="Arial" w:hAnsi="Arial" w:cs="Arial"/>
          <w:color w:val="202020"/>
        </w:rPr>
        <w:t xml:space="preserve">n, formada por al menos tres miembros, a la vista del informe presentado, realizará el examen de las solicitudes y elaborará un dictamen, en el que figurará la aplicación de los criterios de valoración y el orden preferente resultante, que será la base de </w:t>
      </w:r>
      <w:r>
        <w:rPr>
          <w:rFonts w:ascii="Arial" w:eastAsia="Arial" w:hAnsi="Arial" w:cs="Arial"/>
          <w:color w:val="202020"/>
        </w:rPr>
        <w:t xml:space="preserve">la propuesta de resolución del órgano instructor. </w:t>
      </w:r>
    </w:p>
    <w:p w:rsidR="00FF384B" w:rsidRDefault="003E3BA9">
      <w:pPr>
        <w:spacing w:after="143" w:line="248" w:lineRule="auto"/>
        <w:ind w:left="278" w:right="244" w:hanging="10"/>
        <w:jc w:val="both"/>
      </w:pPr>
      <w:r>
        <w:rPr>
          <w:rFonts w:ascii="Arial" w:eastAsia="Arial" w:hAnsi="Arial" w:cs="Arial"/>
          <w:i/>
          <w:color w:val="202020"/>
        </w:rPr>
        <w:t xml:space="preserve">Artículo 20. Propuesta de resolución. </w:t>
      </w:r>
    </w:p>
    <w:p w:rsidR="00FF384B" w:rsidRDefault="003E3BA9">
      <w:pPr>
        <w:numPr>
          <w:ilvl w:val="0"/>
          <w:numId w:val="125"/>
        </w:numPr>
        <w:spacing w:after="142" w:line="248" w:lineRule="auto"/>
        <w:ind w:right="244" w:hanging="10"/>
        <w:jc w:val="both"/>
      </w:pPr>
      <w:r>
        <w:rPr>
          <w:rFonts w:ascii="Arial" w:eastAsia="Arial" w:hAnsi="Arial" w:cs="Arial"/>
          <w:color w:val="202020"/>
        </w:rPr>
        <w:t xml:space="preserve">El órgano instructor, a la vista del contenido del expediente y del informe de la Comisión de Valoración, formulará la propuesta de resolución provisional. </w:t>
      </w:r>
    </w:p>
    <w:p w:rsidR="00FF384B" w:rsidRDefault="003E3BA9">
      <w:pPr>
        <w:spacing w:after="142" w:line="248" w:lineRule="auto"/>
        <w:ind w:left="278" w:right="244" w:hanging="10"/>
        <w:jc w:val="both"/>
      </w:pPr>
      <w:r>
        <w:rPr>
          <w:rFonts w:ascii="Arial" w:eastAsia="Arial" w:hAnsi="Arial" w:cs="Arial"/>
          <w:color w:val="202020"/>
        </w:rPr>
        <w:t>Dicha pro</w:t>
      </w:r>
      <w:r>
        <w:rPr>
          <w:rFonts w:ascii="Arial" w:eastAsia="Arial" w:hAnsi="Arial" w:cs="Arial"/>
          <w:color w:val="202020"/>
        </w:rPr>
        <w:t>puesta se formulará en un acto único, salvo que, conforme a la previsión contemplada en el procedimiento simplificado de concurrencia competitiva para los supuestos previstos en el artículo 25.1.a) b) de esta Ordenanza, se resuelva de forma individualizada</w:t>
      </w:r>
      <w:r>
        <w:rPr>
          <w:rFonts w:ascii="Arial" w:eastAsia="Arial" w:hAnsi="Arial" w:cs="Arial"/>
          <w:color w:val="202020"/>
        </w:rPr>
        <w:t xml:space="preserve">, en cuyo caso se podrán formular propuestas de resolución en actos individuales. </w:t>
      </w:r>
    </w:p>
    <w:p w:rsidR="00FF384B" w:rsidRDefault="003E3BA9">
      <w:pPr>
        <w:spacing w:after="142" w:line="248" w:lineRule="auto"/>
        <w:ind w:left="278" w:right="244" w:hanging="10"/>
        <w:jc w:val="both"/>
      </w:pPr>
      <w:r>
        <w:rPr>
          <w:rFonts w:ascii="Arial" w:eastAsia="Arial" w:hAnsi="Arial" w:cs="Arial"/>
          <w:color w:val="202020"/>
        </w:rPr>
        <w:t>La propuesta de resolución deberá expresar la relación de solicitantes para los que se propone la concesión de la subvención y su cuantía, especificando la puntuación obteni</w:t>
      </w:r>
      <w:r>
        <w:rPr>
          <w:rFonts w:ascii="Arial" w:eastAsia="Arial" w:hAnsi="Arial" w:cs="Arial"/>
          <w:color w:val="202020"/>
        </w:rPr>
        <w:t xml:space="preserve">da y los criterios de valoración seguidos para efectuarla, así como la propuesta de desestimación fundamentada del resto de solicitudes. </w:t>
      </w:r>
    </w:p>
    <w:p w:rsidR="00FF384B" w:rsidRDefault="003E3BA9">
      <w:pPr>
        <w:numPr>
          <w:ilvl w:val="0"/>
          <w:numId w:val="125"/>
        </w:numPr>
        <w:spacing w:after="142" w:line="248" w:lineRule="auto"/>
        <w:ind w:right="244" w:hanging="10"/>
        <w:jc w:val="both"/>
      </w:pPr>
      <w:r>
        <w:rPr>
          <w:rFonts w:ascii="Arial" w:eastAsia="Arial" w:hAnsi="Arial" w:cs="Arial"/>
          <w:color w:val="202020"/>
        </w:rPr>
        <w:t xml:space="preserve">Emitida la propuesta de resolución provisional, se dará traslado al interesado para cumplir con el trámite de audiencia. El interesado, en el plazo de diez días, podrá presentar las alegaciones que considere oportunas. </w:t>
      </w:r>
    </w:p>
    <w:p w:rsidR="00FF384B" w:rsidRDefault="003E3BA9">
      <w:pPr>
        <w:spacing w:after="142" w:line="248" w:lineRule="auto"/>
        <w:ind w:left="278" w:right="244" w:hanging="10"/>
        <w:jc w:val="both"/>
      </w:pPr>
      <w:r>
        <w:rPr>
          <w:rFonts w:ascii="Arial" w:eastAsia="Arial" w:hAnsi="Arial" w:cs="Arial"/>
          <w:color w:val="202020"/>
        </w:rPr>
        <w:t>Sin perjuicio de lo establecido en l</w:t>
      </w:r>
      <w:r>
        <w:rPr>
          <w:rFonts w:ascii="Arial" w:eastAsia="Arial" w:hAnsi="Arial" w:cs="Arial"/>
          <w:color w:val="202020"/>
        </w:rPr>
        <w:t xml:space="preserve">a legislación vigente de Procedimiento Administrativo Común, las convocatorias podrán prever que las comunicaciones a los interesados puedan efectuarse mediante notificación electrónica. </w:t>
      </w:r>
    </w:p>
    <w:p w:rsidR="00FF384B" w:rsidRDefault="003E3BA9">
      <w:pPr>
        <w:numPr>
          <w:ilvl w:val="0"/>
          <w:numId w:val="125"/>
        </w:numPr>
        <w:spacing w:after="142" w:line="248" w:lineRule="auto"/>
        <w:ind w:right="244" w:hanging="10"/>
        <w:jc w:val="both"/>
      </w:pPr>
      <w:r>
        <w:rPr>
          <w:rFonts w:ascii="Arial" w:eastAsia="Arial" w:hAnsi="Arial" w:cs="Arial"/>
          <w:color w:val="202020"/>
        </w:rPr>
        <w:t>Se podrá prescindir del trámite de audiencia, cuando no figuren en e</w:t>
      </w:r>
      <w:r>
        <w:rPr>
          <w:rFonts w:ascii="Arial" w:eastAsia="Arial" w:hAnsi="Arial" w:cs="Arial"/>
          <w:color w:val="202020"/>
        </w:rPr>
        <w:t xml:space="preserve">l procedimiento ni sean tenidos en cuenta en la resolución otros hechos ni otras alegaciones y pruebas que las aducidas por el interesado. En este caso, la propuesta de resolución tendrá el carácter de definitiva. </w:t>
      </w:r>
    </w:p>
    <w:p w:rsidR="00FF384B" w:rsidRDefault="003E3BA9">
      <w:pPr>
        <w:numPr>
          <w:ilvl w:val="0"/>
          <w:numId w:val="125"/>
        </w:numPr>
        <w:spacing w:after="142" w:line="248" w:lineRule="auto"/>
        <w:ind w:right="244" w:hanging="10"/>
        <w:jc w:val="both"/>
      </w:pPr>
      <w:r>
        <w:rPr>
          <w:rFonts w:ascii="Arial" w:eastAsia="Arial" w:hAnsi="Arial" w:cs="Arial"/>
          <w:color w:val="202020"/>
        </w:rPr>
        <w:t>Instruido el procedimiento, el órgano ins</w:t>
      </w:r>
      <w:r>
        <w:rPr>
          <w:rFonts w:ascii="Arial" w:eastAsia="Arial" w:hAnsi="Arial" w:cs="Arial"/>
          <w:color w:val="202020"/>
        </w:rPr>
        <w:t xml:space="preserve">tructor formulará la propuesta de resolución definitiva, que se notificará a los interesados propuestos como beneficiarios, en la forma que establezca la convocatoria. </w:t>
      </w:r>
    </w:p>
    <w:p w:rsidR="00FF384B" w:rsidRDefault="003E3BA9">
      <w:pPr>
        <w:spacing w:after="142" w:line="248" w:lineRule="auto"/>
        <w:ind w:left="278" w:right="244" w:hanging="10"/>
        <w:jc w:val="both"/>
      </w:pPr>
      <w:r>
        <w:rPr>
          <w:rFonts w:ascii="Arial" w:eastAsia="Arial" w:hAnsi="Arial" w:cs="Arial"/>
          <w:color w:val="202020"/>
        </w:rPr>
        <w:t xml:space="preserve">La convocatoria recogerá si la aceptación debe ser expresa o tácita. </w:t>
      </w:r>
    </w:p>
    <w:p w:rsidR="00FF384B" w:rsidRDefault="003E3BA9">
      <w:pPr>
        <w:spacing w:after="142" w:line="248" w:lineRule="auto"/>
        <w:ind w:left="278" w:right="244" w:hanging="10"/>
        <w:jc w:val="both"/>
      </w:pPr>
      <w:r>
        <w:rPr>
          <w:rFonts w:ascii="Arial" w:eastAsia="Arial" w:hAnsi="Arial" w:cs="Arial"/>
          <w:color w:val="202020"/>
        </w:rPr>
        <w:t>En el caso, de qu</w:t>
      </w:r>
      <w:r>
        <w:rPr>
          <w:rFonts w:ascii="Arial" w:eastAsia="Arial" w:hAnsi="Arial" w:cs="Arial"/>
          <w:color w:val="202020"/>
        </w:rPr>
        <w:t xml:space="preserve">e se haya previsto la aceptación expresa, si ésta no se comunica, se considerará que el propuesto como beneficiario desiste de su solicitud. </w:t>
      </w:r>
    </w:p>
    <w:p w:rsidR="00FF384B" w:rsidRDefault="003E3BA9">
      <w:pPr>
        <w:spacing w:after="142" w:line="248" w:lineRule="auto"/>
        <w:ind w:left="278" w:right="244" w:hanging="10"/>
        <w:jc w:val="both"/>
      </w:pPr>
      <w:r>
        <w:rPr>
          <w:noProof/>
        </w:rPr>
        <mc:AlternateContent>
          <mc:Choice Requires="wpg">
            <w:drawing>
              <wp:anchor distT="0" distB="0" distL="114300" distR="114300" simplePos="0" relativeHeight="2517790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8587" name="Group 45858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563" name="Picture 24563"/>
                          <pic:cNvPicPr/>
                        </pic:nvPicPr>
                        <pic:blipFill>
                          <a:blip r:embed="rId62"/>
                          <a:stretch>
                            <a:fillRect/>
                          </a:stretch>
                        </pic:blipFill>
                        <pic:spPr>
                          <a:xfrm rot="-5399999">
                            <a:off x="-1720849" y="1720849"/>
                            <a:ext cx="3797300" cy="355601"/>
                          </a:xfrm>
                          <a:prstGeom prst="rect">
                            <a:avLst/>
                          </a:prstGeom>
                        </pic:spPr>
                      </pic:pic>
                      <wps:wsp>
                        <wps:cNvPr id="24564" name="Rectangle 2456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565" name="Rectangle 24565"/>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8587" style="width:41.2715pt;height:299pt;position:absolute;mso-position-horizontal-relative:page;mso-position-horizontal:absolute;margin-left:653.71pt;mso-position-vertical-relative:page;margin-top:512.92pt;" coordsize="5241,37973">
                <v:shape id="Picture 24563" style="position:absolute;width:37973;height:3556;left:-17208;top:17208;rotation:-89;" filled="f">
                  <v:imagedata r:id="rId63"/>
                </v:shape>
                <v:rect id="Rectangle 2456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565"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353 </w:t>
                        </w:r>
                      </w:p>
                    </w:txbxContent>
                  </v:textbox>
                </v:rect>
                <w10:wrap type="square"/>
              </v:group>
            </w:pict>
          </mc:Fallback>
        </mc:AlternateContent>
      </w:r>
      <w:r>
        <w:rPr>
          <w:rFonts w:ascii="Arial" w:eastAsia="Arial" w:hAnsi="Arial" w:cs="Arial"/>
          <w:color w:val="202020"/>
        </w:rPr>
        <w:t xml:space="preserve">No obstante, se podrá prever que la aceptación se lleve a cabo con posterioridad a la concesión de la subvención. </w:t>
      </w:r>
    </w:p>
    <w:p w:rsidR="00FF384B" w:rsidRDefault="003E3BA9">
      <w:pPr>
        <w:numPr>
          <w:ilvl w:val="0"/>
          <w:numId w:val="125"/>
        </w:numPr>
        <w:spacing w:after="142" w:line="248" w:lineRule="auto"/>
        <w:ind w:right="244" w:hanging="10"/>
        <w:jc w:val="both"/>
      </w:pPr>
      <w:r>
        <w:rPr>
          <w:rFonts w:ascii="Arial" w:eastAsia="Arial" w:hAnsi="Arial" w:cs="Arial"/>
          <w:color w:val="202020"/>
        </w:rPr>
        <w:t>Las propuestas de resolución, en ningún caso s</w:t>
      </w:r>
      <w:r>
        <w:rPr>
          <w:rFonts w:ascii="Arial" w:eastAsia="Arial" w:hAnsi="Arial" w:cs="Arial"/>
          <w:color w:val="202020"/>
        </w:rPr>
        <w:t xml:space="preserve">uponen la creación de derecho alguno a favor del beneficiario, mientras no se haya notificado la resolución definitiva de la concesión. </w:t>
      </w:r>
    </w:p>
    <w:p w:rsidR="00FF384B" w:rsidRDefault="003E3BA9">
      <w:pPr>
        <w:spacing w:after="143" w:line="248" w:lineRule="auto"/>
        <w:ind w:left="278" w:right="244" w:hanging="10"/>
        <w:jc w:val="both"/>
      </w:pPr>
      <w:r>
        <w:rPr>
          <w:rFonts w:ascii="Arial" w:eastAsia="Arial" w:hAnsi="Arial" w:cs="Arial"/>
          <w:i/>
          <w:color w:val="202020"/>
        </w:rPr>
        <w:t xml:space="preserve">Artículo 21. Resolución. </w:t>
      </w:r>
    </w:p>
    <w:p w:rsidR="00FF384B" w:rsidRDefault="003E3BA9">
      <w:pPr>
        <w:numPr>
          <w:ilvl w:val="0"/>
          <w:numId w:val="126"/>
        </w:numPr>
        <w:spacing w:after="142" w:line="248" w:lineRule="auto"/>
        <w:ind w:right="244" w:hanging="10"/>
        <w:jc w:val="both"/>
      </w:pPr>
      <w:r>
        <w:rPr>
          <w:rFonts w:ascii="Arial" w:eastAsia="Arial" w:hAnsi="Arial" w:cs="Arial"/>
          <w:color w:val="202020"/>
        </w:rPr>
        <w:t>Una vez aprobada la propuesta de resolución, el órgano competente resolverá la concesión de l</w:t>
      </w:r>
      <w:r>
        <w:rPr>
          <w:rFonts w:ascii="Arial" w:eastAsia="Arial" w:hAnsi="Arial" w:cs="Arial"/>
          <w:color w:val="202020"/>
        </w:rPr>
        <w:t xml:space="preserve">as subvenciones. </w:t>
      </w:r>
    </w:p>
    <w:p w:rsidR="00FF384B" w:rsidRDefault="003E3BA9">
      <w:pPr>
        <w:numPr>
          <w:ilvl w:val="0"/>
          <w:numId w:val="126"/>
        </w:numPr>
        <w:spacing w:after="142" w:line="248" w:lineRule="auto"/>
        <w:ind w:right="244" w:hanging="10"/>
        <w:jc w:val="both"/>
      </w:pPr>
      <w:r>
        <w:rPr>
          <w:rFonts w:ascii="Arial" w:eastAsia="Arial" w:hAnsi="Arial" w:cs="Arial"/>
          <w:color w:val="202020"/>
        </w:rPr>
        <w:t xml:space="preserve">La resolución se motivará de conformidad con lo dispuesto en la presente ordenanza y en la convocatoria por la que se rige, debiendo quedar acreditados en el procedimiento los fundamentos de la resolución que se adopte. </w:t>
      </w:r>
    </w:p>
    <w:p w:rsidR="00FF384B" w:rsidRDefault="003E3BA9">
      <w:pPr>
        <w:numPr>
          <w:ilvl w:val="0"/>
          <w:numId w:val="126"/>
        </w:numPr>
        <w:spacing w:after="142" w:line="248" w:lineRule="auto"/>
        <w:ind w:right="244" w:hanging="10"/>
        <w:jc w:val="both"/>
      </w:pPr>
      <w:r>
        <w:rPr>
          <w:rFonts w:ascii="Arial" w:eastAsia="Arial" w:hAnsi="Arial" w:cs="Arial"/>
          <w:color w:val="202020"/>
        </w:rPr>
        <w:t xml:space="preserve">En la resolución </w:t>
      </w:r>
      <w:r>
        <w:rPr>
          <w:rFonts w:ascii="Arial" w:eastAsia="Arial" w:hAnsi="Arial" w:cs="Arial"/>
          <w:color w:val="202020"/>
        </w:rPr>
        <w:t>constará, en todo caso, el objeto de la subvención, el beneficiario o beneficiarios, la puntuación obtenida en la valoración, el importe de la subvención, con indicación del porcentaje, cuando la cuantificación se haya basado en este criterio, así como, de</w:t>
      </w:r>
      <w:r>
        <w:rPr>
          <w:rFonts w:ascii="Arial" w:eastAsia="Arial" w:hAnsi="Arial" w:cs="Arial"/>
          <w:color w:val="202020"/>
        </w:rPr>
        <w:t xml:space="preserve"> forma fundamentada, la desestimación y la no concesión de ayuda por inadmisión de la petición, desistimiento, renuncia o imposibilidad material sobrevenida del resto de solicitudes. </w:t>
      </w:r>
    </w:p>
    <w:p w:rsidR="00FF384B" w:rsidRDefault="003E3BA9">
      <w:pPr>
        <w:numPr>
          <w:ilvl w:val="0"/>
          <w:numId w:val="126"/>
        </w:numPr>
        <w:spacing w:after="142" w:line="248" w:lineRule="auto"/>
        <w:ind w:right="244" w:hanging="10"/>
        <w:jc w:val="both"/>
      </w:pPr>
      <w:r>
        <w:rPr>
          <w:rFonts w:ascii="Arial" w:eastAsia="Arial" w:hAnsi="Arial" w:cs="Arial"/>
          <w:color w:val="202020"/>
        </w:rPr>
        <w:t>La resolución deberá contener los recursos que contra la misma procedan,</w:t>
      </w:r>
      <w:r>
        <w:rPr>
          <w:rFonts w:ascii="Arial" w:eastAsia="Arial" w:hAnsi="Arial" w:cs="Arial"/>
          <w:color w:val="202020"/>
        </w:rPr>
        <w:t xml:space="preserve"> órgano administrativo o judicial ante el que hubieran de presentarse y plazo para interponerlos, sin perjuicio de que los interesados puedan ejercitar cualquier otro que estimen oportuno. </w:t>
      </w:r>
    </w:p>
    <w:p w:rsidR="00FF384B" w:rsidRDefault="003E3BA9">
      <w:pPr>
        <w:numPr>
          <w:ilvl w:val="0"/>
          <w:numId w:val="126"/>
        </w:numPr>
        <w:spacing w:after="142" w:line="248" w:lineRule="auto"/>
        <w:ind w:right="244" w:hanging="10"/>
        <w:jc w:val="both"/>
      </w:pPr>
      <w:r>
        <w:rPr>
          <w:rFonts w:ascii="Arial" w:eastAsia="Arial" w:hAnsi="Arial" w:cs="Arial"/>
          <w:color w:val="202020"/>
        </w:rPr>
        <w:t xml:space="preserve">El plazo máximo para resolver y notificar no podrá exceder de seis meses. El plazo se computará a partir de la publicación de la correspondiente convocatoria, o desde la fecha de finalización del plazo de presentación de las solicitudes. Cada convocatoria </w:t>
      </w:r>
      <w:r>
        <w:rPr>
          <w:rFonts w:ascii="Arial" w:eastAsia="Arial" w:hAnsi="Arial" w:cs="Arial"/>
          <w:color w:val="202020"/>
        </w:rPr>
        <w:t xml:space="preserve">determinará la fecha de cómputo. </w:t>
      </w:r>
    </w:p>
    <w:p w:rsidR="00FF384B" w:rsidRDefault="003E3BA9">
      <w:pPr>
        <w:numPr>
          <w:ilvl w:val="0"/>
          <w:numId w:val="126"/>
        </w:numPr>
        <w:spacing w:after="142" w:line="248" w:lineRule="auto"/>
        <w:ind w:right="244" w:hanging="10"/>
        <w:jc w:val="both"/>
      </w:pPr>
      <w:r>
        <w:rPr>
          <w:rFonts w:ascii="Arial" w:eastAsia="Arial" w:hAnsi="Arial" w:cs="Arial"/>
          <w:color w:val="202020"/>
        </w:rPr>
        <w:t xml:space="preserve">La resolución será notificada a los solicitantes de conformidad con lo prescrito en la regulación del Procedimiento Administrativo Común. </w:t>
      </w:r>
    </w:p>
    <w:p w:rsidR="00FF384B" w:rsidRDefault="003E3BA9">
      <w:pPr>
        <w:numPr>
          <w:ilvl w:val="0"/>
          <w:numId w:val="126"/>
        </w:numPr>
        <w:spacing w:after="142" w:line="248" w:lineRule="auto"/>
        <w:ind w:right="244" w:hanging="10"/>
        <w:jc w:val="both"/>
      </w:pPr>
      <w:r>
        <w:rPr>
          <w:rFonts w:ascii="Arial" w:eastAsia="Arial" w:hAnsi="Arial" w:cs="Arial"/>
          <w:color w:val="202020"/>
        </w:rPr>
        <w:t>Se entenderá que la subvención es aceptada por el beneficiario si transcurridos die</w:t>
      </w:r>
      <w:r>
        <w:rPr>
          <w:rFonts w:ascii="Arial" w:eastAsia="Arial" w:hAnsi="Arial" w:cs="Arial"/>
          <w:color w:val="202020"/>
        </w:rPr>
        <w:t xml:space="preserve">z días desde la recepción de la notificación el interesado no ejercita acto en contrario, salvo que en la convocatoria no se diga otra cosa. </w:t>
      </w:r>
    </w:p>
    <w:p w:rsidR="00FF384B" w:rsidRDefault="003E3BA9">
      <w:pPr>
        <w:numPr>
          <w:ilvl w:val="0"/>
          <w:numId w:val="126"/>
        </w:numPr>
        <w:spacing w:after="153" w:line="239" w:lineRule="auto"/>
        <w:ind w:right="244" w:hanging="10"/>
        <w:jc w:val="both"/>
      </w:pPr>
      <w:r>
        <w:rPr>
          <w:rFonts w:ascii="Arial" w:eastAsia="Arial" w:hAnsi="Arial" w:cs="Arial"/>
          <w:color w:val="202020"/>
        </w:rPr>
        <w:t>La resolución se publicará en el Boletín Oficial de la Provincia, en la sede electrónica del Ayuntamiento de Cande</w:t>
      </w:r>
      <w:r>
        <w:rPr>
          <w:rFonts w:ascii="Arial" w:eastAsia="Arial" w:hAnsi="Arial" w:cs="Arial"/>
          <w:color w:val="202020"/>
        </w:rPr>
        <w:t xml:space="preserve">laria, y será notificada a la Base de Datos Nacional de Subvenciones. </w:t>
      </w:r>
    </w:p>
    <w:p w:rsidR="00FF384B" w:rsidRDefault="003E3BA9">
      <w:pPr>
        <w:spacing w:after="142" w:line="248" w:lineRule="auto"/>
        <w:ind w:left="278" w:right="244" w:hanging="10"/>
        <w:jc w:val="both"/>
      </w:pPr>
      <w:r>
        <w:rPr>
          <w:rFonts w:ascii="Arial" w:eastAsia="Arial" w:hAnsi="Arial" w:cs="Arial"/>
          <w:color w:val="202020"/>
        </w:rPr>
        <w:t>No será necesaria la publicación de los datos del beneficiario, cuando en razón del objeto de la subvención, pueda ser contraria al respeto y salvaguarda del honor, la intimidad persona</w:t>
      </w:r>
      <w:r>
        <w:rPr>
          <w:rFonts w:ascii="Arial" w:eastAsia="Arial" w:hAnsi="Arial" w:cs="Arial"/>
          <w:color w:val="202020"/>
        </w:rPr>
        <w:t xml:space="preserve">l, y familiar de las personas físicas en virtud de lo establecido en la Ley Orgánica 1/1982, de 5 de mayo, de Protección Civil del Derecho al Honor, a la Intimidad Personal y Familiar y a la Propia Imagen, y haya sido previsto en su normativa reguladora. </w:t>
      </w:r>
    </w:p>
    <w:p w:rsidR="00FF384B" w:rsidRDefault="003E3BA9">
      <w:pPr>
        <w:numPr>
          <w:ilvl w:val="0"/>
          <w:numId w:val="126"/>
        </w:numPr>
        <w:spacing w:after="142" w:line="248" w:lineRule="auto"/>
        <w:ind w:right="244" w:hanging="10"/>
        <w:jc w:val="both"/>
      </w:pPr>
      <w:r>
        <w:rPr>
          <w:noProof/>
        </w:rPr>
        <mc:AlternateContent>
          <mc:Choice Requires="wpg">
            <w:drawing>
              <wp:anchor distT="0" distB="0" distL="114300" distR="114300" simplePos="0" relativeHeight="2517800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9089" name="Group 45908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709" name="Picture 24709"/>
                          <pic:cNvPicPr/>
                        </pic:nvPicPr>
                        <pic:blipFill>
                          <a:blip r:embed="rId62"/>
                          <a:stretch>
                            <a:fillRect/>
                          </a:stretch>
                        </pic:blipFill>
                        <pic:spPr>
                          <a:xfrm rot="-5399999">
                            <a:off x="-1720849" y="1720849"/>
                            <a:ext cx="3797300" cy="355601"/>
                          </a:xfrm>
                          <a:prstGeom prst="rect">
                            <a:avLst/>
                          </a:prstGeom>
                        </pic:spPr>
                      </pic:pic>
                      <wps:wsp>
                        <wps:cNvPr id="24710" name="Rectangle 2471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711" name="Rectangle 24711"/>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9089" style="width:41.2715pt;height:299pt;position:absolute;mso-position-horizontal-relative:page;mso-position-horizontal:absolute;margin-left:653.71pt;mso-position-vertical-relative:page;margin-top:512.92pt;" coordsize="5241,37973">
                <v:shape id="Picture 24709" style="position:absolute;width:37973;height:3556;left:-17208;top:17208;rotation:-89;" filled="f">
                  <v:imagedata r:id="rId63"/>
                </v:shape>
                <v:rect id="Rectangle 2471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711"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353 </w:t>
                        </w:r>
                      </w:p>
                    </w:txbxContent>
                  </v:textbox>
                </v:rect>
                <w10:wrap type="square"/>
              </v:group>
            </w:pict>
          </mc:Fallback>
        </mc:AlternateContent>
      </w:r>
      <w:r>
        <w:rPr>
          <w:rFonts w:ascii="Arial" w:eastAsia="Arial" w:hAnsi="Arial" w:cs="Arial"/>
          <w:color w:val="202020"/>
        </w:rPr>
        <w:t>Transcurrido el plazo máximo sin que se haya notificado re</w:t>
      </w:r>
      <w:r>
        <w:rPr>
          <w:rFonts w:ascii="Arial" w:eastAsia="Arial" w:hAnsi="Arial" w:cs="Arial"/>
          <w:color w:val="202020"/>
        </w:rPr>
        <w:t xml:space="preserve">solución expresa, el solicitante podrá entender desestimada, por silencio administrativo, su solicitud de subvención. </w:t>
      </w:r>
    </w:p>
    <w:p w:rsidR="00FF384B" w:rsidRDefault="003E3BA9">
      <w:pPr>
        <w:spacing w:after="143" w:line="248" w:lineRule="auto"/>
        <w:ind w:left="278" w:right="244" w:hanging="10"/>
        <w:jc w:val="both"/>
      </w:pPr>
      <w:r>
        <w:rPr>
          <w:rFonts w:ascii="Arial" w:eastAsia="Arial" w:hAnsi="Arial" w:cs="Arial"/>
          <w:i/>
          <w:color w:val="202020"/>
        </w:rPr>
        <w:t xml:space="preserve">Artículo 22. Reformulación de solicitudes. </w:t>
      </w:r>
    </w:p>
    <w:p w:rsidR="00FF384B" w:rsidRDefault="003E3BA9">
      <w:pPr>
        <w:numPr>
          <w:ilvl w:val="0"/>
          <w:numId w:val="127"/>
        </w:numPr>
        <w:spacing w:after="142" w:line="248" w:lineRule="auto"/>
        <w:ind w:right="244" w:hanging="10"/>
        <w:jc w:val="both"/>
      </w:pPr>
      <w:r>
        <w:rPr>
          <w:rFonts w:ascii="Arial" w:eastAsia="Arial" w:hAnsi="Arial" w:cs="Arial"/>
          <w:color w:val="202020"/>
        </w:rPr>
        <w:t>Cuando la subvención tenga por objeto la financiación de actividades a desarrollar por el sol</w:t>
      </w:r>
      <w:r>
        <w:rPr>
          <w:rFonts w:ascii="Arial" w:eastAsia="Arial" w:hAnsi="Arial" w:cs="Arial"/>
          <w:color w:val="202020"/>
        </w:rPr>
        <w:t>icitante y el importe a conceder sea inferior al importe solicitado, a través de la resolución provisional señalada en el artículo 21 de la presente Ordenanza, se podrá instar al solicitante, si así se ha previsto en la convocatoria, a reformular su petici</w:t>
      </w:r>
      <w:r>
        <w:rPr>
          <w:rFonts w:ascii="Arial" w:eastAsia="Arial" w:hAnsi="Arial" w:cs="Arial"/>
          <w:color w:val="202020"/>
        </w:rPr>
        <w:t xml:space="preserve">ón para ajustar los compromisos y condiciones a la subvención otorgable. </w:t>
      </w:r>
    </w:p>
    <w:p w:rsidR="00FF384B" w:rsidRDefault="003E3BA9">
      <w:pPr>
        <w:numPr>
          <w:ilvl w:val="0"/>
          <w:numId w:val="127"/>
        </w:numPr>
        <w:spacing w:after="142" w:line="248" w:lineRule="auto"/>
        <w:ind w:right="244" w:hanging="10"/>
        <w:jc w:val="both"/>
      </w:pPr>
      <w:r>
        <w:rPr>
          <w:rFonts w:ascii="Arial" w:eastAsia="Arial" w:hAnsi="Arial" w:cs="Arial"/>
          <w:color w:val="202020"/>
        </w:rPr>
        <w:t xml:space="preserve">La Concejalía responsable de la tramitación, deberá informar previamente a la nueva propuesta de resolución. </w:t>
      </w:r>
    </w:p>
    <w:p w:rsidR="00FF384B" w:rsidRDefault="003E3BA9">
      <w:pPr>
        <w:numPr>
          <w:ilvl w:val="0"/>
          <w:numId w:val="127"/>
        </w:numPr>
        <w:spacing w:after="142" w:line="248" w:lineRule="auto"/>
        <w:ind w:right="244" w:hanging="10"/>
        <w:jc w:val="both"/>
      </w:pPr>
      <w:r>
        <w:rPr>
          <w:rFonts w:ascii="Arial" w:eastAsia="Arial" w:hAnsi="Arial" w:cs="Arial"/>
          <w:color w:val="202020"/>
        </w:rPr>
        <w:t>En todo caso, la reformulación de solicitudes deberá respetar el objeto,</w:t>
      </w:r>
      <w:r>
        <w:rPr>
          <w:rFonts w:ascii="Arial" w:eastAsia="Arial" w:hAnsi="Arial" w:cs="Arial"/>
          <w:color w:val="202020"/>
        </w:rPr>
        <w:t xml:space="preserve"> condiciones y finalidad de la subvención, así como los criterios de valoración establecidos. </w:t>
      </w:r>
    </w:p>
    <w:p w:rsidR="00FF384B" w:rsidRDefault="003E3BA9">
      <w:pPr>
        <w:numPr>
          <w:ilvl w:val="0"/>
          <w:numId w:val="127"/>
        </w:numPr>
        <w:spacing w:after="142" w:line="248" w:lineRule="auto"/>
        <w:ind w:right="244" w:hanging="10"/>
        <w:jc w:val="both"/>
      </w:pPr>
      <w:r>
        <w:rPr>
          <w:rFonts w:ascii="Arial" w:eastAsia="Arial" w:hAnsi="Arial" w:cs="Arial"/>
          <w:color w:val="202020"/>
        </w:rPr>
        <w:t xml:space="preserve">Si se hubiese instado la reformulación y el solicitante de la ayuda no contesta en el plazo otorgado, se mantendrá el contenido de la solicitud inicial.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23. Convocatoria abierta. </w:t>
      </w:r>
    </w:p>
    <w:p w:rsidR="00FF384B" w:rsidRDefault="003E3BA9">
      <w:pPr>
        <w:numPr>
          <w:ilvl w:val="0"/>
          <w:numId w:val="128"/>
        </w:numPr>
        <w:spacing w:after="142" w:line="248" w:lineRule="auto"/>
        <w:ind w:right="244" w:hanging="10"/>
        <w:jc w:val="both"/>
      </w:pPr>
      <w:r>
        <w:rPr>
          <w:rFonts w:ascii="Arial" w:eastAsia="Arial" w:hAnsi="Arial" w:cs="Arial"/>
          <w:color w:val="202020"/>
        </w:rPr>
        <w:t>Se denomina convocatoria abierta al acto administrativo por el que se acuerda, de forma simultánea, la realización de varios procedimientos de selección sucesivos, a lo largo de un ejercicio presupuestario, para una mism</w:t>
      </w:r>
      <w:r>
        <w:rPr>
          <w:rFonts w:ascii="Arial" w:eastAsia="Arial" w:hAnsi="Arial" w:cs="Arial"/>
          <w:color w:val="202020"/>
        </w:rPr>
        <w:t xml:space="preserve">a línea de subvención. </w:t>
      </w:r>
    </w:p>
    <w:p w:rsidR="00FF384B" w:rsidRDefault="003E3BA9">
      <w:pPr>
        <w:numPr>
          <w:ilvl w:val="0"/>
          <w:numId w:val="128"/>
        </w:numPr>
        <w:spacing w:after="142" w:line="248" w:lineRule="auto"/>
        <w:ind w:right="244" w:hanging="10"/>
        <w:jc w:val="both"/>
      </w:pPr>
      <w:r>
        <w:rPr>
          <w:rFonts w:ascii="Arial" w:eastAsia="Arial" w:hAnsi="Arial" w:cs="Arial"/>
          <w:color w:val="202020"/>
        </w:rPr>
        <w:t xml:space="preserve">En la convocatoria abierta deberá concretarse el número de procedimientos sucesivos que se realizarán y, para cada uno de ellos: </w:t>
      </w:r>
    </w:p>
    <w:p w:rsidR="00FF384B" w:rsidRDefault="003E3BA9">
      <w:pPr>
        <w:numPr>
          <w:ilvl w:val="1"/>
          <w:numId w:val="128"/>
        </w:numPr>
        <w:spacing w:after="89" w:line="248" w:lineRule="auto"/>
        <w:ind w:right="244" w:hanging="259"/>
        <w:jc w:val="both"/>
      </w:pPr>
      <w:r>
        <w:rPr>
          <w:rFonts w:ascii="Arial" w:eastAsia="Arial" w:hAnsi="Arial" w:cs="Arial"/>
          <w:color w:val="202020"/>
        </w:rPr>
        <w:t xml:space="preserve">El importe máximo a otorgar. </w:t>
      </w:r>
    </w:p>
    <w:p w:rsidR="00FF384B" w:rsidRDefault="003E3BA9">
      <w:pPr>
        <w:numPr>
          <w:ilvl w:val="1"/>
          <w:numId w:val="128"/>
        </w:numPr>
        <w:spacing w:after="89" w:line="248" w:lineRule="auto"/>
        <w:ind w:right="244" w:hanging="259"/>
        <w:jc w:val="both"/>
      </w:pPr>
      <w:r>
        <w:rPr>
          <w:rFonts w:ascii="Arial" w:eastAsia="Arial" w:hAnsi="Arial" w:cs="Arial"/>
          <w:color w:val="202020"/>
        </w:rPr>
        <w:t xml:space="preserve">El plazo máximo de resolución de cada uno de los procedimientos. </w:t>
      </w:r>
    </w:p>
    <w:p w:rsidR="00FF384B" w:rsidRDefault="003E3BA9">
      <w:pPr>
        <w:numPr>
          <w:ilvl w:val="1"/>
          <w:numId w:val="128"/>
        </w:numPr>
        <w:spacing w:after="89" w:line="248" w:lineRule="auto"/>
        <w:ind w:right="244" w:hanging="259"/>
        <w:jc w:val="both"/>
      </w:pPr>
      <w:r>
        <w:rPr>
          <w:rFonts w:ascii="Arial" w:eastAsia="Arial" w:hAnsi="Arial" w:cs="Arial"/>
          <w:color w:val="202020"/>
        </w:rPr>
        <w:t>El pla</w:t>
      </w:r>
      <w:r>
        <w:rPr>
          <w:rFonts w:ascii="Arial" w:eastAsia="Arial" w:hAnsi="Arial" w:cs="Arial"/>
          <w:color w:val="202020"/>
        </w:rPr>
        <w:t xml:space="preserve">zo en que, para cada uno de ellos, podrán presentarse las solicitudes. </w:t>
      </w:r>
    </w:p>
    <w:p w:rsidR="00FF384B" w:rsidRDefault="003E3BA9">
      <w:pPr>
        <w:numPr>
          <w:ilvl w:val="0"/>
          <w:numId w:val="128"/>
        </w:numPr>
        <w:spacing w:after="142" w:line="248" w:lineRule="auto"/>
        <w:ind w:right="244" w:hanging="10"/>
        <w:jc w:val="both"/>
      </w:pPr>
      <w:r>
        <w:rPr>
          <w:rFonts w:ascii="Arial" w:eastAsia="Arial" w:hAnsi="Arial" w:cs="Arial"/>
          <w:color w:val="202020"/>
        </w:rPr>
        <w:t xml:space="preserve">En cada uno de los procedimientos deberán compararse las solicitudes presentadas en el correspondiente periodo de tiempo y acordar el otorgamiento sin superar la cuantía que para cada </w:t>
      </w:r>
      <w:r>
        <w:rPr>
          <w:rFonts w:ascii="Arial" w:eastAsia="Arial" w:hAnsi="Arial" w:cs="Arial"/>
          <w:color w:val="202020"/>
        </w:rPr>
        <w:t xml:space="preserve">procedimiento se haya establecido en la convocatoria abierta. </w:t>
      </w:r>
    </w:p>
    <w:p w:rsidR="00FF384B" w:rsidRDefault="003E3BA9">
      <w:pPr>
        <w:spacing w:after="142" w:line="248" w:lineRule="auto"/>
        <w:ind w:left="278" w:right="244" w:hanging="10"/>
        <w:jc w:val="both"/>
      </w:pPr>
      <w:r>
        <w:rPr>
          <w:rFonts w:ascii="Arial" w:eastAsia="Arial" w:hAnsi="Arial" w:cs="Arial"/>
          <w:color w:val="202020"/>
        </w:rPr>
        <w:t>En los supuestos del artículo 25.1 a) de esta Ordenanza, las solicitudes que cumpliendo los requisitos exigidos no hayan podido atenderse por falta de disponibilidad presupuestaria para ese pro</w:t>
      </w:r>
      <w:r>
        <w:rPr>
          <w:rFonts w:ascii="Arial" w:eastAsia="Arial" w:hAnsi="Arial" w:cs="Arial"/>
          <w:color w:val="202020"/>
        </w:rPr>
        <w:t>cedimiento, podrán ser atendidas con cargo a los créditos del procedimiento siguiente, otorgándoseles prioridad sobre las peticiones que se presenten dentro de dicho procedimiento, siempre que continúen cumpliendo los requisitos exigibles para su obtención</w:t>
      </w:r>
      <w:r>
        <w:rPr>
          <w:rFonts w:ascii="Arial" w:eastAsia="Arial" w:hAnsi="Arial" w:cs="Arial"/>
          <w:color w:val="202020"/>
        </w:rPr>
        <w:t xml:space="preserve">. La convocatoria establecerá, si fuese necesario, la forma de acreditar el mantenimiento de los requisitos exigibles. </w:t>
      </w:r>
    </w:p>
    <w:p w:rsidR="00FF384B" w:rsidRDefault="003E3BA9">
      <w:pPr>
        <w:numPr>
          <w:ilvl w:val="0"/>
          <w:numId w:val="128"/>
        </w:numPr>
        <w:spacing w:after="142" w:line="248" w:lineRule="auto"/>
        <w:ind w:right="244" w:hanging="10"/>
        <w:jc w:val="both"/>
      </w:pPr>
      <w:r>
        <w:rPr>
          <w:rFonts w:ascii="Arial" w:eastAsia="Arial" w:hAnsi="Arial" w:cs="Arial"/>
          <w:color w:val="202020"/>
        </w:rPr>
        <w:t>Cuando a la finalización de un procedimiento se hayan concedido las subvenciones correspondientes y no se haya agotado el importe máximo</w:t>
      </w:r>
      <w:r>
        <w:rPr>
          <w:rFonts w:ascii="Arial" w:eastAsia="Arial" w:hAnsi="Arial" w:cs="Arial"/>
          <w:color w:val="202020"/>
        </w:rPr>
        <w:t xml:space="preserve"> a otorgar, se podrá trasladar la cantidad no aplicada a los posteriores procedimientos. </w:t>
      </w:r>
    </w:p>
    <w:p w:rsidR="00FF384B" w:rsidRDefault="003E3BA9">
      <w:pPr>
        <w:spacing w:after="142" w:line="248" w:lineRule="auto"/>
        <w:ind w:left="278" w:right="244" w:hanging="10"/>
        <w:jc w:val="both"/>
      </w:pPr>
      <w:r>
        <w:rPr>
          <w:rFonts w:ascii="Arial" w:eastAsia="Arial" w:hAnsi="Arial" w:cs="Arial"/>
          <w:color w:val="202020"/>
        </w:rPr>
        <w:t xml:space="preserve">Para poder hacer uso de esta posibilidad deberán cumplirse los siguientes requisitos: </w:t>
      </w:r>
    </w:p>
    <w:p w:rsidR="00FF384B" w:rsidRDefault="003E3BA9">
      <w:pPr>
        <w:numPr>
          <w:ilvl w:val="1"/>
          <w:numId w:val="128"/>
        </w:numPr>
        <w:spacing w:after="92" w:line="248" w:lineRule="auto"/>
        <w:ind w:right="244" w:hanging="259"/>
        <w:jc w:val="both"/>
      </w:pPr>
      <w:r>
        <w:rPr>
          <w:rFonts w:ascii="Arial" w:eastAsia="Arial" w:hAnsi="Arial" w:cs="Arial"/>
          <w:color w:val="202020"/>
        </w:rPr>
        <w:t>Deberá estar expresamente previsto en la convocatoria, donde se recogerán ademá</w:t>
      </w:r>
      <w:r>
        <w:rPr>
          <w:rFonts w:ascii="Arial" w:eastAsia="Arial" w:hAnsi="Arial" w:cs="Arial"/>
          <w:color w:val="202020"/>
        </w:rPr>
        <w:t xml:space="preserve">s los criterios para la asignación de los fondos no empleados entre los periodos restantes. </w:t>
      </w:r>
    </w:p>
    <w:p w:rsidR="00FF384B" w:rsidRDefault="003E3BA9">
      <w:pPr>
        <w:numPr>
          <w:ilvl w:val="1"/>
          <w:numId w:val="128"/>
        </w:numPr>
        <w:spacing w:after="88" w:line="248" w:lineRule="auto"/>
        <w:ind w:right="244" w:hanging="259"/>
        <w:jc w:val="both"/>
      </w:pPr>
      <w:r>
        <w:rPr>
          <w:noProof/>
        </w:rPr>
        <mc:AlternateContent>
          <mc:Choice Requires="wpg">
            <w:drawing>
              <wp:anchor distT="0" distB="0" distL="114300" distR="114300" simplePos="0" relativeHeight="2517811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9020" name="Group 45902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862" name="Picture 24862"/>
                          <pic:cNvPicPr/>
                        </pic:nvPicPr>
                        <pic:blipFill>
                          <a:blip r:embed="rId62"/>
                          <a:stretch>
                            <a:fillRect/>
                          </a:stretch>
                        </pic:blipFill>
                        <pic:spPr>
                          <a:xfrm rot="-5399999">
                            <a:off x="-1720849" y="1720849"/>
                            <a:ext cx="3797300" cy="355601"/>
                          </a:xfrm>
                          <a:prstGeom prst="rect">
                            <a:avLst/>
                          </a:prstGeom>
                        </pic:spPr>
                      </pic:pic>
                      <wps:wsp>
                        <wps:cNvPr id="24863" name="Rectangle 2486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864" name="Rectangle 24864"/>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119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9020" style="width:41.2715pt;height:299pt;position:absolute;mso-position-horizontal-relative:page;mso-position-horizontal:absolute;margin-left:653.71pt;mso-position-vertical-relative:page;margin-top:512.92pt;" coordsize="5241,37973">
                <v:shape id="Picture 24862" style="position:absolute;width:37973;height:3556;left:-17208;top:17208;rotation:-89;" filled="f">
                  <v:imagedata r:id="rId63"/>
                </v:shape>
                <v:rect id="Rectangle 2486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864"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353 </w:t>
                        </w:r>
                      </w:p>
                    </w:txbxContent>
                  </v:textbox>
                </v:rect>
                <w10:wrap type="square"/>
              </v:group>
            </w:pict>
          </mc:Fallback>
        </mc:AlternateContent>
      </w:r>
      <w:r>
        <w:rPr>
          <w:rFonts w:ascii="Arial" w:eastAsia="Arial" w:hAnsi="Arial" w:cs="Arial"/>
          <w:color w:val="202020"/>
        </w:rPr>
        <w:t>Una vez recaída la resolución del procedimiento, el órgano concedente deberá acordar expresamente las cuantías a trasladar y el periodo en el que se aplicarán. c</w:t>
      </w:r>
      <w:r>
        <w:rPr>
          <w:rFonts w:ascii="Arial" w:eastAsia="Arial" w:hAnsi="Arial" w:cs="Arial"/>
          <w:color w:val="202020"/>
        </w:rPr>
        <w:t xml:space="preserve">) El empleo de esta posibilidad no podrá suponer en ningún caso menoscabo de los derechos de los solicitantes del periodo de origen. </w:t>
      </w:r>
    </w:p>
    <w:p w:rsidR="00FF384B" w:rsidRDefault="003E3BA9">
      <w:pPr>
        <w:spacing w:after="129"/>
        <w:ind w:left="1003"/>
      </w:pPr>
      <w:r>
        <w:rPr>
          <w:rFonts w:ascii="Arial" w:eastAsia="Arial" w:hAnsi="Arial" w:cs="Arial"/>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CAPÍTULO III. De régimen y procedimiento simplificado de concesión de subvenciones en concurrencia competitiva.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Artíc</w:t>
      </w:r>
      <w:r>
        <w:rPr>
          <w:rFonts w:ascii="Arial" w:eastAsia="Arial" w:hAnsi="Arial" w:cs="Arial"/>
          <w:i/>
          <w:color w:val="202020"/>
        </w:rPr>
        <w:t xml:space="preserve">ulo 24. Procedimiento simplificado en concurrencia competitiva. </w:t>
      </w:r>
    </w:p>
    <w:p w:rsidR="00FF384B" w:rsidRDefault="003E3BA9">
      <w:pPr>
        <w:numPr>
          <w:ilvl w:val="0"/>
          <w:numId w:val="129"/>
        </w:numPr>
        <w:spacing w:after="142" w:line="248" w:lineRule="auto"/>
        <w:ind w:right="244" w:hanging="245"/>
        <w:jc w:val="both"/>
      </w:pPr>
      <w:r>
        <w:rPr>
          <w:rFonts w:ascii="Arial" w:eastAsia="Arial" w:hAnsi="Arial" w:cs="Arial"/>
          <w:color w:val="202020"/>
        </w:rPr>
        <w:t>No obstante lo dispuesto en los artículos anteriores, en las convocatorias podrá aplicarse el procedimiento simplificado de concurrencia competitiva, regulado en esta ordenanza, en caso de un</w:t>
      </w:r>
      <w:r>
        <w:rPr>
          <w:rFonts w:ascii="Arial" w:eastAsia="Arial" w:hAnsi="Arial" w:cs="Arial"/>
          <w:color w:val="202020"/>
        </w:rPr>
        <w:t xml:space="preserve">o los siguientes supuestos: </w:t>
      </w:r>
    </w:p>
    <w:p w:rsidR="00FF384B" w:rsidRDefault="003E3BA9">
      <w:pPr>
        <w:numPr>
          <w:ilvl w:val="1"/>
          <w:numId w:val="129"/>
        </w:numPr>
        <w:spacing w:after="92" w:line="248" w:lineRule="auto"/>
        <w:ind w:right="244" w:hanging="10"/>
        <w:jc w:val="both"/>
      </w:pPr>
      <w:r>
        <w:rPr>
          <w:rFonts w:ascii="Arial" w:eastAsia="Arial" w:hAnsi="Arial" w:cs="Arial"/>
          <w:color w:val="202020"/>
        </w:rPr>
        <w:t>Cuando el objeto y finalidad de la ayuda justifiquen que la prelación de las solicitudes, válidamente presentadas y que cumplan los requisitos que se establezcan, se fije únicamente en función de su fecha de presentación, dentr</w:t>
      </w:r>
      <w:r>
        <w:rPr>
          <w:rFonts w:ascii="Arial" w:eastAsia="Arial" w:hAnsi="Arial" w:cs="Arial"/>
          <w:color w:val="202020"/>
        </w:rPr>
        <w:t xml:space="preserve">o de un plazo limitado, con el fin de adjudicar las subvenciones dentro del crédito disponible. Dicha justificación deberá quedar debidamente motivada en el procedimiento de aprobación de la convocatoria. </w:t>
      </w:r>
    </w:p>
    <w:p w:rsidR="00FF384B" w:rsidRDefault="003E3BA9">
      <w:pPr>
        <w:numPr>
          <w:ilvl w:val="1"/>
          <w:numId w:val="129"/>
        </w:numPr>
        <w:spacing w:after="90" w:line="248" w:lineRule="auto"/>
        <w:ind w:right="244" w:hanging="10"/>
        <w:jc w:val="both"/>
      </w:pPr>
      <w:r>
        <w:rPr>
          <w:rFonts w:ascii="Arial" w:eastAsia="Arial" w:hAnsi="Arial" w:cs="Arial"/>
          <w:color w:val="202020"/>
        </w:rPr>
        <w:t>Cuando las convocatorias prevean que la subvención</w:t>
      </w:r>
      <w:r>
        <w:rPr>
          <w:rFonts w:ascii="Arial" w:eastAsia="Arial" w:hAnsi="Arial" w:cs="Arial"/>
          <w:color w:val="202020"/>
        </w:rPr>
        <w:t xml:space="preserve"> se concederá a todos los que reúnan los requisitos para su otorgamiento y solo se aplicarán criterios de evaluación para cuantificar, dentro del crédito consignado en la convocatoria, el importe de dicha subvención. </w:t>
      </w:r>
    </w:p>
    <w:p w:rsidR="00FF384B" w:rsidRDefault="003E3BA9">
      <w:pPr>
        <w:numPr>
          <w:ilvl w:val="1"/>
          <w:numId w:val="129"/>
        </w:numPr>
        <w:spacing w:after="99" w:line="239" w:lineRule="auto"/>
        <w:ind w:right="244" w:hanging="10"/>
        <w:jc w:val="both"/>
      </w:pPr>
      <w:r>
        <w:rPr>
          <w:rFonts w:ascii="Arial" w:eastAsia="Arial" w:hAnsi="Arial" w:cs="Arial"/>
          <w:color w:val="202020"/>
        </w:rPr>
        <w:t xml:space="preserve">Cuando el crédito consignado en la convocatoria fuera suficiente para atender a todas las solicitudes que reúnan los requisitos establecidos, una vez finalizado el plazo de presentación, no siendo necesario establecer una prelación entre las mismas. </w:t>
      </w:r>
    </w:p>
    <w:p w:rsidR="00FF384B" w:rsidRDefault="003E3BA9">
      <w:pPr>
        <w:numPr>
          <w:ilvl w:val="0"/>
          <w:numId w:val="129"/>
        </w:numPr>
        <w:spacing w:after="142" w:line="248" w:lineRule="auto"/>
        <w:ind w:right="244" w:hanging="245"/>
        <w:jc w:val="both"/>
      </w:pPr>
      <w:r>
        <w:rPr>
          <w:rFonts w:ascii="Arial" w:eastAsia="Arial" w:hAnsi="Arial" w:cs="Arial"/>
          <w:color w:val="202020"/>
        </w:rPr>
        <w:t>En lo</w:t>
      </w:r>
      <w:r>
        <w:rPr>
          <w:rFonts w:ascii="Arial" w:eastAsia="Arial" w:hAnsi="Arial" w:cs="Arial"/>
          <w:color w:val="202020"/>
        </w:rPr>
        <w:t xml:space="preserve">s supuestos a) y b) las solicitudes de ayuda se podrán resolver individualmente. </w:t>
      </w:r>
    </w:p>
    <w:p w:rsidR="00FF384B" w:rsidRDefault="003E3BA9">
      <w:pPr>
        <w:numPr>
          <w:ilvl w:val="0"/>
          <w:numId w:val="129"/>
        </w:numPr>
        <w:spacing w:after="142" w:line="248" w:lineRule="auto"/>
        <w:ind w:right="244" w:hanging="245"/>
        <w:jc w:val="both"/>
      </w:pPr>
      <w:r>
        <w:rPr>
          <w:rFonts w:ascii="Arial" w:eastAsia="Arial" w:hAnsi="Arial" w:cs="Arial"/>
          <w:color w:val="202020"/>
        </w:rPr>
        <w:t xml:space="preserve">En todos los supuestos del procedimiento simplificado de concurrencia competitiva, la convocatoria también podrá realizarse como convocatoria abierta.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Artículo 25. Aspecto</w:t>
      </w:r>
      <w:r>
        <w:rPr>
          <w:rFonts w:ascii="Arial" w:eastAsia="Arial" w:hAnsi="Arial" w:cs="Arial"/>
          <w:i/>
          <w:color w:val="202020"/>
        </w:rPr>
        <w:t xml:space="preserve">s específicos del procedimiento simplificado. </w:t>
      </w:r>
    </w:p>
    <w:p w:rsidR="00FF384B" w:rsidRDefault="003E3BA9">
      <w:pPr>
        <w:spacing w:after="142" w:line="248" w:lineRule="auto"/>
        <w:ind w:left="278" w:right="244" w:hanging="10"/>
        <w:jc w:val="both"/>
      </w:pPr>
      <w:r>
        <w:rPr>
          <w:rFonts w:ascii="Arial" w:eastAsia="Arial" w:hAnsi="Arial" w:cs="Arial"/>
          <w:color w:val="202020"/>
        </w:rPr>
        <w:t xml:space="preserve">Son aspectos específicos a incluir en el citado procedimiento: </w:t>
      </w:r>
    </w:p>
    <w:p w:rsidR="00FF384B" w:rsidRDefault="003E3BA9">
      <w:pPr>
        <w:numPr>
          <w:ilvl w:val="1"/>
          <w:numId w:val="129"/>
        </w:numPr>
        <w:spacing w:after="92" w:line="248" w:lineRule="auto"/>
        <w:ind w:right="244" w:hanging="10"/>
        <w:jc w:val="both"/>
      </w:pPr>
      <w:r>
        <w:rPr>
          <w:rFonts w:ascii="Arial" w:eastAsia="Arial" w:hAnsi="Arial" w:cs="Arial"/>
          <w:color w:val="202020"/>
        </w:rPr>
        <w:t>La convocatoria, recogerá, que la concesión se efectúa por el procedimiento simplificado. Asimismo, se deberá indicar si se trata de una convocat</w:t>
      </w:r>
      <w:r>
        <w:rPr>
          <w:rFonts w:ascii="Arial" w:eastAsia="Arial" w:hAnsi="Arial" w:cs="Arial"/>
          <w:color w:val="202020"/>
        </w:rPr>
        <w:t xml:space="preserve">oria abierta. </w:t>
      </w:r>
    </w:p>
    <w:p w:rsidR="00FF384B" w:rsidRDefault="003E3BA9">
      <w:pPr>
        <w:numPr>
          <w:ilvl w:val="1"/>
          <w:numId w:val="129"/>
        </w:numPr>
        <w:spacing w:after="92" w:line="248" w:lineRule="auto"/>
        <w:ind w:right="244" w:hanging="10"/>
        <w:jc w:val="both"/>
      </w:pPr>
      <w:r>
        <w:rPr>
          <w:rFonts w:ascii="Arial" w:eastAsia="Arial" w:hAnsi="Arial" w:cs="Arial"/>
          <w:color w:val="202020"/>
        </w:rPr>
        <w:t xml:space="preserve">Posibilidad de realizar pagos anticipados, y porcentajes del mismo, que podrá alcanzar el 100% de la subvención concedida </w:t>
      </w:r>
    </w:p>
    <w:p w:rsidR="00FF384B" w:rsidRDefault="003E3BA9">
      <w:pPr>
        <w:numPr>
          <w:ilvl w:val="1"/>
          <w:numId w:val="129"/>
        </w:numPr>
        <w:spacing w:after="92" w:line="248" w:lineRule="auto"/>
        <w:ind w:right="244" w:hanging="10"/>
        <w:jc w:val="both"/>
      </w:pPr>
      <w:r>
        <w:rPr>
          <w:rFonts w:ascii="Arial" w:eastAsia="Arial" w:hAnsi="Arial" w:cs="Arial"/>
          <w:color w:val="202020"/>
        </w:rPr>
        <w:t>Aceptación por los solicitantes, de la reformulación automática de la subvención, en función de la subvención concedid</w:t>
      </w:r>
      <w:r>
        <w:rPr>
          <w:rFonts w:ascii="Arial" w:eastAsia="Arial" w:hAnsi="Arial" w:cs="Arial"/>
          <w:color w:val="202020"/>
        </w:rPr>
        <w:t xml:space="preserve">a. </w:t>
      </w:r>
    </w:p>
    <w:p w:rsidR="00FF384B" w:rsidRDefault="003E3BA9">
      <w:pPr>
        <w:numPr>
          <w:ilvl w:val="1"/>
          <w:numId w:val="129"/>
        </w:numPr>
        <w:spacing w:after="92" w:line="248" w:lineRule="auto"/>
        <w:ind w:right="244" w:hanging="10"/>
        <w:jc w:val="both"/>
      </w:pPr>
      <w:r>
        <w:rPr>
          <w:noProof/>
        </w:rPr>
        <mc:AlternateContent>
          <mc:Choice Requires="wpg">
            <w:drawing>
              <wp:anchor distT="0" distB="0" distL="114300" distR="114300" simplePos="0" relativeHeight="2517821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59331" name="Group 45933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4991" name="Picture 24991"/>
                          <pic:cNvPicPr/>
                        </pic:nvPicPr>
                        <pic:blipFill>
                          <a:blip r:embed="rId62"/>
                          <a:stretch>
                            <a:fillRect/>
                          </a:stretch>
                        </pic:blipFill>
                        <pic:spPr>
                          <a:xfrm rot="-5399999">
                            <a:off x="-1720849" y="1720849"/>
                            <a:ext cx="3797300" cy="355601"/>
                          </a:xfrm>
                          <a:prstGeom prst="rect">
                            <a:avLst/>
                          </a:prstGeom>
                        </pic:spPr>
                      </pic:pic>
                      <wps:wsp>
                        <wps:cNvPr id="24992" name="Rectangle 249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4993" name="Rectangle 2499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59331" style="width:41.2715pt;height:299pt;position:absolute;mso-position-horizontal-relative:page;mso-position-horizontal:absolute;margin-left:653.71pt;mso-position-vertical-relative:page;margin-top:512.92pt;" coordsize="5241,37973">
                <v:shape id="Picture 24991" style="position:absolute;width:37973;height:3556;left:-17208;top:17208;rotation:-89;" filled="f">
                  <v:imagedata r:id="rId63"/>
                </v:shape>
                <v:rect id="Rectangle 249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49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353 </w:t>
                        </w:r>
                      </w:p>
                    </w:txbxContent>
                  </v:textbox>
                </v:rect>
                <w10:wrap type="square"/>
              </v:group>
            </w:pict>
          </mc:Fallback>
        </mc:AlternateContent>
      </w:r>
      <w:r>
        <w:rPr>
          <w:rFonts w:ascii="Arial" w:eastAsia="Arial" w:hAnsi="Arial" w:cs="Arial"/>
          <w:color w:val="202020"/>
        </w:rPr>
        <w:t>La notificación, si así se recoge en las convocatorias</w:t>
      </w:r>
      <w:r>
        <w:rPr>
          <w:rFonts w:ascii="Arial" w:eastAsia="Arial" w:hAnsi="Arial" w:cs="Arial"/>
          <w:color w:val="202020"/>
        </w:rPr>
        <w:t xml:space="preserve">, podrá efectuarse por publicación en la sede electrónica o en el tablón municipal. </w:t>
      </w:r>
    </w:p>
    <w:p w:rsidR="00FF384B" w:rsidRDefault="003E3BA9">
      <w:pPr>
        <w:numPr>
          <w:ilvl w:val="1"/>
          <w:numId w:val="129"/>
        </w:numPr>
        <w:spacing w:after="92" w:line="248" w:lineRule="auto"/>
        <w:ind w:right="244" w:hanging="10"/>
        <w:jc w:val="both"/>
      </w:pPr>
      <w:r>
        <w:rPr>
          <w:rFonts w:ascii="Arial" w:eastAsia="Arial" w:hAnsi="Arial" w:cs="Arial"/>
          <w:color w:val="202020"/>
        </w:rPr>
        <w:t xml:space="preserve">La forma de acreditar el Trámite de audiencia, que se entenderá cumplido, si en la propuesta de resolución se recoge junto con el importe de la subvención el importe a justificar. </w:t>
      </w:r>
    </w:p>
    <w:p w:rsidR="00FF384B" w:rsidRDefault="003E3BA9">
      <w:pPr>
        <w:numPr>
          <w:ilvl w:val="1"/>
          <w:numId w:val="129"/>
        </w:numPr>
        <w:spacing w:after="92" w:line="248" w:lineRule="auto"/>
        <w:ind w:right="244" w:hanging="10"/>
        <w:jc w:val="both"/>
      </w:pPr>
      <w:r>
        <w:rPr>
          <w:rFonts w:ascii="Arial" w:eastAsia="Arial" w:hAnsi="Arial" w:cs="Arial"/>
          <w:color w:val="202020"/>
        </w:rPr>
        <w:t>La resolución provisional, que tendrá carácter definitivo, en el caso de no</w:t>
      </w:r>
      <w:r>
        <w:rPr>
          <w:rFonts w:ascii="Arial" w:eastAsia="Arial" w:hAnsi="Arial" w:cs="Arial"/>
          <w:color w:val="202020"/>
        </w:rPr>
        <w:t xml:space="preserve"> presentar reclamaciones en el plazo de 10 días. </w:t>
      </w:r>
    </w:p>
    <w:p w:rsidR="00FF384B" w:rsidRDefault="003E3BA9">
      <w:pPr>
        <w:numPr>
          <w:ilvl w:val="1"/>
          <w:numId w:val="129"/>
        </w:numPr>
        <w:spacing w:after="92" w:line="248" w:lineRule="auto"/>
        <w:ind w:right="244" w:hanging="10"/>
        <w:jc w:val="both"/>
      </w:pPr>
      <w:r>
        <w:rPr>
          <w:rFonts w:ascii="Arial" w:eastAsia="Arial" w:hAnsi="Arial" w:cs="Arial"/>
          <w:color w:val="202020"/>
        </w:rPr>
        <w:t xml:space="preserve">En la resolución de adjudicación se indicará, junto con la subvención concedida, el porcentaje que ésta supone sobre el importe de la actividad, que tendrá carácter de reformulación. </w:t>
      </w:r>
    </w:p>
    <w:p w:rsidR="00FF384B" w:rsidRDefault="003E3BA9">
      <w:pPr>
        <w:numPr>
          <w:ilvl w:val="1"/>
          <w:numId w:val="129"/>
        </w:numPr>
        <w:spacing w:after="85" w:line="248" w:lineRule="auto"/>
        <w:ind w:right="244" w:hanging="10"/>
        <w:jc w:val="both"/>
      </w:pPr>
      <w:r>
        <w:rPr>
          <w:rFonts w:ascii="Arial" w:eastAsia="Arial" w:hAnsi="Arial" w:cs="Arial"/>
          <w:color w:val="202020"/>
        </w:rPr>
        <w:t>Aceptación de la subve</w:t>
      </w:r>
      <w:r>
        <w:rPr>
          <w:rFonts w:ascii="Arial" w:eastAsia="Arial" w:hAnsi="Arial" w:cs="Arial"/>
          <w:color w:val="202020"/>
        </w:rPr>
        <w:t xml:space="preserve">nción, que se producirá con carácter automático si el interesado no manifiesta oposición en su contra en el plazo de 10 días. i) La justificación se realizará mediante cuenta justificativa simplificada. </w:t>
      </w:r>
    </w:p>
    <w:p w:rsidR="00FF384B" w:rsidRDefault="003E3BA9">
      <w:pPr>
        <w:spacing w:after="76"/>
        <w:ind w:left="283"/>
      </w:pPr>
      <w:r>
        <w:rPr>
          <w:rFonts w:ascii="Arial" w:eastAsia="Arial" w:hAnsi="Arial" w:cs="Arial"/>
          <w:color w:val="202020"/>
        </w:rPr>
        <w:t xml:space="preserve"> </w:t>
      </w:r>
    </w:p>
    <w:p w:rsidR="00FF384B" w:rsidRDefault="003E3BA9">
      <w:pPr>
        <w:spacing w:after="15" w:line="247" w:lineRule="auto"/>
        <w:ind w:left="286" w:hanging="3"/>
        <w:jc w:val="both"/>
      </w:pPr>
      <w:r>
        <w:rPr>
          <w:rFonts w:ascii="Arial" w:eastAsia="Arial" w:hAnsi="Arial" w:cs="Arial"/>
          <w:b/>
        </w:rPr>
        <w:t>CAPÍTULO IV. Del régimen y procedimiento de conces</w:t>
      </w:r>
      <w:r>
        <w:rPr>
          <w:rFonts w:ascii="Arial" w:eastAsia="Arial" w:hAnsi="Arial" w:cs="Arial"/>
          <w:b/>
        </w:rPr>
        <w:t xml:space="preserve">ión directa de las subvenciones.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Artículo 26. Subvenciones previstas nominativamente en el presupuesto general municipal. </w:t>
      </w:r>
    </w:p>
    <w:p w:rsidR="00FF384B" w:rsidRDefault="003E3BA9">
      <w:pPr>
        <w:spacing w:after="0"/>
        <w:ind w:left="283"/>
      </w:pPr>
      <w:r>
        <w:rPr>
          <w:rFonts w:ascii="Arial" w:eastAsia="Arial" w:hAnsi="Arial" w:cs="Arial"/>
          <w:b/>
        </w:rPr>
        <w:t xml:space="preserve"> </w:t>
      </w:r>
    </w:p>
    <w:p w:rsidR="00FF384B" w:rsidRDefault="003E3BA9">
      <w:pPr>
        <w:numPr>
          <w:ilvl w:val="0"/>
          <w:numId w:val="130"/>
        </w:numPr>
        <w:spacing w:after="5" w:line="247" w:lineRule="auto"/>
        <w:ind w:right="244" w:hanging="10"/>
        <w:jc w:val="both"/>
      </w:pPr>
      <w:r>
        <w:rPr>
          <w:rFonts w:ascii="Arial" w:eastAsia="Arial" w:hAnsi="Arial" w:cs="Arial"/>
        </w:rPr>
        <w:t>La concesión de las subvenciones previstas nominativamente en el presupuesto general municipal, se regirán por las bases de ejecución del presupuesto, por el presente capítulo, por las disposiciones de esta Ordenanza y en la normativa de subvenciones vigen</w:t>
      </w:r>
      <w:r>
        <w:rPr>
          <w:rFonts w:ascii="Arial" w:eastAsia="Arial" w:hAnsi="Arial" w:cs="Arial"/>
        </w:rPr>
        <w:t>tes que les son aplicables en cuanto a requisitos de los beneficiarios, obligaciones de los mismos, pagos, gastos subvencionables, justificación de la subvención, incumplimiento y formas de reintegro, control financiero, sanciones, etc., y por la resolució</w:t>
      </w:r>
      <w:r>
        <w:rPr>
          <w:rFonts w:ascii="Arial" w:eastAsia="Arial" w:hAnsi="Arial" w:cs="Arial"/>
        </w:rPr>
        <w:t xml:space="preserve">n o el convenio a </w:t>
      </w:r>
    </w:p>
    <w:p w:rsidR="00FF384B" w:rsidRDefault="003E3BA9">
      <w:pPr>
        <w:spacing w:after="5" w:line="247" w:lineRule="auto"/>
        <w:ind w:left="278" w:right="244" w:hanging="10"/>
        <w:jc w:val="both"/>
      </w:pPr>
      <w:r>
        <w:rPr>
          <w:rFonts w:ascii="Arial" w:eastAsia="Arial" w:hAnsi="Arial" w:cs="Arial"/>
        </w:rPr>
        <w:t xml:space="preserve">través del cual se canalizan, salvo excepciones justificadas, que establecerán las condiciones y los compromisos específicos. </w:t>
      </w:r>
    </w:p>
    <w:p w:rsidR="00FF384B" w:rsidRDefault="003E3BA9">
      <w:pPr>
        <w:spacing w:after="0"/>
        <w:ind w:left="283"/>
      </w:pPr>
      <w:r>
        <w:rPr>
          <w:rFonts w:ascii="Arial" w:eastAsia="Arial" w:hAnsi="Arial" w:cs="Arial"/>
        </w:rPr>
        <w:t xml:space="preserve"> </w:t>
      </w:r>
    </w:p>
    <w:p w:rsidR="00FF384B" w:rsidRDefault="003E3BA9">
      <w:pPr>
        <w:numPr>
          <w:ilvl w:val="0"/>
          <w:numId w:val="130"/>
        </w:numPr>
        <w:spacing w:after="351" w:line="247" w:lineRule="auto"/>
        <w:ind w:right="244" w:hanging="10"/>
        <w:jc w:val="both"/>
      </w:pPr>
      <w:r>
        <w:rPr>
          <w:rFonts w:ascii="Arial" w:eastAsia="Arial" w:hAnsi="Arial" w:cs="Arial"/>
        </w:rPr>
        <w:t xml:space="preserve">La resolución, o en su caso el convenio, deberá contener necesariamente los elementos siguientes: </w:t>
      </w:r>
    </w:p>
    <w:p w:rsidR="00FF384B" w:rsidRDefault="003E3BA9">
      <w:pPr>
        <w:numPr>
          <w:ilvl w:val="1"/>
          <w:numId w:val="130"/>
        </w:numPr>
        <w:spacing w:after="169" w:line="247" w:lineRule="auto"/>
        <w:ind w:right="244" w:hanging="273"/>
        <w:jc w:val="both"/>
      </w:pPr>
      <w:r>
        <w:rPr>
          <w:rFonts w:ascii="Arial" w:eastAsia="Arial" w:hAnsi="Arial" w:cs="Arial"/>
        </w:rPr>
        <w:t xml:space="preserve">Determinación del objeto de la subvención. </w:t>
      </w:r>
    </w:p>
    <w:p w:rsidR="00FF384B" w:rsidRDefault="003E3BA9">
      <w:pPr>
        <w:numPr>
          <w:ilvl w:val="1"/>
          <w:numId w:val="130"/>
        </w:numPr>
        <w:spacing w:after="171" w:line="247" w:lineRule="auto"/>
        <w:ind w:right="244" w:hanging="273"/>
        <w:jc w:val="both"/>
      </w:pPr>
      <w:r>
        <w:rPr>
          <w:rFonts w:ascii="Arial" w:eastAsia="Arial" w:hAnsi="Arial" w:cs="Arial"/>
        </w:rPr>
        <w:t xml:space="preserve">Cuantía de la subvención. </w:t>
      </w:r>
    </w:p>
    <w:p w:rsidR="00FF384B" w:rsidRDefault="003E3BA9">
      <w:pPr>
        <w:numPr>
          <w:ilvl w:val="1"/>
          <w:numId w:val="130"/>
        </w:numPr>
        <w:spacing w:after="169" w:line="247" w:lineRule="auto"/>
        <w:ind w:right="244" w:hanging="273"/>
        <w:jc w:val="both"/>
      </w:pPr>
      <w:r>
        <w:rPr>
          <w:rFonts w:ascii="Arial" w:eastAsia="Arial" w:hAnsi="Arial" w:cs="Arial"/>
        </w:rPr>
        <w:t xml:space="preserve">Condiciones y compromisos. </w:t>
      </w:r>
    </w:p>
    <w:p w:rsidR="00FF384B" w:rsidRDefault="003E3BA9">
      <w:pPr>
        <w:numPr>
          <w:ilvl w:val="1"/>
          <w:numId w:val="130"/>
        </w:numPr>
        <w:spacing w:after="171" w:line="247" w:lineRule="auto"/>
        <w:ind w:right="244" w:hanging="273"/>
        <w:jc w:val="both"/>
      </w:pPr>
      <w:r>
        <w:rPr>
          <w:rFonts w:ascii="Arial" w:eastAsia="Arial" w:hAnsi="Arial" w:cs="Arial"/>
        </w:rPr>
        <w:t xml:space="preserve">Crédito presupuestario. </w:t>
      </w:r>
    </w:p>
    <w:p w:rsidR="00FF384B" w:rsidRDefault="003E3BA9">
      <w:pPr>
        <w:numPr>
          <w:ilvl w:val="1"/>
          <w:numId w:val="130"/>
        </w:numPr>
        <w:spacing w:after="169" w:line="247" w:lineRule="auto"/>
        <w:ind w:right="244" w:hanging="273"/>
        <w:jc w:val="both"/>
      </w:pPr>
      <w:r>
        <w:rPr>
          <w:rFonts w:ascii="Arial" w:eastAsia="Arial" w:hAnsi="Arial" w:cs="Arial"/>
        </w:rPr>
        <w:t xml:space="preserve">Compatibilidad o incompatibilidad con otras subvenciones, ayudas e ingresos. </w:t>
      </w:r>
    </w:p>
    <w:p w:rsidR="00FF384B" w:rsidRDefault="003E3BA9">
      <w:pPr>
        <w:numPr>
          <w:ilvl w:val="1"/>
          <w:numId w:val="130"/>
        </w:numPr>
        <w:spacing w:after="169" w:line="247" w:lineRule="auto"/>
        <w:ind w:right="244" w:hanging="273"/>
        <w:jc w:val="both"/>
      </w:pPr>
      <w:r>
        <w:rPr>
          <w:rFonts w:ascii="Arial" w:eastAsia="Arial" w:hAnsi="Arial" w:cs="Arial"/>
        </w:rPr>
        <w:t>Plazos y modos de pago de la subvención así como las m</w:t>
      </w:r>
      <w:r>
        <w:rPr>
          <w:rFonts w:ascii="Arial" w:eastAsia="Arial" w:hAnsi="Arial" w:cs="Arial"/>
        </w:rPr>
        <w:t xml:space="preserve">edidas de garantía. </w:t>
      </w:r>
    </w:p>
    <w:p w:rsidR="00FF384B" w:rsidRDefault="003E3BA9">
      <w:pPr>
        <w:numPr>
          <w:ilvl w:val="1"/>
          <w:numId w:val="130"/>
        </w:numPr>
        <w:spacing w:after="5" w:line="247" w:lineRule="auto"/>
        <w:ind w:right="244" w:hanging="273"/>
        <w:jc w:val="both"/>
      </w:pPr>
      <w:r>
        <w:rPr>
          <w:rFonts w:ascii="Arial" w:eastAsia="Arial" w:hAnsi="Arial" w:cs="Arial"/>
        </w:rPr>
        <w:t xml:space="preserve">Plazos y forma de justificación por parte del beneficiario del cumplimiento de la </w:t>
      </w:r>
    </w:p>
    <w:p w:rsidR="00FF384B" w:rsidRDefault="003E3BA9">
      <w:pPr>
        <w:spacing w:after="174" w:line="247" w:lineRule="auto"/>
        <w:ind w:left="278" w:right="244" w:hanging="10"/>
        <w:jc w:val="both"/>
      </w:pPr>
      <w:r>
        <w:rPr>
          <w:noProof/>
        </w:rPr>
        <mc:AlternateContent>
          <mc:Choice Requires="wpg">
            <w:drawing>
              <wp:anchor distT="0" distB="0" distL="114300" distR="114300" simplePos="0" relativeHeight="2517831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004" name="Group 46000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085" name="Picture 25085"/>
                          <pic:cNvPicPr/>
                        </pic:nvPicPr>
                        <pic:blipFill>
                          <a:blip r:embed="rId62"/>
                          <a:stretch>
                            <a:fillRect/>
                          </a:stretch>
                        </pic:blipFill>
                        <pic:spPr>
                          <a:xfrm rot="-5399999">
                            <a:off x="-1720849" y="1720849"/>
                            <a:ext cx="3797300" cy="355601"/>
                          </a:xfrm>
                          <a:prstGeom prst="rect">
                            <a:avLst/>
                          </a:prstGeom>
                        </pic:spPr>
                      </pic:pic>
                      <wps:wsp>
                        <wps:cNvPr id="25086" name="Rectangle 2508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5087" name="Rectangle 2508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w:t>
                              </w:r>
                              <w:r>
                                <w:rPr>
                                  <w:rFonts w:ascii="Arial" w:eastAsia="Arial" w:hAnsi="Arial" w:cs="Arial"/>
                                  <w:sz w:val="12"/>
                                </w:rPr>
                                <w:t xml:space="preserve">forma esPublico Gestiona | Página 121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0004" style="width:41.2715pt;height:299pt;position:absolute;mso-position-horizontal-relative:page;mso-position-horizontal:absolute;margin-left:653.71pt;mso-position-vertical-relative:page;margin-top:512.92pt;" coordsize="5241,37973">
                <v:shape id="Picture 25085" style="position:absolute;width:37973;height:3556;left:-17208;top:17208;rotation:-89;" filled="f">
                  <v:imagedata r:id="rId63"/>
                </v:shape>
                <v:rect id="Rectangle 2508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08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353 </w:t>
                        </w:r>
                      </w:p>
                    </w:txbxContent>
                  </v:textbox>
                </v:rect>
                <w10:wrap type="square"/>
              </v:group>
            </w:pict>
          </mc:Fallback>
        </mc:AlternateContent>
      </w:r>
      <w:r>
        <w:rPr>
          <w:rFonts w:ascii="Arial" w:eastAsia="Arial" w:hAnsi="Arial" w:cs="Arial"/>
        </w:rPr>
        <w:t xml:space="preserve">finalidad para la que se concedió la subvención y de la aplicación de los fondos percibidos.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numPr>
          <w:ilvl w:val="0"/>
          <w:numId w:val="130"/>
        </w:numPr>
        <w:spacing w:after="5" w:line="247" w:lineRule="auto"/>
        <w:ind w:right="244" w:hanging="10"/>
        <w:jc w:val="both"/>
      </w:pPr>
      <w:r>
        <w:rPr>
          <w:rFonts w:ascii="Arial" w:eastAsia="Arial" w:hAnsi="Arial" w:cs="Arial"/>
        </w:rPr>
        <w:t>El procedimiento para su concesión se inicia de oficio por el órgano gestor, o a instancia del interesado, siendo requisito imprescindible la existencia de consignación específica y crédito suficiente en el presupuesto general municipal a favor de la perso</w:t>
      </w:r>
      <w:r>
        <w:rPr>
          <w:rFonts w:ascii="Arial" w:eastAsia="Arial" w:hAnsi="Arial" w:cs="Arial"/>
        </w:rPr>
        <w:t xml:space="preserve">na pública o privada a la que va destinada la subvención, y terminará con la resolución de concesión, y en su caso, con la suscripción de un convenio. </w:t>
      </w:r>
    </w:p>
    <w:p w:rsidR="00FF384B" w:rsidRDefault="003E3BA9">
      <w:pPr>
        <w:spacing w:after="0"/>
        <w:ind w:left="283"/>
      </w:pPr>
      <w:r>
        <w:rPr>
          <w:rFonts w:ascii="Arial" w:eastAsia="Arial" w:hAnsi="Arial" w:cs="Arial"/>
        </w:rPr>
        <w:t xml:space="preserve"> </w:t>
      </w:r>
    </w:p>
    <w:p w:rsidR="00FF384B" w:rsidRDefault="003E3BA9">
      <w:pPr>
        <w:numPr>
          <w:ilvl w:val="0"/>
          <w:numId w:val="130"/>
        </w:numPr>
        <w:spacing w:after="5" w:line="247" w:lineRule="auto"/>
        <w:ind w:right="244" w:hanging="10"/>
        <w:jc w:val="both"/>
      </w:pPr>
      <w:r>
        <w:rPr>
          <w:rFonts w:ascii="Arial" w:eastAsia="Arial" w:hAnsi="Arial" w:cs="Arial"/>
        </w:rPr>
        <w:t xml:space="preserve">El acto de concesión o el convenio tendrán el carácter de bases reguladoras de la concesión.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Artícu</w:t>
      </w:r>
      <w:r>
        <w:rPr>
          <w:rFonts w:ascii="Arial" w:eastAsia="Arial" w:hAnsi="Arial" w:cs="Arial"/>
          <w:b/>
        </w:rPr>
        <w:t xml:space="preserve">lo 27. Subvenciones concedidas de forma directa y excepcional, en que se acrediten razones de interés público, social, económico o humanitario. </w:t>
      </w:r>
    </w:p>
    <w:p w:rsidR="00FF384B" w:rsidRDefault="003E3BA9">
      <w:pPr>
        <w:spacing w:after="0"/>
        <w:ind w:left="283"/>
      </w:pPr>
      <w:r>
        <w:rPr>
          <w:rFonts w:ascii="Arial" w:eastAsia="Arial" w:hAnsi="Arial" w:cs="Arial"/>
          <w:b/>
        </w:rPr>
        <w:t xml:space="preserve"> </w:t>
      </w:r>
    </w:p>
    <w:p w:rsidR="00FF384B" w:rsidRDefault="003E3BA9">
      <w:pPr>
        <w:numPr>
          <w:ilvl w:val="0"/>
          <w:numId w:val="131"/>
        </w:numPr>
        <w:spacing w:after="5" w:line="247" w:lineRule="auto"/>
        <w:ind w:right="244" w:hanging="10"/>
        <w:jc w:val="both"/>
      </w:pPr>
      <w:r>
        <w:rPr>
          <w:rFonts w:ascii="Arial" w:eastAsia="Arial" w:hAnsi="Arial" w:cs="Arial"/>
        </w:rPr>
        <w:t>Podrán concederse de forma directa, con carácter excepcional, aquellas subvenciones en que se acrediten razon</w:t>
      </w:r>
      <w:r>
        <w:rPr>
          <w:rFonts w:ascii="Arial" w:eastAsia="Arial" w:hAnsi="Arial" w:cs="Arial"/>
        </w:rPr>
        <w:t xml:space="preserve">es de interés público, social, económico o humanitario. </w:t>
      </w:r>
    </w:p>
    <w:p w:rsidR="00FF384B" w:rsidRDefault="003E3BA9">
      <w:pPr>
        <w:spacing w:after="0"/>
        <w:ind w:left="283"/>
      </w:pPr>
      <w:r>
        <w:rPr>
          <w:rFonts w:ascii="Arial" w:eastAsia="Arial" w:hAnsi="Arial" w:cs="Arial"/>
        </w:rPr>
        <w:t xml:space="preserve"> </w:t>
      </w:r>
    </w:p>
    <w:p w:rsidR="00FF384B" w:rsidRDefault="003E3BA9">
      <w:pPr>
        <w:numPr>
          <w:ilvl w:val="0"/>
          <w:numId w:val="131"/>
        </w:numPr>
        <w:spacing w:after="5" w:line="247" w:lineRule="auto"/>
        <w:ind w:right="244" w:hanging="10"/>
        <w:jc w:val="both"/>
      </w:pPr>
      <w:r>
        <w:rPr>
          <w:rFonts w:ascii="Arial" w:eastAsia="Arial" w:hAnsi="Arial" w:cs="Arial"/>
        </w:rPr>
        <w:t xml:space="preserve">Estas subvenciones se regirán por el presente capítulo, por las bases de ejecución del presupuesto general municipal, de acuerdo con la normativa de Subvenciones vigente. </w:t>
      </w:r>
    </w:p>
    <w:p w:rsidR="00FF384B" w:rsidRDefault="003E3BA9">
      <w:pPr>
        <w:spacing w:after="0"/>
        <w:ind w:left="283"/>
      </w:pPr>
      <w:r>
        <w:rPr>
          <w:rFonts w:ascii="Arial" w:eastAsia="Arial" w:hAnsi="Arial" w:cs="Arial"/>
        </w:rPr>
        <w:t xml:space="preserve"> </w:t>
      </w:r>
    </w:p>
    <w:p w:rsidR="00FF384B" w:rsidRDefault="003E3BA9">
      <w:pPr>
        <w:numPr>
          <w:ilvl w:val="0"/>
          <w:numId w:val="131"/>
        </w:numPr>
        <w:spacing w:after="5" w:line="247" w:lineRule="auto"/>
        <w:ind w:right="244" w:hanging="10"/>
        <w:jc w:val="both"/>
      </w:pPr>
      <w:r>
        <w:rPr>
          <w:rFonts w:ascii="Arial" w:eastAsia="Arial" w:hAnsi="Arial" w:cs="Arial"/>
        </w:rPr>
        <w:t>El procedimiento para l</w:t>
      </w:r>
      <w:r>
        <w:rPr>
          <w:rFonts w:ascii="Arial" w:eastAsia="Arial" w:hAnsi="Arial" w:cs="Arial"/>
        </w:rPr>
        <w:t xml:space="preserve">a concesión de las subvenciones de forma directa se iniciará de oficio o a solicitud del interesado y se instrumentará mediante resolución o mediante convenio. </w:t>
      </w:r>
    </w:p>
    <w:p w:rsidR="00FF384B" w:rsidRDefault="003E3BA9">
      <w:pPr>
        <w:spacing w:after="0"/>
        <w:ind w:left="283"/>
      </w:pPr>
      <w:r>
        <w:rPr>
          <w:rFonts w:ascii="Arial" w:eastAsia="Arial" w:hAnsi="Arial" w:cs="Arial"/>
        </w:rPr>
        <w:t xml:space="preserve"> </w:t>
      </w:r>
    </w:p>
    <w:p w:rsidR="00FF384B" w:rsidRDefault="003E3BA9">
      <w:pPr>
        <w:numPr>
          <w:ilvl w:val="0"/>
          <w:numId w:val="131"/>
        </w:numPr>
        <w:spacing w:after="5" w:line="247" w:lineRule="auto"/>
        <w:ind w:right="244" w:hanging="10"/>
        <w:jc w:val="both"/>
      </w:pPr>
      <w:r>
        <w:rPr>
          <w:rFonts w:ascii="Arial" w:eastAsia="Arial" w:hAnsi="Arial" w:cs="Arial"/>
        </w:rPr>
        <w:t>El órgano municipal responsable, en función de la materia, una vez recabado el documento cont</w:t>
      </w:r>
      <w:r>
        <w:rPr>
          <w:rFonts w:ascii="Arial" w:eastAsia="Arial" w:hAnsi="Arial" w:cs="Arial"/>
        </w:rPr>
        <w:t>able de retención de gasto, con el límite del importe consignado en el presupuesto, y previo el informe preceptivo de la Intervención municipal, someterá la propuesta de la concesión de las subvenciones al órgano competente para su aprobación. Dado el cará</w:t>
      </w:r>
      <w:r>
        <w:rPr>
          <w:rFonts w:ascii="Arial" w:eastAsia="Arial" w:hAnsi="Arial" w:cs="Arial"/>
        </w:rPr>
        <w:t xml:space="preserve">cter excepcional del procedimiento la resolución deberá ser aprobada por el Ayuntamiento Pleno de Candelaria. </w:t>
      </w:r>
    </w:p>
    <w:p w:rsidR="00FF384B" w:rsidRDefault="003E3BA9">
      <w:pPr>
        <w:spacing w:after="158"/>
        <w:ind w:left="283"/>
      </w:pPr>
      <w:r>
        <w:rPr>
          <w:rFonts w:ascii="Arial" w:eastAsia="Arial" w:hAnsi="Arial" w:cs="Arial"/>
        </w:rPr>
        <w:t xml:space="preserve"> </w:t>
      </w:r>
    </w:p>
    <w:p w:rsidR="00FF384B" w:rsidRDefault="003E3BA9">
      <w:pPr>
        <w:numPr>
          <w:ilvl w:val="0"/>
          <w:numId w:val="131"/>
        </w:numPr>
        <w:spacing w:after="338" w:line="247" w:lineRule="auto"/>
        <w:ind w:right="244" w:hanging="10"/>
        <w:jc w:val="both"/>
      </w:pPr>
      <w:r>
        <w:rPr>
          <w:rFonts w:ascii="Arial" w:eastAsia="Arial" w:hAnsi="Arial" w:cs="Arial"/>
        </w:rPr>
        <w:t>En el expediente se incluirán los siguientes documentos elaborados por el órgano competente para la gestión de las subvenciones:</w:t>
      </w:r>
      <w:r>
        <w:rPr>
          <w:rFonts w:ascii="Times New Roman" w:eastAsia="Times New Roman" w:hAnsi="Times New Roman" w:cs="Times New Roman"/>
          <w:sz w:val="24"/>
        </w:rPr>
        <w:t xml:space="preserve"> </w:t>
      </w:r>
    </w:p>
    <w:p w:rsidR="00FF384B" w:rsidRDefault="003E3BA9">
      <w:pPr>
        <w:numPr>
          <w:ilvl w:val="1"/>
          <w:numId w:val="131"/>
        </w:numPr>
        <w:spacing w:after="349" w:line="247" w:lineRule="auto"/>
        <w:ind w:right="244" w:firstLine="360"/>
        <w:jc w:val="both"/>
      </w:pPr>
      <w:r>
        <w:rPr>
          <w:rFonts w:ascii="Arial" w:eastAsia="Arial" w:hAnsi="Arial" w:cs="Arial"/>
        </w:rPr>
        <w:t xml:space="preserve">Una memoria justificativa con el siguiente contenido mínimo: </w:t>
      </w:r>
    </w:p>
    <w:p w:rsidR="00FF384B" w:rsidRDefault="003E3BA9">
      <w:pPr>
        <w:spacing w:after="171" w:line="247" w:lineRule="auto"/>
        <w:ind w:left="653" w:right="244" w:hanging="10"/>
        <w:jc w:val="both"/>
      </w:pPr>
      <w:r>
        <w:rPr>
          <w:rFonts w:ascii="Arial" w:eastAsia="Arial" w:hAnsi="Arial" w:cs="Arial"/>
        </w:rPr>
        <w:t xml:space="preserve">Antecedentes. </w:t>
      </w:r>
    </w:p>
    <w:p w:rsidR="00FF384B" w:rsidRDefault="003E3BA9">
      <w:pPr>
        <w:spacing w:after="169" w:line="247" w:lineRule="auto"/>
        <w:ind w:left="653" w:right="244" w:hanging="10"/>
        <w:jc w:val="both"/>
      </w:pPr>
      <w:r>
        <w:rPr>
          <w:rFonts w:ascii="Arial" w:eastAsia="Arial" w:hAnsi="Arial" w:cs="Arial"/>
        </w:rPr>
        <w:t xml:space="preserve">Objetivos. </w:t>
      </w:r>
    </w:p>
    <w:p w:rsidR="00FF384B" w:rsidRDefault="003E3BA9">
      <w:pPr>
        <w:spacing w:after="169" w:line="247" w:lineRule="auto"/>
        <w:ind w:left="653" w:right="244" w:hanging="10"/>
        <w:jc w:val="both"/>
      </w:pPr>
      <w:r>
        <w:rPr>
          <w:rFonts w:ascii="Arial" w:eastAsia="Arial" w:hAnsi="Arial" w:cs="Arial"/>
        </w:rPr>
        <w:t xml:space="preserve">Compromisos que se adquieren. </w:t>
      </w:r>
    </w:p>
    <w:p w:rsidR="00FF384B" w:rsidRDefault="003E3BA9">
      <w:pPr>
        <w:spacing w:after="171" w:line="247" w:lineRule="auto"/>
        <w:ind w:left="653" w:right="244" w:hanging="10"/>
        <w:jc w:val="both"/>
      </w:pPr>
      <w:r>
        <w:rPr>
          <w:rFonts w:ascii="Arial" w:eastAsia="Arial" w:hAnsi="Arial" w:cs="Arial"/>
        </w:rPr>
        <w:t xml:space="preserve">Razones que motivan la concesión de la subvención. </w:t>
      </w:r>
    </w:p>
    <w:p w:rsidR="00FF384B" w:rsidRDefault="003E3BA9">
      <w:pPr>
        <w:spacing w:after="354" w:line="247" w:lineRule="auto"/>
        <w:ind w:left="268" w:right="244" w:firstLine="360"/>
        <w:jc w:val="both"/>
      </w:pPr>
      <w:r>
        <w:rPr>
          <w:noProof/>
        </w:rPr>
        <mc:AlternateContent>
          <mc:Choice Requires="wpg">
            <w:drawing>
              <wp:anchor distT="0" distB="0" distL="114300" distR="114300" simplePos="0" relativeHeight="2517841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057" name="Group 46005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188" name="Picture 25188"/>
                          <pic:cNvPicPr/>
                        </pic:nvPicPr>
                        <pic:blipFill>
                          <a:blip r:embed="rId62"/>
                          <a:stretch>
                            <a:fillRect/>
                          </a:stretch>
                        </pic:blipFill>
                        <pic:spPr>
                          <a:xfrm rot="-5399999">
                            <a:off x="-1720849" y="1720849"/>
                            <a:ext cx="3797300" cy="355601"/>
                          </a:xfrm>
                          <a:prstGeom prst="rect">
                            <a:avLst/>
                          </a:prstGeom>
                        </pic:spPr>
                      </pic:pic>
                      <wps:wsp>
                        <wps:cNvPr id="25189" name="Rectangle 251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5190" name="Rectangle 2519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0057" style="width:41.2715pt;height:299pt;position:absolute;mso-position-horizontal-relative:page;mso-position-horizontal:absolute;margin-left:653.71pt;mso-position-vertical-relative:page;margin-top:512.92pt;" coordsize="5241,37973">
                <v:shape id="Picture 25188" style="position:absolute;width:37973;height:3556;left:-17208;top:17208;rotation:-89;" filled="f">
                  <v:imagedata r:id="rId63"/>
                </v:shape>
                <v:rect id="Rectangle 251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19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353 </w:t>
                        </w:r>
                      </w:p>
                    </w:txbxContent>
                  </v:textbox>
                </v:rect>
                <w10:wrap type="square"/>
              </v:group>
            </w:pict>
          </mc:Fallback>
        </mc:AlternateContent>
      </w:r>
      <w:r>
        <w:rPr>
          <w:rFonts w:ascii="Arial" w:eastAsia="Arial" w:hAnsi="Arial" w:cs="Arial"/>
        </w:rPr>
        <w:t>Justificación detallada de las razones que acreditan el inter</w:t>
      </w:r>
      <w:r>
        <w:rPr>
          <w:rFonts w:ascii="Arial" w:eastAsia="Arial" w:hAnsi="Arial" w:cs="Arial"/>
        </w:rPr>
        <w:t xml:space="preserve">és público, social, económico o humanitario. </w:t>
      </w:r>
    </w:p>
    <w:p w:rsidR="00FF384B" w:rsidRDefault="003E3BA9">
      <w:pPr>
        <w:numPr>
          <w:ilvl w:val="1"/>
          <w:numId w:val="131"/>
        </w:numPr>
        <w:spacing w:after="172" w:line="247" w:lineRule="auto"/>
        <w:ind w:right="244" w:firstLine="360"/>
        <w:jc w:val="both"/>
      </w:pPr>
      <w:r>
        <w:rPr>
          <w:rFonts w:ascii="Arial" w:eastAsia="Arial" w:hAnsi="Arial" w:cs="Arial"/>
        </w:rPr>
        <w:t xml:space="preserve">Una memoria económica en la que se detallen los efectos económicos y su forma de financiación, indicando el coste total de la actividad a subvencionar, el importe de la subvención y aplicación presupuestaria a </w:t>
      </w:r>
      <w:r>
        <w:rPr>
          <w:rFonts w:ascii="Arial" w:eastAsia="Arial" w:hAnsi="Arial" w:cs="Arial"/>
        </w:rPr>
        <w:t xml:space="preserve">la que se imputa el gasto, así como, en su caso, el carácter plurianual y distribución temporal del mismo. </w:t>
      </w:r>
    </w:p>
    <w:p w:rsidR="00FF384B" w:rsidRDefault="003E3BA9">
      <w:pPr>
        <w:numPr>
          <w:ilvl w:val="0"/>
          <w:numId w:val="131"/>
        </w:numPr>
        <w:spacing w:after="5" w:line="247" w:lineRule="auto"/>
        <w:ind w:right="244" w:hanging="10"/>
        <w:jc w:val="both"/>
      </w:pPr>
      <w:r>
        <w:rPr>
          <w:rFonts w:ascii="Arial" w:eastAsia="Arial" w:hAnsi="Arial" w:cs="Arial"/>
        </w:rPr>
        <w:t xml:space="preserve">La resolución o el convenio inicial, deberán contener, en todo caso, los datos requeridos en el artículo citado anteriormente. </w:t>
      </w:r>
    </w:p>
    <w:p w:rsidR="00FF384B" w:rsidRDefault="003E3BA9">
      <w:pPr>
        <w:spacing w:after="0"/>
        <w:ind w:left="283"/>
      </w:pPr>
      <w:r>
        <w:rPr>
          <w:rFonts w:ascii="Arial" w:eastAsia="Arial" w:hAnsi="Arial" w:cs="Arial"/>
        </w:rPr>
        <w:t xml:space="preserve"> </w:t>
      </w:r>
    </w:p>
    <w:p w:rsidR="00FF384B" w:rsidRDefault="003E3BA9">
      <w:pPr>
        <w:spacing w:after="104" w:line="247" w:lineRule="auto"/>
        <w:ind w:left="278" w:right="244" w:hanging="10"/>
        <w:jc w:val="both"/>
      </w:pPr>
      <w:r>
        <w:rPr>
          <w:rFonts w:ascii="Arial" w:eastAsia="Arial" w:hAnsi="Arial" w:cs="Arial"/>
        </w:rPr>
        <w:t xml:space="preserve"> </w:t>
      </w:r>
      <w:r>
        <w:rPr>
          <w:rFonts w:ascii="Arial" w:eastAsia="Arial" w:hAnsi="Arial" w:cs="Arial"/>
        </w:rPr>
        <w:t xml:space="preserve">No obstante, las ayudas de emergencia social, se regirá por el actual Protocolo para la Concesión de Prestaciones Económicas de Servicios Sociales del Ilustre Ayuntamiento de Candelaria. </w:t>
      </w:r>
    </w:p>
    <w:p w:rsidR="00FF384B" w:rsidRDefault="003E3BA9">
      <w:pPr>
        <w:spacing w:after="71" w:line="247" w:lineRule="auto"/>
        <w:ind w:left="286" w:hanging="3"/>
        <w:jc w:val="both"/>
      </w:pPr>
      <w:r>
        <w:rPr>
          <w:rFonts w:ascii="Arial" w:eastAsia="Arial" w:hAnsi="Arial" w:cs="Arial"/>
          <w:b/>
        </w:rPr>
        <w:t>Artículo 28. Información de las subvenciones concedidas de forma dir</w:t>
      </w:r>
      <w:r>
        <w:rPr>
          <w:rFonts w:ascii="Arial" w:eastAsia="Arial" w:hAnsi="Arial" w:cs="Arial"/>
          <w:b/>
        </w:rPr>
        <w:t>ecta</w:t>
      </w:r>
      <w:r>
        <w:rPr>
          <w:rFonts w:ascii="Times New Roman" w:eastAsia="Times New Roman" w:hAnsi="Times New Roman" w:cs="Times New Roman"/>
          <w:sz w:val="24"/>
        </w:rPr>
        <w:t xml:space="preserve"> </w:t>
      </w:r>
    </w:p>
    <w:p w:rsidR="00FF384B" w:rsidRDefault="003E3BA9">
      <w:pPr>
        <w:numPr>
          <w:ilvl w:val="0"/>
          <w:numId w:val="132"/>
        </w:numPr>
        <w:spacing w:after="5" w:line="247" w:lineRule="auto"/>
        <w:ind w:right="244" w:hanging="10"/>
        <w:jc w:val="both"/>
      </w:pPr>
      <w:r>
        <w:rPr>
          <w:rFonts w:ascii="Arial" w:eastAsia="Arial" w:hAnsi="Arial" w:cs="Arial"/>
        </w:rPr>
        <w:t>Las Concejalías delegadas de la actividad municipal podrán remitir información, en su caso, sobre las subvenciones concedidas de forma directa con carácter semestral elaborando un informe que determine, como mínimo, las subvenciones concedidas, objet</w:t>
      </w:r>
      <w:r>
        <w:rPr>
          <w:rFonts w:ascii="Arial" w:eastAsia="Arial" w:hAnsi="Arial" w:cs="Arial"/>
        </w:rPr>
        <w:t xml:space="preserve">o, beneficiario y cuantía. </w:t>
      </w:r>
    </w:p>
    <w:p w:rsidR="00FF384B" w:rsidRDefault="003E3BA9">
      <w:pPr>
        <w:spacing w:after="0"/>
        <w:ind w:left="283"/>
      </w:pPr>
      <w:r>
        <w:rPr>
          <w:rFonts w:ascii="Arial" w:eastAsia="Arial" w:hAnsi="Arial" w:cs="Arial"/>
        </w:rPr>
        <w:t xml:space="preserve"> </w:t>
      </w:r>
    </w:p>
    <w:p w:rsidR="00FF384B" w:rsidRDefault="003E3BA9">
      <w:pPr>
        <w:numPr>
          <w:ilvl w:val="0"/>
          <w:numId w:val="132"/>
        </w:numPr>
        <w:spacing w:after="5" w:line="247" w:lineRule="auto"/>
        <w:ind w:right="244" w:hanging="10"/>
        <w:jc w:val="both"/>
      </w:pPr>
      <w:r>
        <w:rPr>
          <w:rFonts w:ascii="Arial" w:eastAsia="Arial" w:hAnsi="Arial" w:cs="Arial"/>
        </w:rPr>
        <w:t xml:space="preserve">De dicho informe se dará cuenta, para su conocimiento, a la Comisión Informativa del Pleno.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29. Subvenciones establecidas por una norma de rango legal. </w:t>
      </w:r>
    </w:p>
    <w:p w:rsidR="00FF384B" w:rsidRDefault="003E3BA9">
      <w:pPr>
        <w:spacing w:after="0"/>
        <w:ind w:left="283"/>
      </w:pPr>
      <w:r>
        <w:rPr>
          <w:rFonts w:ascii="Arial" w:eastAsia="Arial" w:hAnsi="Arial" w:cs="Arial"/>
        </w:rPr>
        <w:t xml:space="preserve"> </w:t>
      </w:r>
    </w:p>
    <w:p w:rsidR="00FF384B" w:rsidRDefault="003E3BA9">
      <w:pPr>
        <w:numPr>
          <w:ilvl w:val="0"/>
          <w:numId w:val="133"/>
        </w:numPr>
        <w:spacing w:after="5" w:line="247" w:lineRule="auto"/>
        <w:ind w:right="244" w:hanging="10"/>
        <w:jc w:val="both"/>
      </w:pPr>
      <w:r>
        <w:rPr>
          <w:rFonts w:ascii="Arial" w:eastAsia="Arial" w:hAnsi="Arial" w:cs="Arial"/>
        </w:rPr>
        <w:t>Las subvenciones que vengan establecidas por una norma de r</w:t>
      </w:r>
      <w:r>
        <w:rPr>
          <w:rFonts w:ascii="Arial" w:eastAsia="Arial" w:hAnsi="Arial" w:cs="Arial"/>
        </w:rPr>
        <w:t xml:space="preserve">ango legal, se otorgarán conforme al procedimiento que en ella se indique. No obstante, deberá tenerse en cuenta, en todo caso, lo establecido en esta Ordenanza de subvenciones vigentes, sobre instrucción y resolución del procedimiento. </w:t>
      </w:r>
    </w:p>
    <w:p w:rsidR="00FF384B" w:rsidRDefault="003E3BA9">
      <w:pPr>
        <w:spacing w:after="0"/>
        <w:ind w:left="283"/>
      </w:pPr>
      <w:r>
        <w:rPr>
          <w:rFonts w:ascii="Arial" w:eastAsia="Arial" w:hAnsi="Arial" w:cs="Arial"/>
        </w:rPr>
        <w:t xml:space="preserve"> </w:t>
      </w:r>
    </w:p>
    <w:p w:rsidR="00FF384B" w:rsidRDefault="003E3BA9">
      <w:pPr>
        <w:numPr>
          <w:ilvl w:val="0"/>
          <w:numId w:val="133"/>
        </w:numPr>
        <w:spacing w:after="5" w:line="247" w:lineRule="auto"/>
        <w:ind w:right="244" w:hanging="10"/>
        <w:jc w:val="both"/>
      </w:pPr>
      <w:r>
        <w:rPr>
          <w:rFonts w:ascii="Arial" w:eastAsia="Arial" w:hAnsi="Arial" w:cs="Arial"/>
        </w:rPr>
        <w:t>Para que sea exi</w:t>
      </w:r>
      <w:r>
        <w:rPr>
          <w:rFonts w:ascii="Arial" w:eastAsia="Arial" w:hAnsi="Arial" w:cs="Arial"/>
        </w:rPr>
        <w:t xml:space="preserve">gible el pago de las subvenciones a las que se refiere este artículo, será necesaria la existencia de crédito adecuado y suficiente en el correspondiente ejercicio presupuestario.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TÍTULO IV. GESTIÓN Y JUSTIFICACIÓN DE LAS SUBVENCIONES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CAPÍTULO I. G</w:t>
      </w:r>
      <w:r>
        <w:rPr>
          <w:rFonts w:ascii="Arial" w:eastAsia="Arial" w:hAnsi="Arial" w:cs="Arial"/>
          <w:b/>
        </w:rPr>
        <w:t xml:space="preserve">estión y justificación.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Artículo 30. Justificación de las Subvenciones, y sus plazos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1. La justificación del cumplimiento de las condiciones impuestas y de la consecución de los objetivos previstos en el acto de concesión de la subvención, se realizará en las condiciones prevista en los artículos 22 y 23 del Decreto 36/2009, de 31 de marzo</w:t>
      </w:r>
      <w:r>
        <w:rPr>
          <w:rFonts w:ascii="Arial" w:eastAsia="Arial" w:hAnsi="Arial" w:cs="Arial"/>
        </w:rPr>
        <w:t>, por el que se establece el régimen general de subvenciones de la Comunidad Autónoma de Canarias, esto es:</w:t>
      </w:r>
      <w:r>
        <w:rPr>
          <w:rFonts w:ascii="Times New Roman" w:eastAsia="Times New Roman" w:hAnsi="Times New Roman" w:cs="Times New Roman"/>
          <w:sz w:val="24"/>
        </w:rPr>
        <w:t xml:space="preserve"> </w:t>
      </w:r>
    </w:p>
    <w:p w:rsidR="00FF384B" w:rsidRDefault="003E3BA9">
      <w:pPr>
        <w:spacing w:after="90"/>
        <w:ind w:left="283"/>
      </w:pPr>
      <w:r>
        <w:rPr>
          <w:rFonts w:ascii="Arial" w:eastAsia="Arial" w:hAnsi="Arial" w:cs="Arial"/>
        </w:rPr>
        <w:t xml:space="preserve"> </w:t>
      </w:r>
    </w:p>
    <w:p w:rsidR="00FF384B" w:rsidRDefault="003E3BA9">
      <w:pPr>
        <w:numPr>
          <w:ilvl w:val="0"/>
          <w:numId w:val="134"/>
        </w:numPr>
        <w:spacing w:after="83" w:line="247" w:lineRule="auto"/>
        <w:ind w:right="244" w:hanging="259"/>
        <w:jc w:val="both"/>
      </w:pPr>
      <w:r>
        <w:rPr>
          <w:rFonts w:ascii="Arial" w:eastAsia="Arial" w:hAnsi="Arial" w:cs="Arial"/>
        </w:rPr>
        <w:t>Cuenta justificativa, adoptando una de las formas previstas en este Decreto.</w:t>
      </w:r>
      <w:r>
        <w:rPr>
          <w:rFonts w:ascii="Times New Roman" w:eastAsia="Times New Roman" w:hAnsi="Times New Roman" w:cs="Times New Roman"/>
          <w:sz w:val="24"/>
        </w:rPr>
        <w:t xml:space="preserve"> </w:t>
      </w:r>
    </w:p>
    <w:p w:rsidR="00FF384B" w:rsidRDefault="003E3BA9">
      <w:pPr>
        <w:numPr>
          <w:ilvl w:val="0"/>
          <w:numId w:val="134"/>
        </w:numPr>
        <w:spacing w:after="5" w:line="247" w:lineRule="auto"/>
        <w:ind w:right="244" w:hanging="259"/>
        <w:jc w:val="both"/>
      </w:pPr>
      <w:r>
        <w:rPr>
          <w:noProof/>
        </w:rPr>
        <mc:AlternateContent>
          <mc:Choice Requires="wpg">
            <w:drawing>
              <wp:anchor distT="0" distB="0" distL="114300" distR="114300" simplePos="0" relativeHeight="2517852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179" name="Group 46017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301" name="Picture 25301"/>
                          <pic:cNvPicPr/>
                        </pic:nvPicPr>
                        <pic:blipFill>
                          <a:blip r:embed="rId62"/>
                          <a:stretch>
                            <a:fillRect/>
                          </a:stretch>
                        </pic:blipFill>
                        <pic:spPr>
                          <a:xfrm rot="-5399999">
                            <a:off x="-1720849" y="1720849"/>
                            <a:ext cx="3797300" cy="355601"/>
                          </a:xfrm>
                          <a:prstGeom prst="rect">
                            <a:avLst/>
                          </a:prstGeom>
                        </pic:spPr>
                      </pic:pic>
                      <wps:wsp>
                        <wps:cNvPr id="25302" name="Rectangle 2530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25303" name="Rectangle 2530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0179" style="width:41.2715pt;height:299pt;position:absolute;mso-position-horizontal-relative:page;mso-position-horizontal:absolute;margin-left:653.71pt;mso-position-vertical-relative:page;margin-top:512.92pt;" coordsize="5241,37973">
                <v:shape id="Picture 25301" style="position:absolute;width:37973;height:3556;left:-17208;top:17208;rotation:-89;" filled="f">
                  <v:imagedata r:id="rId63"/>
                </v:shape>
                <v:rect id="Rectangle 2530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30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353 </w:t>
                        </w:r>
                      </w:p>
                    </w:txbxContent>
                  </v:textbox>
                </v:rect>
                <w10:wrap type="square"/>
              </v:group>
            </w:pict>
          </mc:Fallback>
        </mc:AlternateContent>
      </w:r>
      <w:r>
        <w:rPr>
          <w:rFonts w:ascii="Arial" w:eastAsia="Arial" w:hAnsi="Arial" w:cs="Arial"/>
        </w:rPr>
        <w:t>Presentación de estados contables.</w:t>
      </w:r>
      <w:r>
        <w:rPr>
          <w:rFonts w:ascii="Times New Roman" w:eastAsia="Times New Roman" w:hAnsi="Times New Roman" w:cs="Times New Roman"/>
          <w:sz w:val="24"/>
        </w:rPr>
        <w:t xml:space="preserve"> </w:t>
      </w:r>
    </w:p>
    <w:p w:rsidR="00FF384B" w:rsidRDefault="003E3BA9">
      <w:pPr>
        <w:spacing w:after="141"/>
        <w:ind w:left="283"/>
      </w:pPr>
      <w:r>
        <w:rPr>
          <w:rFonts w:ascii="Arial" w:eastAsia="Arial" w:hAnsi="Arial" w:cs="Arial"/>
          <w:b/>
        </w:rPr>
        <w:t xml:space="preserve"> </w:t>
      </w:r>
    </w:p>
    <w:p w:rsidR="00FF384B" w:rsidRDefault="003E3BA9">
      <w:pPr>
        <w:spacing w:after="150" w:line="247" w:lineRule="auto"/>
        <w:ind w:left="268" w:right="244" w:firstLine="708"/>
        <w:jc w:val="both"/>
      </w:pPr>
      <w:r>
        <w:rPr>
          <w:rFonts w:ascii="Arial" w:eastAsia="Arial" w:hAnsi="Arial" w:cs="Arial"/>
        </w:rPr>
        <w:t xml:space="preserve">La justificación de la subvención tendrá la estructura y el alcance que se determine en las correspondientes bases reguladoras. </w:t>
      </w:r>
    </w:p>
    <w:p w:rsidR="00FF384B" w:rsidRDefault="003E3BA9">
      <w:pPr>
        <w:spacing w:after="0"/>
        <w:ind w:left="283"/>
      </w:pPr>
      <w:r>
        <w:rPr>
          <w:rFonts w:ascii="Arial" w:eastAsia="Arial" w:hAnsi="Arial" w:cs="Arial"/>
        </w:rPr>
        <w:t xml:space="preserve"> </w:t>
      </w:r>
    </w:p>
    <w:p w:rsidR="00FF384B" w:rsidRDefault="003E3BA9">
      <w:pPr>
        <w:numPr>
          <w:ilvl w:val="0"/>
          <w:numId w:val="135"/>
        </w:numPr>
        <w:spacing w:after="5" w:line="247" w:lineRule="auto"/>
        <w:ind w:right="244" w:hanging="247"/>
        <w:jc w:val="both"/>
      </w:pPr>
      <w:r>
        <w:rPr>
          <w:rFonts w:ascii="Arial" w:eastAsia="Arial" w:hAnsi="Arial" w:cs="Arial"/>
        </w:rPr>
        <w:t xml:space="preserve">La realización y justificación del proyecto, de </w:t>
      </w:r>
      <w:r>
        <w:rPr>
          <w:rFonts w:ascii="Arial" w:eastAsia="Arial" w:hAnsi="Arial" w:cs="Arial"/>
        </w:rPr>
        <w:t xml:space="preserve">la actividad, o la adopción del comportamiento objeto de subvención, deberán producirse en los plazos que se establezcan en las bases reguladoras, en las convocatorias o en las resoluciones o convenios en los casos de concesión directa. </w:t>
      </w:r>
    </w:p>
    <w:p w:rsidR="00FF384B" w:rsidRDefault="003E3BA9">
      <w:pPr>
        <w:spacing w:after="0"/>
        <w:ind w:left="283"/>
      </w:pPr>
      <w:r>
        <w:rPr>
          <w:rFonts w:ascii="Arial" w:eastAsia="Arial" w:hAnsi="Arial" w:cs="Arial"/>
        </w:rPr>
        <w:t xml:space="preserve"> </w:t>
      </w:r>
    </w:p>
    <w:p w:rsidR="00FF384B" w:rsidRDefault="003E3BA9">
      <w:pPr>
        <w:numPr>
          <w:ilvl w:val="0"/>
          <w:numId w:val="135"/>
        </w:numPr>
        <w:spacing w:after="5" w:line="247" w:lineRule="auto"/>
        <w:ind w:right="244" w:hanging="247"/>
        <w:jc w:val="both"/>
      </w:pPr>
      <w:r>
        <w:rPr>
          <w:rFonts w:ascii="Arial" w:eastAsia="Arial" w:hAnsi="Arial" w:cs="Arial"/>
        </w:rPr>
        <w:t>En las convocato</w:t>
      </w:r>
      <w:r>
        <w:rPr>
          <w:rFonts w:ascii="Arial" w:eastAsia="Arial" w:hAnsi="Arial" w:cs="Arial"/>
        </w:rPr>
        <w:t xml:space="preserve">rias se fijará el plazo de inicio del periodo de justificación y su final. </w:t>
      </w:r>
    </w:p>
    <w:p w:rsidR="00FF384B" w:rsidRDefault="003E3BA9">
      <w:pPr>
        <w:spacing w:after="0"/>
        <w:ind w:left="283"/>
      </w:pPr>
      <w:r>
        <w:rPr>
          <w:rFonts w:ascii="Arial" w:eastAsia="Arial" w:hAnsi="Arial" w:cs="Arial"/>
        </w:rPr>
        <w:t xml:space="preserve"> </w:t>
      </w:r>
    </w:p>
    <w:p w:rsidR="00FF384B" w:rsidRDefault="003E3BA9">
      <w:pPr>
        <w:numPr>
          <w:ilvl w:val="0"/>
          <w:numId w:val="135"/>
        </w:numPr>
        <w:spacing w:after="5" w:line="247" w:lineRule="auto"/>
        <w:ind w:right="244" w:hanging="247"/>
        <w:jc w:val="both"/>
      </w:pPr>
      <w:r>
        <w:rPr>
          <w:rFonts w:ascii="Arial" w:eastAsia="Arial" w:hAnsi="Arial" w:cs="Arial"/>
        </w:rPr>
        <w:t>Excepcionalmente, y si por razones justificadas debidamente motivadas no pudiera realizarse o justificarse en el plazo previsto, el órgano concedente podrá acordar, siempre con a</w:t>
      </w:r>
      <w:r>
        <w:rPr>
          <w:rFonts w:ascii="Arial" w:eastAsia="Arial" w:hAnsi="Arial" w:cs="Arial"/>
        </w:rPr>
        <w:t xml:space="preserve">nterioridad a la finalización del plazo concedido, la prórroga del plazo, que no excederá de la mitad del previsto en el párrafo anterior, siempre que no se perjudiquen derechos de terceros.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31. Requisitos de los gastos subvencionables.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Se a</w:t>
      </w:r>
      <w:r>
        <w:rPr>
          <w:rFonts w:ascii="Arial" w:eastAsia="Arial" w:hAnsi="Arial" w:cs="Arial"/>
        </w:rPr>
        <w:t xml:space="preserve">dmitirán como gastos subvencionables, con carácter general, los que cumplan los siguientes requisitos: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 xml:space="preserve">Desde un punto de vista cualitativo, aquellos gastos que indubitadamente respondan a la naturaleza de la actividad subvencionada.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Desde un punto de</w:t>
      </w:r>
      <w:r>
        <w:rPr>
          <w:rFonts w:ascii="Arial" w:eastAsia="Arial" w:hAnsi="Arial" w:cs="Arial"/>
        </w:rPr>
        <w:t xml:space="preserve"> vista cuantitativo, aquellos gastos cuyo coste de adquisición no supere el valor de mercado.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Desde un punto de vista temporal, los gastos deberán corresponder al período marcado por la convocatoria de la subvención o por el convenio de colaboración. En general, si el período subvencionado corresponde a un ejercicio presupuestario, se admitirán úni</w:t>
      </w:r>
      <w:r>
        <w:rPr>
          <w:rFonts w:ascii="Arial" w:eastAsia="Arial" w:hAnsi="Arial" w:cs="Arial"/>
        </w:rPr>
        <w:t xml:space="preserve">camente aquellos gastos que se devenguen en el año de concesión de la subvención o de aprobación del convenio, en cualquier momento del año.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Se considerarán gastos realizados aquellos cuyo documento acreditativo corresponda al año en que fue aprobada la</w:t>
      </w:r>
      <w:r>
        <w:rPr>
          <w:rFonts w:ascii="Arial" w:eastAsia="Arial" w:hAnsi="Arial" w:cs="Arial"/>
        </w:rPr>
        <w:t xml:space="preserve"> aportación pública y hayan sido abonados cuando se presente la justificación.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 xml:space="preserve">Desde un punto de vista financiero, los gastos deberán acreditarse, mediante la oportuna acreditación de pago. </w:t>
      </w:r>
    </w:p>
    <w:p w:rsidR="00FF384B" w:rsidRDefault="003E3BA9">
      <w:pPr>
        <w:spacing w:after="0"/>
        <w:ind w:left="283"/>
      </w:pPr>
      <w:r>
        <w:rPr>
          <w:rFonts w:ascii="Arial" w:eastAsia="Arial" w:hAnsi="Arial" w:cs="Arial"/>
        </w:rPr>
        <w:t xml:space="preserve"> </w:t>
      </w:r>
    </w:p>
    <w:p w:rsidR="00FF384B" w:rsidRDefault="003E3BA9">
      <w:pPr>
        <w:numPr>
          <w:ilvl w:val="0"/>
          <w:numId w:val="136"/>
        </w:numPr>
        <w:spacing w:after="5" w:line="247" w:lineRule="auto"/>
        <w:ind w:right="244" w:hanging="10"/>
        <w:jc w:val="both"/>
      </w:pPr>
      <w:r>
        <w:rPr>
          <w:rFonts w:ascii="Arial" w:eastAsia="Arial" w:hAnsi="Arial" w:cs="Arial"/>
        </w:rPr>
        <w:t>Se consideran válidos aquellos gastos que correspondiendo al</w:t>
      </w:r>
      <w:r>
        <w:rPr>
          <w:rFonts w:ascii="Arial" w:eastAsia="Arial" w:hAnsi="Arial" w:cs="Arial"/>
        </w:rPr>
        <w:t xml:space="preserve"> año en que fue aprobada la subvención y sean abonados en el ejercicio siguiente, siempre que el abono se realice antes de la fecha de presentación de la justificación. </w:t>
      </w:r>
    </w:p>
    <w:p w:rsidR="00FF384B" w:rsidRDefault="003E3BA9">
      <w:pPr>
        <w:spacing w:after="0"/>
        <w:ind w:left="283"/>
      </w:pPr>
      <w:r>
        <w:rPr>
          <w:noProof/>
        </w:rPr>
        <mc:AlternateContent>
          <mc:Choice Requires="wpg">
            <w:drawing>
              <wp:anchor distT="0" distB="0" distL="114300" distR="114300" simplePos="0" relativeHeight="2517862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1120" name="Group 46112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412" name="Picture 25412"/>
                          <pic:cNvPicPr/>
                        </pic:nvPicPr>
                        <pic:blipFill>
                          <a:blip r:embed="rId62"/>
                          <a:stretch>
                            <a:fillRect/>
                          </a:stretch>
                        </pic:blipFill>
                        <pic:spPr>
                          <a:xfrm rot="-5399999">
                            <a:off x="-1720849" y="1720849"/>
                            <a:ext cx="3797300" cy="355601"/>
                          </a:xfrm>
                          <a:prstGeom prst="rect">
                            <a:avLst/>
                          </a:prstGeom>
                        </pic:spPr>
                      </pic:pic>
                      <wps:wsp>
                        <wps:cNvPr id="25413" name="Rectangle 2541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25414" name="Rectangle 2541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1120" style="width:41.2715pt;height:299pt;position:absolute;mso-position-horizontal-relative:page;mso-position-horizontal:absolute;margin-left:653.71pt;mso-position-vertical-relative:page;margin-top:512.92pt;" coordsize="5241,37973">
                <v:shape id="Picture 25412" style="position:absolute;width:37973;height:3556;left:-17208;top:17208;rotation:-89;" filled="f">
                  <v:imagedata r:id="rId63"/>
                </v:shape>
                <v:rect id="Rectangle 254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41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353 </w:t>
                        </w:r>
                      </w:p>
                    </w:txbxContent>
                  </v:textbox>
                </v:rect>
                <w10:wrap type="square"/>
              </v:group>
            </w:pict>
          </mc:Fallback>
        </mc:AlternateContent>
      </w: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32. Gastos directos y gastos indirectos.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 consideran, con carácter general, como gastos subvencionables: </w:t>
      </w:r>
    </w:p>
    <w:p w:rsidR="00FF384B" w:rsidRDefault="003E3BA9">
      <w:pPr>
        <w:spacing w:after="0"/>
        <w:ind w:left="283"/>
      </w:pPr>
      <w:r>
        <w:rPr>
          <w:rFonts w:ascii="Arial" w:eastAsia="Arial" w:hAnsi="Arial" w:cs="Arial"/>
        </w:rPr>
        <w:t xml:space="preserve"> </w:t>
      </w:r>
    </w:p>
    <w:p w:rsidR="00FF384B" w:rsidRDefault="003E3BA9">
      <w:pPr>
        <w:numPr>
          <w:ilvl w:val="0"/>
          <w:numId w:val="137"/>
        </w:numPr>
        <w:spacing w:after="5" w:line="247" w:lineRule="auto"/>
        <w:ind w:right="244" w:hanging="10"/>
        <w:jc w:val="both"/>
      </w:pPr>
      <w:r>
        <w:rPr>
          <w:rFonts w:ascii="Arial" w:eastAsia="Arial" w:hAnsi="Arial" w:cs="Arial"/>
        </w:rPr>
        <w:t xml:space="preserve">Gastos directos, aquellos derivados específicamente del desarrollo de la actividad o programa subvencionados. </w:t>
      </w:r>
    </w:p>
    <w:p w:rsidR="00FF384B" w:rsidRDefault="003E3BA9">
      <w:pPr>
        <w:spacing w:after="0"/>
        <w:ind w:left="283"/>
      </w:pPr>
      <w:r>
        <w:rPr>
          <w:rFonts w:ascii="Arial" w:eastAsia="Arial" w:hAnsi="Arial" w:cs="Arial"/>
        </w:rPr>
        <w:t xml:space="preserve"> </w:t>
      </w:r>
    </w:p>
    <w:p w:rsidR="00FF384B" w:rsidRDefault="003E3BA9">
      <w:pPr>
        <w:numPr>
          <w:ilvl w:val="0"/>
          <w:numId w:val="137"/>
        </w:numPr>
        <w:spacing w:after="5" w:line="247" w:lineRule="auto"/>
        <w:ind w:right="244" w:hanging="10"/>
        <w:jc w:val="both"/>
      </w:pPr>
      <w:r>
        <w:rPr>
          <w:rFonts w:ascii="Arial" w:eastAsia="Arial" w:hAnsi="Arial" w:cs="Arial"/>
        </w:rPr>
        <w:t>Gastos indirectos, aquellos costes variables imputables a varias de las actividades que el beneficiario desarrolla o bien costes de estructura,</w:t>
      </w:r>
      <w:r>
        <w:rPr>
          <w:rFonts w:ascii="Arial" w:eastAsia="Arial" w:hAnsi="Arial" w:cs="Arial"/>
        </w:rPr>
        <w:t xml:space="preserve"> que sin ser directamente imputables a la actividad concreta subvencionada, sean necesarios para que ésta se lleve a cabo. Serán gastos subvencionables siempre y cuando la convocatoria de la subvención o el convenio de colaboración así lo prevean.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El c</w:t>
      </w:r>
      <w:r>
        <w:rPr>
          <w:rFonts w:ascii="Arial" w:eastAsia="Arial" w:hAnsi="Arial" w:cs="Arial"/>
        </w:rPr>
        <w:t>riterio de imputación por el beneficiario a la actividad subvencionada se realizará en la proporción máxima que recoja la convocatoria de acuerdo con principios y normas de contabilidad generalmente admitidas y, en todo caso, en la medida en que tales cost</w:t>
      </w:r>
      <w:r>
        <w:rPr>
          <w:rFonts w:ascii="Arial" w:eastAsia="Arial" w:hAnsi="Arial" w:cs="Arial"/>
        </w:rPr>
        <w:t xml:space="preserve">es correspondan al período en que efectivamente se realice la actividad. </w:t>
      </w:r>
    </w:p>
    <w:p w:rsidR="00FF384B" w:rsidRDefault="003E3BA9">
      <w:pPr>
        <w:spacing w:after="0"/>
        <w:ind w:left="991"/>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33. Gastos subvencionables en bienes y servicios financiados con aplicaciones presupuestarias de gasto corriente.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1. Las subvenciones, tanto de concurrencia pública com</w:t>
      </w:r>
      <w:r>
        <w:rPr>
          <w:rFonts w:ascii="Arial" w:eastAsia="Arial" w:hAnsi="Arial" w:cs="Arial"/>
        </w:rPr>
        <w:t xml:space="preserve">o de concesión directa, que estén recogidas en el capítulo IV del presupuesto municipal (-transferencias corrientes-), deben referirse a gastos en bienes y servicios necesarios para el ejercicio de actividades, debiendo tener alguna de estas cualidades:  </w:t>
      </w:r>
    </w:p>
    <w:p w:rsidR="00FF384B" w:rsidRDefault="003E3BA9">
      <w:pPr>
        <w:spacing w:after="0"/>
        <w:ind w:left="283"/>
      </w:pPr>
      <w:r>
        <w:rPr>
          <w:rFonts w:ascii="Arial" w:eastAsia="Arial" w:hAnsi="Arial" w:cs="Arial"/>
        </w:rPr>
        <w:t xml:space="preserve"> </w:t>
      </w:r>
    </w:p>
    <w:p w:rsidR="00FF384B" w:rsidRDefault="003E3BA9">
      <w:pPr>
        <w:numPr>
          <w:ilvl w:val="0"/>
          <w:numId w:val="138"/>
        </w:numPr>
        <w:spacing w:after="5" w:line="247" w:lineRule="auto"/>
        <w:ind w:right="244" w:hanging="259"/>
        <w:jc w:val="both"/>
      </w:pPr>
      <w:r>
        <w:rPr>
          <w:rFonts w:ascii="Arial" w:eastAsia="Arial" w:hAnsi="Arial" w:cs="Arial"/>
        </w:rPr>
        <w:t xml:space="preserve">Bienes fungibles </w:t>
      </w:r>
    </w:p>
    <w:p w:rsidR="00FF384B" w:rsidRDefault="003E3BA9">
      <w:pPr>
        <w:numPr>
          <w:ilvl w:val="0"/>
          <w:numId w:val="138"/>
        </w:numPr>
        <w:spacing w:after="5" w:line="247" w:lineRule="auto"/>
        <w:ind w:right="244" w:hanging="259"/>
        <w:jc w:val="both"/>
      </w:pPr>
      <w:r>
        <w:rPr>
          <w:rFonts w:ascii="Arial" w:eastAsia="Arial" w:hAnsi="Arial" w:cs="Arial"/>
        </w:rPr>
        <w:t xml:space="preserve">Duración previsiblemente inferior a un ejercicio presupuestario. </w:t>
      </w:r>
    </w:p>
    <w:p w:rsidR="00FF384B" w:rsidRDefault="003E3BA9">
      <w:pPr>
        <w:numPr>
          <w:ilvl w:val="0"/>
          <w:numId w:val="138"/>
        </w:numPr>
        <w:spacing w:after="5" w:line="247" w:lineRule="auto"/>
        <w:ind w:right="244" w:hanging="259"/>
        <w:jc w:val="both"/>
      </w:pPr>
      <w:r>
        <w:rPr>
          <w:rFonts w:ascii="Arial" w:eastAsia="Arial" w:hAnsi="Arial" w:cs="Arial"/>
        </w:rPr>
        <w:t xml:space="preserve">No ser susceptibles de inclusión en el inventario. </w:t>
      </w:r>
    </w:p>
    <w:p w:rsidR="00FF384B" w:rsidRDefault="003E3BA9">
      <w:pPr>
        <w:numPr>
          <w:ilvl w:val="0"/>
          <w:numId w:val="138"/>
        </w:numPr>
        <w:spacing w:after="5" w:line="247" w:lineRule="auto"/>
        <w:ind w:right="244" w:hanging="259"/>
        <w:jc w:val="both"/>
      </w:pPr>
      <w:r>
        <w:rPr>
          <w:rFonts w:ascii="Arial" w:eastAsia="Arial" w:hAnsi="Arial" w:cs="Arial"/>
        </w:rPr>
        <w:t xml:space="preserve">Gastos que presumiblemente sean reiterativos, pudiendo incluirse: </w:t>
      </w:r>
    </w:p>
    <w:p w:rsidR="00FF384B" w:rsidRDefault="003E3BA9">
      <w:pPr>
        <w:spacing w:after="0"/>
        <w:ind w:left="283"/>
      </w:pPr>
      <w:r>
        <w:rPr>
          <w:rFonts w:ascii="Arial" w:eastAsia="Arial" w:hAnsi="Arial" w:cs="Arial"/>
        </w:rPr>
        <w:t xml:space="preserve"> </w:t>
      </w:r>
    </w:p>
    <w:p w:rsidR="00FF384B" w:rsidRDefault="003E3BA9">
      <w:pPr>
        <w:numPr>
          <w:ilvl w:val="1"/>
          <w:numId w:val="138"/>
        </w:numPr>
        <w:spacing w:after="5" w:line="247" w:lineRule="auto"/>
        <w:ind w:right="244" w:hanging="360"/>
        <w:jc w:val="both"/>
      </w:pPr>
      <w:r>
        <w:rPr>
          <w:rFonts w:ascii="Arial" w:eastAsia="Arial" w:hAnsi="Arial" w:cs="Arial"/>
        </w:rPr>
        <w:t xml:space="preserve">Arrendamiento de bienes muebles e inmuebles. </w:t>
      </w:r>
    </w:p>
    <w:p w:rsidR="00FF384B" w:rsidRDefault="003E3BA9">
      <w:pPr>
        <w:numPr>
          <w:ilvl w:val="1"/>
          <w:numId w:val="138"/>
        </w:numPr>
        <w:spacing w:after="5" w:line="247" w:lineRule="auto"/>
        <w:ind w:right="244" w:hanging="360"/>
        <w:jc w:val="both"/>
      </w:pPr>
      <w:r>
        <w:rPr>
          <w:rFonts w:ascii="Arial" w:eastAsia="Arial" w:hAnsi="Arial" w:cs="Arial"/>
        </w:rPr>
        <w:t xml:space="preserve">Gastos de reparación, mantenimiento y conservación de bienes propios o arrendados. Las reparaciones importantes y de gran entidad que supongan un evidente incremento de capacidad y rendimiento o alargamiento de la vida útil del bien no podrán incluirse en </w:t>
      </w:r>
      <w:r>
        <w:rPr>
          <w:rFonts w:ascii="Arial" w:eastAsia="Arial" w:hAnsi="Arial" w:cs="Arial"/>
        </w:rPr>
        <w:t xml:space="preserve">el capítulo IV por tratarse de obras de inversión. </w:t>
      </w:r>
    </w:p>
    <w:p w:rsidR="00FF384B" w:rsidRDefault="003E3BA9">
      <w:pPr>
        <w:numPr>
          <w:ilvl w:val="1"/>
          <w:numId w:val="138"/>
        </w:numPr>
        <w:spacing w:after="5" w:line="247" w:lineRule="auto"/>
        <w:ind w:right="244" w:hanging="360"/>
        <w:jc w:val="both"/>
      </w:pPr>
      <w:r>
        <w:rPr>
          <w:rFonts w:ascii="Arial" w:eastAsia="Arial" w:hAnsi="Arial" w:cs="Arial"/>
        </w:rPr>
        <w:t xml:space="preserve">Adquisición de material de oficina no inventariable. </w:t>
      </w:r>
    </w:p>
    <w:p w:rsidR="00FF384B" w:rsidRDefault="003E3BA9">
      <w:pPr>
        <w:numPr>
          <w:ilvl w:val="1"/>
          <w:numId w:val="138"/>
        </w:numPr>
        <w:spacing w:after="5" w:line="247" w:lineRule="auto"/>
        <w:ind w:right="244" w:hanging="360"/>
        <w:jc w:val="both"/>
      </w:pPr>
      <w:r>
        <w:rPr>
          <w:rFonts w:ascii="Arial" w:eastAsia="Arial" w:hAnsi="Arial" w:cs="Arial"/>
        </w:rPr>
        <w:t xml:space="preserve">Suministros de agua, gas, energía eléctrica, teléfono, no incluidos en el precio de los arrendamientos. </w:t>
      </w:r>
    </w:p>
    <w:p w:rsidR="00FF384B" w:rsidRDefault="003E3BA9">
      <w:pPr>
        <w:numPr>
          <w:ilvl w:val="1"/>
          <w:numId w:val="138"/>
        </w:numPr>
        <w:spacing w:after="5" w:line="247" w:lineRule="auto"/>
        <w:ind w:right="244" w:hanging="360"/>
        <w:jc w:val="both"/>
      </w:pPr>
      <w:r>
        <w:rPr>
          <w:rFonts w:ascii="Arial" w:eastAsia="Arial" w:hAnsi="Arial" w:cs="Arial"/>
        </w:rPr>
        <w:t xml:space="preserve">Vestuario y otras prendas necesarias para el </w:t>
      </w:r>
      <w:r>
        <w:rPr>
          <w:rFonts w:ascii="Arial" w:eastAsia="Arial" w:hAnsi="Arial" w:cs="Arial"/>
        </w:rPr>
        <w:t xml:space="preserve">ejercicio de una actividad concreta y específica. </w:t>
      </w:r>
    </w:p>
    <w:p w:rsidR="00FF384B" w:rsidRDefault="003E3BA9">
      <w:pPr>
        <w:numPr>
          <w:ilvl w:val="1"/>
          <w:numId w:val="138"/>
        </w:numPr>
        <w:spacing w:after="5" w:line="247" w:lineRule="auto"/>
        <w:ind w:right="244" w:hanging="360"/>
        <w:jc w:val="both"/>
      </w:pPr>
      <w:r>
        <w:rPr>
          <w:rFonts w:ascii="Arial" w:eastAsia="Arial" w:hAnsi="Arial" w:cs="Arial"/>
        </w:rPr>
        <w:t xml:space="preserve">Productos farmacéuticos, sanitarios y de limpieza. </w:t>
      </w:r>
    </w:p>
    <w:p w:rsidR="00FF384B" w:rsidRDefault="003E3BA9">
      <w:pPr>
        <w:numPr>
          <w:ilvl w:val="1"/>
          <w:numId w:val="138"/>
        </w:numPr>
        <w:spacing w:after="5" w:line="247" w:lineRule="auto"/>
        <w:ind w:right="244" w:hanging="360"/>
        <w:jc w:val="both"/>
      </w:pPr>
      <w:r>
        <w:rPr>
          <w:rFonts w:ascii="Arial" w:eastAsia="Arial" w:hAnsi="Arial" w:cs="Arial"/>
        </w:rPr>
        <w:t xml:space="preserve">Otros gastos diversos, entre ellos los de publicidad, la organización de reuniones y conferencias. </w:t>
      </w:r>
    </w:p>
    <w:p w:rsidR="00FF384B" w:rsidRDefault="003E3BA9">
      <w:pPr>
        <w:numPr>
          <w:ilvl w:val="1"/>
          <w:numId w:val="138"/>
        </w:numPr>
        <w:spacing w:after="5" w:line="247" w:lineRule="auto"/>
        <w:ind w:right="244" w:hanging="360"/>
        <w:jc w:val="both"/>
      </w:pPr>
      <w:r>
        <w:rPr>
          <w:rFonts w:ascii="Arial" w:eastAsia="Arial" w:hAnsi="Arial" w:cs="Arial"/>
        </w:rPr>
        <w:t xml:space="preserve">e) Servicios profesionales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noProof/>
        </w:rPr>
        <mc:AlternateContent>
          <mc:Choice Requires="wpg">
            <w:drawing>
              <wp:anchor distT="0" distB="0" distL="114300" distR="114300" simplePos="0" relativeHeight="2517872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463" name="Group 46046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533" name="Picture 25533"/>
                          <pic:cNvPicPr/>
                        </pic:nvPicPr>
                        <pic:blipFill>
                          <a:blip r:embed="rId62"/>
                          <a:stretch>
                            <a:fillRect/>
                          </a:stretch>
                        </pic:blipFill>
                        <pic:spPr>
                          <a:xfrm rot="-5399999">
                            <a:off x="-1720849" y="1720849"/>
                            <a:ext cx="3797300" cy="355601"/>
                          </a:xfrm>
                          <a:prstGeom prst="rect">
                            <a:avLst/>
                          </a:prstGeom>
                        </pic:spPr>
                      </pic:pic>
                      <wps:wsp>
                        <wps:cNvPr id="25534" name="Rectangle 2553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w:t>
                              </w:r>
                              <w:r>
                                <w:rPr>
                                  <w:rFonts w:ascii="Arial" w:eastAsia="Arial" w:hAnsi="Arial" w:cs="Arial"/>
                                  <w:sz w:val="12"/>
                                </w:rPr>
                                <w:t xml:space="preserve">2ADAG9QWZ53RMHD5RCHL7K | Verificación: https://candelaria.sedelectronica.es/ </w:t>
                              </w:r>
                            </w:p>
                          </w:txbxContent>
                        </wps:txbx>
                        <wps:bodyPr horzOverflow="overflow" vert="horz" lIns="0" tIns="0" rIns="0" bIns="0" rtlCol="0">
                          <a:noAutofit/>
                        </wps:bodyPr>
                      </wps:wsp>
                      <wps:wsp>
                        <wps:cNvPr id="25535" name="Rectangle 2553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0463" style="width:41.2715pt;height:299pt;position:absolute;mso-position-horizontal-relative:page;mso-position-horizontal:absolute;margin-left:653.71pt;mso-position-vertical-relative:page;margin-top:512.92pt;" coordsize="5241,37973">
                <v:shape id="Picture 25533" style="position:absolute;width:37973;height:3556;left:-17208;top:17208;rotation:-89;" filled="f">
                  <v:imagedata r:id="rId63"/>
                </v:shape>
                <v:rect id="Rectangle 2553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53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353 </w:t>
                        </w:r>
                      </w:p>
                    </w:txbxContent>
                  </v:textbox>
                </v:rect>
                <w10:wrap type="square"/>
              </v:group>
            </w:pict>
          </mc:Fallback>
        </mc:AlternateContent>
      </w:r>
      <w:r>
        <w:rPr>
          <w:rFonts w:ascii="Arial" w:eastAsia="Arial" w:hAnsi="Arial" w:cs="Arial"/>
        </w:rPr>
        <w:t>Todos ellos, siempre y cuando no estén excluidos en la convocatoria de la subvenc</w:t>
      </w:r>
      <w:r>
        <w:rPr>
          <w:rFonts w:ascii="Arial" w:eastAsia="Arial" w:hAnsi="Arial" w:cs="Arial"/>
        </w:rPr>
        <w:t xml:space="preserve">ión o en el convenio de colaboración.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2. En ningún caso podrá efectuarse adquisición de bienes inventariables con cargo a capítulo IV del presupuesto de Gastos -Transferencias Corrientes-.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w:t>
      </w:r>
      <w:r>
        <w:rPr>
          <w:rFonts w:ascii="Arial" w:eastAsia="Arial" w:hAnsi="Arial" w:cs="Arial"/>
          <w:b/>
        </w:rPr>
        <w:tab/>
        <w:t xml:space="preserve">34. </w:t>
      </w:r>
      <w:r>
        <w:rPr>
          <w:rFonts w:ascii="Arial" w:eastAsia="Arial" w:hAnsi="Arial" w:cs="Arial"/>
          <w:b/>
        </w:rPr>
        <w:tab/>
        <w:t xml:space="preserve">Gastos </w:t>
      </w:r>
      <w:r>
        <w:rPr>
          <w:rFonts w:ascii="Arial" w:eastAsia="Arial" w:hAnsi="Arial" w:cs="Arial"/>
          <w:b/>
        </w:rPr>
        <w:tab/>
        <w:t xml:space="preserve">correspondientes </w:t>
      </w:r>
      <w:r>
        <w:rPr>
          <w:rFonts w:ascii="Arial" w:eastAsia="Arial" w:hAnsi="Arial" w:cs="Arial"/>
          <w:b/>
        </w:rPr>
        <w:tab/>
        <w:t xml:space="preserve">a </w:t>
      </w:r>
      <w:r>
        <w:rPr>
          <w:rFonts w:ascii="Arial" w:eastAsia="Arial" w:hAnsi="Arial" w:cs="Arial"/>
          <w:b/>
        </w:rPr>
        <w:tab/>
        <w:t xml:space="preserve">la </w:t>
      </w:r>
      <w:r>
        <w:rPr>
          <w:rFonts w:ascii="Arial" w:eastAsia="Arial" w:hAnsi="Arial" w:cs="Arial"/>
          <w:b/>
        </w:rPr>
        <w:tab/>
        <w:t xml:space="preserve">adquisición, </w:t>
      </w:r>
      <w:r>
        <w:rPr>
          <w:rFonts w:ascii="Arial" w:eastAsia="Arial" w:hAnsi="Arial" w:cs="Arial"/>
          <w:b/>
        </w:rPr>
        <w:tab/>
        <w:t>construcción, rehabilitación y mejora de bienes inventariables y de amortización.</w:t>
      </w:r>
      <w:r>
        <w:rPr>
          <w:rFonts w:ascii="Times New Roman" w:eastAsia="Times New Roman" w:hAnsi="Times New Roman" w:cs="Times New Roman"/>
          <w:sz w:val="24"/>
        </w:rPr>
        <w:t xml:space="preserve"> </w:t>
      </w:r>
    </w:p>
    <w:p w:rsidR="00FF384B" w:rsidRDefault="003E3BA9">
      <w:pPr>
        <w:spacing w:after="134"/>
        <w:ind w:left="643"/>
      </w:pPr>
      <w:r>
        <w:rPr>
          <w:rFonts w:ascii="Arial" w:eastAsia="Arial" w:hAnsi="Arial" w:cs="Arial"/>
          <w:b/>
          <w:color w:val="202020"/>
        </w:rPr>
        <w:t xml:space="preserve"> </w:t>
      </w:r>
    </w:p>
    <w:p w:rsidR="00FF384B" w:rsidRDefault="003E3BA9">
      <w:pPr>
        <w:numPr>
          <w:ilvl w:val="0"/>
          <w:numId w:val="139"/>
        </w:numPr>
        <w:spacing w:after="5" w:line="247" w:lineRule="auto"/>
        <w:ind w:right="244" w:hanging="10"/>
        <w:jc w:val="both"/>
      </w:pPr>
      <w:r>
        <w:rPr>
          <w:rFonts w:ascii="Arial" w:eastAsia="Arial" w:hAnsi="Arial" w:cs="Arial"/>
        </w:rPr>
        <w:t>Los gastos correspondientes a la adquisición, construcción, rehabilitación y mejora de bienes inventariables,</w:t>
      </w:r>
      <w:r>
        <w:rPr>
          <w:rFonts w:ascii="Arial" w:eastAsia="Arial" w:hAnsi="Arial" w:cs="Arial"/>
        </w:rPr>
        <w:t xml:space="preserve"> únicamente serán subvencionables cuando la convocatoria de la subvención, o en su caso, el convenio de colaboración, expresamente lo prevean. </w:t>
      </w:r>
    </w:p>
    <w:p w:rsidR="00FF384B" w:rsidRDefault="003E3BA9">
      <w:pPr>
        <w:spacing w:after="0"/>
        <w:ind w:left="283"/>
      </w:pPr>
      <w:r>
        <w:rPr>
          <w:rFonts w:ascii="Arial" w:eastAsia="Arial" w:hAnsi="Arial" w:cs="Arial"/>
        </w:rPr>
        <w:t xml:space="preserve"> </w:t>
      </w:r>
    </w:p>
    <w:p w:rsidR="00FF384B" w:rsidRDefault="003E3BA9">
      <w:pPr>
        <w:tabs>
          <w:tab w:val="center" w:pos="283"/>
          <w:tab w:val="center" w:pos="3321"/>
        </w:tabs>
        <w:spacing w:after="359" w:line="247" w:lineRule="auto"/>
      </w:pPr>
      <w:r>
        <w:tab/>
      </w:r>
      <w:r>
        <w:rPr>
          <w:rFonts w:ascii="Arial" w:eastAsia="Arial" w:hAnsi="Arial" w:cs="Arial"/>
        </w:rPr>
        <w:t xml:space="preserve"> </w:t>
      </w:r>
      <w:r>
        <w:rPr>
          <w:rFonts w:ascii="Arial" w:eastAsia="Arial" w:hAnsi="Arial" w:cs="Arial"/>
        </w:rPr>
        <w:tab/>
        <w:t xml:space="preserve">En todo caso, se seguirán las siguientes reglas: </w:t>
      </w:r>
    </w:p>
    <w:p w:rsidR="00FF384B" w:rsidRDefault="003E3BA9">
      <w:pPr>
        <w:numPr>
          <w:ilvl w:val="1"/>
          <w:numId w:val="139"/>
        </w:numPr>
        <w:spacing w:after="172" w:line="247" w:lineRule="auto"/>
        <w:ind w:right="245" w:firstLine="360"/>
        <w:jc w:val="both"/>
      </w:pPr>
      <w:r>
        <w:rPr>
          <w:rFonts w:ascii="Arial" w:eastAsia="Arial" w:hAnsi="Arial" w:cs="Arial"/>
        </w:rPr>
        <w:t xml:space="preserve">Las bases reguladoras fijarán el periodo durante el cual </w:t>
      </w:r>
      <w:r>
        <w:rPr>
          <w:rFonts w:ascii="Arial" w:eastAsia="Arial" w:hAnsi="Arial" w:cs="Arial"/>
        </w:rPr>
        <w:t xml:space="preserve">la persona beneficiaria deberá destinar los bienes al fin concreto para el cual se concedió la subvención, que no podrá ser inferior a cinco años en caso de bienes inscribibles en un registro público, ni a dos años para el resto de bienes. </w:t>
      </w:r>
    </w:p>
    <w:p w:rsidR="00FF384B" w:rsidRDefault="003E3BA9">
      <w:pPr>
        <w:spacing w:after="5" w:line="247" w:lineRule="auto"/>
        <w:ind w:left="268" w:right="244" w:firstLine="360"/>
        <w:jc w:val="both"/>
      </w:pPr>
      <w:r>
        <w:rPr>
          <w:rFonts w:ascii="Arial" w:eastAsia="Arial" w:hAnsi="Arial" w:cs="Arial"/>
        </w:rPr>
        <w:t>En el caso de b</w:t>
      </w:r>
      <w:r>
        <w:rPr>
          <w:rFonts w:ascii="Arial" w:eastAsia="Arial" w:hAnsi="Arial" w:cs="Arial"/>
        </w:rPr>
        <w:t xml:space="preserve">ienes inscribibles en un registro público, deberá hacerse constar en la escritura esta circunstancia, así como el importe de la subvención concedida, debiendo ser objeto estos extremos de inscripción en el registro público correspondiente. </w:t>
      </w:r>
    </w:p>
    <w:p w:rsidR="00FF384B" w:rsidRDefault="003E3BA9">
      <w:pPr>
        <w:numPr>
          <w:ilvl w:val="1"/>
          <w:numId w:val="139"/>
        </w:numPr>
        <w:spacing w:after="12" w:line="249" w:lineRule="auto"/>
        <w:ind w:right="245" w:firstLine="360"/>
        <w:jc w:val="both"/>
      </w:pPr>
      <w:r>
        <w:rPr>
          <w:rFonts w:ascii="Arial" w:eastAsia="Arial" w:hAnsi="Arial" w:cs="Arial"/>
        </w:rPr>
        <w:t>El incumplimien</w:t>
      </w:r>
      <w:r>
        <w:rPr>
          <w:rFonts w:ascii="Arial" w:eastAsia="Arial" w:hAnsi="Arial" w:cs="Arial"/>
        </w:rPr>
        <w:t xml:space="preserve">to de la obligación de destino referida en la letra anterior, que se </w:t>
      </w:r>
    </w:p>
    <w:p w:rsidR="00FF384B" w:rsidRDefault="003E3BA9">
      <w:pPr>
        <w:spacing w:after="174" w:line="247" w:lineRule="auto"/>
        <w:ind w:left="278" w:right="244" w:hanging="10"/>
        <w:jc w:val="both"/>
      </w:pPr>
      <w:r>
        <w:rPr>
          <w:rFonts w:ascii="Arial" w:eastAsia="Arial" w:hAnsi="Arial" w:cs="Arial"/>
        </w:rPr>
        <w:t>producirá en todo caso con la enajenación o el gravamen del bien, será causa de reintegro, quedando el bien afecto al pago del reintegro cualquiera que sea su poseedor, salvo que resulte</w:t>
      </w:r>
      <w:r>
        <w:rPr>
          <w:rFonts w:ascii="Arial" w:eastAsia="Arial" w:hAnsi="Arial" w:cs="Arial"/>
        </w:rPr>
        <w:t xml:space="preserve"> ser un tercero protegido por la fe pública registral, o se justifique la adquisición de los bienes con buena fe y justo título o en establecimiento mercantil o industrial, en caso de bienes muebles no inscribibles. </w:t>
      </w:r>
    </w:p>
    <w:p w:rsidR="00FF384B" w:rsidRDefault="003E3BA9">
      <w:pPr>
        <w:numPr>
          <w:ilvl w:val="0"/>
          <w:numId w:val="139"/>
        </w:numPr>
        <w:spacing w:after="5" w:line="247" w:lineRule="auto"/>
        <w:ind w:right="244" w:hanging="10"/>
        <w:jc w:val="both"/>
      </w:pPr>
      <w:r>
        <w:rPr>
          <w:rFonts w:ascii="Arial" w:eastAsia="Arial" w:hAnsi="Arial" w:cs="Arial"/>
        </w:rPr>
        <w:t>Como regla general no se admitirán como</w:t>
      </w:r>
      <w:r>
        <w:rPr>
          <w:rFonts w:ascii="Arial" w:eastAsia="Arial" w:hAnsi="Arial" w:cs="Arial"/>
        </w:rPr>
        <w:t xml:space="preserve"> gastos subvencionables los destinados a la amortización de bienes inventariables. Excepcionalmente podrán admitirse siempre y cuando la convocatoria de la subvención o, en su caso, el convenio de colaboración así lo expresen y se especifiquen las reglas e</w:t>
      </w:r>
      <w:r>
        <w:rPr>
          <w:rFonts w:ascii="Arial" w:eastAsia="Arial" w:hAnsi="Arial" w:cs="Arial"/>
        </w:rPr>
        <w:t xml:space="preserve">speciales en esta materia. </w:t>
      </w:r>
    </w:p>
    <w:p w:rsidR="00FF384B" w:rsidRDefault="003E3BA9">
      <w:pPr>
        <w:spacing w:after="0"/>
        <w:ind w:left="283"/>
      </w:pPr>
      <w:r>
        <w:rPr>
          <w:rFonts w:ascii="Arial" w:eastAsia="Arial" w:hAnsi="Arial" w:cs="Arial"/>
        </w:rPr>
        <w:t xml:space="preserve"> </w:t>
      </w:r>
    </w:p>
    <w:p w:rsidR="00FF384B" w:rsidRDefault="003E3BA9">
      <w:pPr>
        <w:numPr>
          <w:ilvl w:val="0"/>
          <w:numId w:val="139"/>
        </w:numPr>
        <w:spacing w:after="5" w:line="247" w:lineRule="auto"/>
        <w:ind w:right="244" w:hanging="10"/>
        <w:jc w:val="both"/>
      </w:pPr>
      <w:r>
        <w:rPr>
          <w:rFonts w:ascii="Arial" w:eastAsia="Arial" w:hAnsi="Arial" w:cs="Arial"/>
        </w:rPr>
        <w:t xml:space="preserve">En todo caso, el carácter subvencionable del gasto de amortización de bienes inventariables, estará sujeto a las siguientes condiciones: </w:t>
      </w:r>
    </w:p>
    <w:p w:rsidR="00FF384B" w:rsidRDefault="003E3BA9">
      <w:pPr>
        <w:spacing w:after="0"/>
        <w:ind w:left="283"/>
      </w:pPr>
      <w:r>
        <w:rPr>
          <w:rFonts w:ascii="Arial" w:eastAsia="Arial" w:hAnsi="Arial" w:cs="Arial"/>
        </w:rPr>
        <w:t xml:space="preserve"> </w:t>
      </w:r>
    </w:p>
    <w:p w:rsidR="00FF384B" w:rsidRDefault="003E3BA9">
      <w:pPr>
        <w:numPr>
          <w:ilvl w:val="0"/>
          <w:numId w:val="140"/>
        </w:numPr>
        <w:spacing w:after="5" w:line="247" w:lineRule="auto"/>
        <w:ind w:right="244" w:hanging="257"/>
        <w:jc w:val="both"/>
      </w:pPr>
      <w:r>
        <w:rPr>
          <w:rFonts w:ascii="Arial" w:eastAsia="Arial" w:hAnsi="Arial" w:cs="Arial"/>
        </w:rPr>
        <w:t xml:space="preserve">Que las subvenciones no hayan contribuido a la compra de los bienes. </w:t>
      </w:r>
    </w:p>
    <w:p w:rsidR="00FF384B" w:rsidRDefault="003E3BA9">
      <w:pPr>
        <w:spacing w:after="0"/>
        <w:ind w:left="283"/>
      </w:pPr>
      <w:r>
        <w:rPr>
          <w:rFonts w:ascii="Arial" w:eastAsia="Arial" w:hAnsi="Arial" w:cs="Arial"/>
        </w:rPr>
        <w:t xml:space="preserve"> </w:t>
      </w:r>
    </w:p>
    <w:p w:rsidR="00FF384B" w:rsidRDefault="003E3BA9">
      <w:pPr>
        <w:numPr>
          <w:ilvl w:val="0"/>
          <w:numId w:val="140"/>
        </w:numPr>
        <w:spacing w:after="5" w:line="247" w:lineRule="auto"/>
        <w:ind w:right="244" w:hanging="257"/>
        <w:jc w:val="both"/>
      </w:pPr>
      <w:r>
        <w:rPr>
          <w:rFonts w:ascii="Arial" w:eastAsia="Arial" w:hAnsi="Arial" w:cs="Arial"/>
        </w:rPr>
        <w:t xml:space="preserve">Que la amortización se calcule de conformidad con las normas de contabilidad generalmente aceptadas. </w:t>
      </w:r>
    </w:p>
    <w:p w:rsidR="00FF384B" w:rsidRDefault="003E3BA9">
      <w:pPr>
        <w:spacing w:after="0"/>
        <w:ind w:left="283"/>
      </w:pPr>
      <w:r>
        <w:rPr>
          <w:rFonts w:ascii="Arial" w:eastAsia="Arial" w:hAnsi="Arial" w:cs="Arial"/>
        </w:rPr>
        <w:t xml:space="preserve"> </w:t>
      </w:r>
    </w:p>
    <w:p w:rsidR="00FF384B" w:rsidRDefault="003E3BA9">
      <w:pPr>
        <w:numPr>
          <w:ilvl w:val="0"/>
          <w:numId w:val="140"/>
        </w:numPr>
        <w:spacing w:after="5" w:line="247" w:lineRule="auto"/>
        <w:ind w:right="244" w:hanging="257"/>
        <w:jc w:val="both"/>
      </w:pPr>
      <w:r>
        <w:rPr>
          <w:rFonts w:ascii="Arial" w:eastAsia="Arial" w:hAnsi="Arial" w:cs="Arial"/>
        </w:rPr>
        <w:t xml:space="preserve">Que el coste se refiera exclusivamente al período subvencionable.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35. Gastos de superior cuantía. </w:t>
      </w:r>
    </w:p>
    <w:p w:rsidR="00FF384B" w:rsidRDefault="003E3BA9">
      <w:pPr>
        <w:spacing w:after="0"/>
        <w:ind w:left="283"/>
      </w:pPr>
      <w:r>
        <w:rPr>
          <w:noProof/>
        </w:rPr>
        <mc:AlternateContent>
          <mc:Choice Requires="wpg">
            <w:drawing>
              <wp:anchor distT="0" distB="0" distL="114300" distR="114300" simplePos="0" relativeHeight="2517882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0737" name="Group 46073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633" name="Picture 25633"/>
                          <pic:cNvPicPr/>
                        </pic:nvPicPr>
                        <pic:blipFill>
                          <a:blip r:embed="rId62"/>
                          <a:stretch>
                            <a:fillRect/>
                          </a:stretch>
                        </pic:blipFill>
                        <pic:spPr>
                          <a:xfrm rot="-5399999">
                            <a:off x="-1720849" y="1720849"/>
                            <a:ext cx="3797300" cy="355601"/>
                          </a:xfrm>
                          <a:prstGeom prst="rect">
                            <a:avLst/>
                          </a:prstGeom>
                        </pic:spPr>
                      </pic:pic>
                      <wps:wsp>
                        <wps:cNvPr id="25634" name="Rectangle 2563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w:t>
                              </w:r>
                              <w:r>
                                <w:rPr>
                                  <w:rFonts w:ascii="Arial" w:eastAsia="Arial" w:hAnsi="Arial" w:cs="Arial"/>
                                  <w:sz w:val="12"/>
                                </w:rPr>
                                <w:t xml:space="preserve">RCHL7K | Verificación: https://candelaria.sedelectronica.es/ </w:t>
                              </w:r>
                            </w:p>
                          </w:txbxContent>
                        </wps:txbx>
                        <wps:bodyPr horzOverflow="overflow" vert="horz" lIns="0" tIns="0" rIns="0" bIns="0" rtlCol="0">
                          <a:noAutofit/>
                        </wps:bodyPr>
                      </wps:wsp>
                      <wps:wsp>
                        <wps:cNvPr id="25635" name="Rectangle 2563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0737" style="width:41.2715pt;height:299pt;position:absolute;mso-position-horizontal-relative:page;mso-position-horizontal:absolute;margin-left:653.71pt;mso-position-vertical-relative:page;margin-top:512.92pt;" coordsize="5241,37973">
                <v:shape id="Picture 25633" style="position:absolute;width:37973;height:3556;left:-17208;top:17208;rotation:-89;" filled="f">
                  <v:imagedata r:id="rId63"/>
                </v:shape>
                <v:rect id="Rectangle 2563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63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353 </w:t>
                        </w:r>
                      </w:p>
                    </w:txbxContent>
                  </v:textbox>
                </v:rect>
                <w10:wrap type="square"/>
              </v:group>
            </w:pict>
          </mc:Fallback>
        </mc:AlternateContent>
      </w:r>
      <w:r>
        <w:rPr>
          <w:rFonts w:ascii="Arial" w:eastAsia="Arial" w:hAnsi="Arial" w:cs="Arial"/>
        </w:rPr>
        <w:t xml:space="preserve"> </w:t>
      </w:r>
    </w:p>
    <w:p w:rsidR="00FF384B" w:rsidRDefault="003E3BA9">
      <w:pPr>
        <w:numPr>
          <w:ilvl w:val="0"/>
          <w:numId w:val="141"/>
        </w:numPr>
        <w:spacing w:after="5" w:line="247" w:lineRule="auto"/>
        <w:ind w:right="244" w:hanging="10"/>
        <w:jc w:val="both"/>
      </w:pPr>
      <w:r>
        <w:rPr>
          <w:rFonts w:ascii="Arial" w:eastAsia="Arial" w:hAnsi="Arial" w:cs="Arial"/>
        </w:rPr>
        <w:t>Cuando el importe del gasto subvencionable supere las cuantías establecidas en las bases de eje</w:t>
      </w:r>
      <w:r>
        <w:rPr>
          <w:rFonts w:ascii="Arial" w:eastAsia="Arial" w:hAnsi="Arial" w:cs="Arial"/>
        </w:rPr>
        <w:t>cución del presupuesto general municipal para el contrato menor, tanto en el supuesto de coste por ejecución de obra, como en el supuesto de suministro de bienes de equipo o prestación de servicios por empresas de consultoría o asistencia técnica, el benef</w:t>
      </w:r>
      <w:r>
        <w:rPr>
          <w:rFonts w:ascii="Arial" w:eastAsia="Arial" w:hAnsi="Arial" w:cs="Arial"/>
        </w:rPr>
        <w:t>iciario deberá solicitar como mínimo tres ofertas de diferentes proveedores, previamente a la contracción del compromiso para la prestación del servicio o la entrega del bien, salvo que por las especiales características de los gastos subvencionables no ex</w:t>
      </w:r>
      <w:r>
        <w:rPr>
          <w:rFonts w:ascii="Arial" w:eastAsia="Arial" w:hAnsi="Arial" w:cs="Arial"/>
        </w:rPr>
        <w:t xml:space="preserve">ista en el mercado suficiente número de entidades que lo suministren o presten, o salvo que el gasto se hubiera realizado con anterioridad a la solicitud de la subvención. </w:t>
      </w:r>
    </w:p>
    <w:p w:rsidR="00FF384B" w:rsidRDefault="003E3BA9">
      <w:pPr>
        <w:spacing w:after="0"/>
        <w:ind w:left="283"/>
      </w:pPr>
      <w:r>
        <w:rPr>
          <w:rFonts w:ascii="Arial" w:eastAsia="Arial" w:hAnsi="Arial" w:cs="Arial"/>
        </w:rPr>
        <w:t xml:space="preserve"> </w:t>
      </w:r>
    </w:p>
    <w:p w:rsidR="00FF384B" w:rsidRDefault="003E3BA9">
      <w:pPr>
        <w:numPr>
          <w:ilvl w:val="0"/>
          <w:numId w:val="141"/>
        </w:numPr>
        <w:spacing w:after="5" w:line="247" w:lineRule="auto"/>
        <w:ind w:right="244" w:hanging="10"/>
        <w:jc w:val="both"/>
      </w:pPr>
      <w:r>
        <w:rPr>
          <w:rFonts w:ascii="Arial" w:eastAsia="Arial" w:hAnsi="Arial" w:cs="Arial"/>
        </w:rPr>
        <w:t>Las ofertas presentadas deberán aportarse con la justificación o, en su caso, en la solicitud de la subvención. La elección entre las ofertas presentadas deberá realizarse conforme a criterios de eficiencia y economía, debiendo justificarse expresamente en</w:t>
      </w:r>
      <w:r>
        <w:rPr>
          <w:rFonts w:ascii="Arial" w:eastAsia="Arial" w:hAnsi="Arial" w:cs="Arial"/>
        </w:rPr>
        <w:t xml:space="preserve"> la memoria de evaluación la elección cuando no recaiga en la propuesta económica más ventajosa, o la inexistencia en el mercado de diversidad de proveedores o prestadores del servicio de que se trate.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right="255" w:hanging="3"/>
        <w:jc w:val="both"/>
      </w:pPr>
      <w:r>
        <w:rPr>
          <w:rFonts w:ascii="Arial" w:eastAsia="Arial" w:hAnsi="Arial" w:cs="Arial"/>
          <w:b/>
        </w:rPr>
        <w:t>Artículo 36. Gastos financieros, gastos de asesor</w:t>
      </w:r>
      <w:r>
        <w:rPr>
          <w:rFonts w:ascii="Arial" w:eastAsia="Arial" w:hAnsi="Arial" w:cs="Arial"/>
          <w:b/>
        </w:rPr>
        <w:t xml:space="preserve">ía jurídica o financiera, gastos notariales y registrales, gastos periciales, gastos de administración específicos y gastos de naturaleza tributaria.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1. Los gastos financieros, los gastos de asesoría jurídica o financiera, los gastos notariales y regist</w:t>
      </w:r>
      <w:r>
        <w:rPr>
          <w:rFonts w:ascii="Arial" w:eastAsia="Arial" w:hAnsi="Arial" w:cs="Arial"/>
        </w:rPr>
        <w:t>rales y los gastos periciales para la realización del proyecto subvencionado y los de administración específicos son subvencionables si están directamente relacionados con la actividad subvencionada y son indispensables para la adecuada preparación o ejecu</w:t>
      </w:r>
      <w:r>
        <w:rPr>
          <w:rFonts w:ascii="Arial" w:eastAsia="Arial" w:hAnsi="Arial" w:cs="Arial"/>
        </w:rPr>
        <w:t xml:space="preserve">ción de la misma, y siempre que así se prevea en las bases reguladoras o convocatoria. Con carácter excepcional, los gastos de garantía bancaria podrán ser subvencionados cuando así lo prevea la normativa reguladora de la subvención.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En ningún caso se c</w:t>
      </w:r>
      <w:r>
        <w:rPr>
          <w:rFonts w:ascii="Arial" w:eastAsia="Arial" w:hAnsi="Arial" w:cs="Arial"/>
        </w:rPr>
        <w:t xml:space="preserve">onsiderarán gastos subvencionables los siguientes: </w:t>
      </w:r>
    </w:p>
    <w:p w:rsidR="00FF384B" w:rsidRDefault="003E3BA9">
      <w:pPr>
        <w:spacing w:after="0"/>
        <w:ind w:left="283"/>
      </w:pPr>
      <w:r>
        <w:rPr>
          <w:rFonts w:ascii="Arial" w:eastAsia="Arial" w:hAnsi="Arial" w:cs="Arial"/>
        </w:rPr>
        <w:t xml:space="preserve"> </w:t>
      </w:r>
    </w:p>
    <w:p w:rsidR="00FF384B" w:rsidRDefault="003E3BA9">
      <w:pPr>
        <w:numPr>
          <w:ilvl w:val="0"/>
          <w:numId w:val="142"/>
        </w:numPr>
        <w:spacing w:after="5" w:line="247" w:lineRule="auto"/>
        <w:ind w:right="244" w:hanging="259"/>
        <w:jc w:val="both"/>
      </w:pPr>
      <w:r>
        <w:rPr>
          <w:rFonts w:ascii="Arial" w:eastAsia="Arial" w:hAnsi="Arial" w:cs="Arial"/>
        </w:rPr>
        <w:t xml:space="preserve">Los intereses deudores de las cuentas bancarias. </w:t>
      </w:r>
    </w:p>
    <w:p w:rsidR="00FF384B" w:rsidRDefault="003E3BA9">
      <w:pPr>
        <w:numPr>
          <w:ilvl w:val="0"/>
          <w:numId w:val="142"/>
        </w:numPr>
        <w:spacing w:after="5" w:line="247" w:lineRule="auto"/>
        <w:ind w:right="244" w:hanging="259"/>
        <w:jc w:val="both"/>
      </w:pPr>
      <w:r>
        <w:rPr>
          <w:rFonts w:ascii="Arial" w:eastAsia="Arial" w:hAnsi="Arial" w:cs="Arial"/>
        </w:rPr>
        <w:t xml:space="preserve">Los intereses, recargos y sanciones administrativas y penales. </w:t>
      </w:r>
    </w:p>
    <w:p w:rsidR="00FF384B" w:rsidRDefault="003E3BA9">
      <w:pPr>
        <w:numPr>
          <w:ilvl w:val="0"/>
          <w:numId w:val="142"/>
        </w:numPr>
        <w:spacing w:after="5" w:line="247" w:lineRule="auto"/>
        <w:ind w:right="244" w:hanging="259"/>
        <w:jc w:val="both"/>
      </w:pPr>
      <w:r>
        <w:rPr>
          <w:rFonts w:ascii="Arial" w:eastAsia="Arial" w:hAnsi="Arial" w:cs="Arial"/>
        </w:rPr>
        <w:t xml:space="preserve">Los gastos de procedimientos judiciales. </w:t>
      </w:r>
    </w:p>
    <w:p w:rsidR="00FF384B" w:rsidRDefault="003E3BA9">
      <w:pPr>
        <w:spacing w:after="0"/>
        <w:ind w:left="283"/>
      </w:pPr>
      <w:r>
        <w:rPr>
          <w:rFonts w:ascii="Arial" w:eastAsia="Arial" w:hAnsi="Arial" w:cs="Arial"/>
        </w:rPr>
        <w:t xml:space="preserve"> </w:t>
      </w:r>
    </w:p>
    <w:p w:rsidR="00FF384B" w:rsidRDefault="003E3BA9">
      <w:pPr>
        <w:numPr>
          <w:ilvl w:val="0"/>
          <w:numId w:val="143"/>
        </w:numPr>
        <w:spacing w:after="5" w:line="247" w:lineRule="auto"/>
        <w:ind w:right="244" w:hanging="10"/>
        <w:jc w:val="both"/>
      </w:pPr>
      <w:r>
        <w:rPr>
          <w:rFonts w:ascii="Arial" w:eastAsia="Arial" w:hAnsi="Arial" w:cs="Arial"/>
        </w:rPr>
        <w:t>Los tributos son gasto subvencionable cuando</w:t>
      </w:r>
      <w:r>
        <w:rPr>
          <w:rFonts w:ascii="Arial" w:eastAsia="Arial" w:hAnsi="Arial" w:cs="Arial"/>
        </w:rPr>
        <w:t xml:space="preserve"> la persona beneficiaria de la subvención los abona efectivamente. En ningún caso se consideran gastos subvencionables los impuestos indirectos cuando sean susceptibles de recuperación o compensación ni los impuestos personales sobre la renta.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En cuanto al Impuesto General Indirectos Canario (IGIC) únicamente serán gastos subvencionables aquellas cantidades abonadas por el beneficiario que representen un coste real, es decir que haya sido efectivamente abonado, y que no sea deducible. </w:t>
      </w:r>
    </w:p>
    <w:p w:rsidR="00FF384B" w:rsidRDefault="003E3BA9">
      <w:pPr>
        <w:spacing w:after="0"/>
        <w:ind w:left="991"/>
      </w:pPr>
      <w:r>
        <w:rPr>
          <w:rFonts w:ascii="Arial" w:eastAsia="Arial" w:hAnsi="Arial" w:cs="Arial"/>
        </w:rPr>
        <w:t xml:space="preserve"> </w:t>
      </w:r>
    </w:p>
    <w:p w:rsidR="00FF384B" w:rsidRDefault="003E3BA9">
      <w:pPr>
        <w:numPr>
          <w:ilvl w:val="0"/>
          <w:numId w:val="143"/>
        </w:numPr>
        <w:spacing w:after="5" w:line="247" w:lineRule="auto"/>
        <w:ind w:right="244" w:hanging="10"/>
        <w:jc w:val="both"/>
      </w:pPr>
      <w:r>
        <w:rPr>
          <w:noProof/>
        </w:rPr>
        <mc:AlternateContent>
          <mc:Choice Requires="wpg">
            <w:drawing>
              <wp:anchor distT="0" distB="0" distL="114300" distR="114300" simplePos="0" relativeHeight="2517893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1119" name="Group 46111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739" name="Picture 25739"/>
                          <pic:cNvPicPr/>
                        </pic:nvPicPr>
                        <pic:blipFill>
                          <a:blip r:embed="rId62"/>
                          <a:stretch>
                            <a:fillRect/>
                          </a:stretch>
                        </pic:blipFill>
                        <pic:spPr>
                          <a:xfrm rot="-5399999">
                            <a:off x="-1720849" y="1720849"/>
                            <a:ext cx="3797300" cy="355601"/>
                          </a:xfrm>
                          <a:prstGeom prst="rect">
                            <a:avLst/>
                          </a:prstGeom>
                        </pic:spPr>
                      </pic:pic>
                      <wps:wsp>
                        <wps:cNvPr id="25740" name="Rectangle 2574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w:t>
                              </w:r>
                              <w:r>
                                <w:rPr>
                                  <w:rFonts w:ascii="Arial" w:eastAsia="Arial" w:hAnsi="Arial" w:cs="Arial"/>
                                  <w:sz w:val="12"/>
                                </w:rPr>
                                <w:t xml:space="preserve"> Validación: 9792ADAG9QWZ53RMHD5RCHL7K | Verificación: https://candelaria.sedelectronica.es/ </w:t>
                              </w:r>
                            </w:p>
                          </w:txbxContent>
                        </wps:txbx>
                        <wps:bodyPr horzOverflow="overflow" vert="horz" lIns="0" tIns="0" rIns="0" bIns="0" rtlCol="0">
                          <a:noAutofit/>
                        </wps:bodyPr>
                      </wps:wsp>
                      <wps:wsp>
                        <wps:cNvPr id="25741" name="Rectangle 2574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1119" style="width:41.2715pt;height:299pt;position:absolute;mso-position-horizontal-relative:page;mso-position-horizontal:absolute;margin-left:653.71pt;mso-position-vertical-relative:page;margin-top:512.92pt;" coordsize="5241,37973">
                <v:shape id="Picture 25739" style="position:absolute;width:37973;height:3556;left:-17208;top:17208;rotation:-89;" filled="f">
                  <v:imagedata r:id="rId63"/>
                </v:shape>
                <v:rect id="Rectangle 2574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74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353 </w:t>
                        </w:r>
                      </w:p>
                    </w:txbxContent>
                  </v:textbox>
                </v:rect>
                <w10:wrap type="square"/>
              </v:group>
            </w:pict>
          </mc:Fallback>
        </mc:AlternateContent>
      </w:r>
      <w:r>
        <w:rPr>
          <w:rFonts w:ascii="Arial" w:eastAsia="Arial" w:hAnsi="Arial" w:cs="Arial"/>
        </w:rPr>
        <w:t>Los costes indirectos habrán de imputarse por el beneficiario a l</w:t>
      </w:r>
      <w:r>
        <w:rPr>
          <w:rFonts w:ascii="Arial" w:eastAsia="Arial" w:hAnsi="Arial" w:cs="Arial"/>
        </w:rPr>
        <w:t>a actividad subvencionada en la parte que razonablemente corresponda de acuerdo con principios y normas de contabilidad generalmente admitidas y, en todo caso, en la medida que tales costes correspondan al periodo en que efectivamente se realiza la activid</w:t>
      </w:r>
      <w:r>
        <w:rPr>
          <w:rFonts w:ascii="Arial" w:eastAsia="Arial" w:hAnsi="Arial" w:cs="Arial"/>
        </w:rPr>
        <w:t xml:space="preserve">ad.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37. Subcontratación. </w:t>
      </w:r>
    </w:p>
    <w:p w:rsidR="00FF384B" w:rsidRDefault="003E3BA9">
      <w:pPr>
        <w:spacing w:after="0"/>
        <w:ind w:left="283"/>
      </w:pPr>
      <w:r>
        <w:rPr>
          <w:rFonts w:ascii="Arial" w:eastAsia="Arial" w:hAnsi="Arial" w:cs="Arial"/>
        </w:rPr>
        <w:t xml:space="preserve"> </w:t>
      </w:r>
    </w:p>
    <w:p w:rsidR="00FF384B" w:rsidRDefault="003E3BA9">
      <w:pPr>
        <w:numPr>
          <w:ilvl w:val="0"/>
          <w:numId w:val="144"/>
        </w:numPr>
        <w:spacing w:after="5" w:line="247" w:lineRule="auto"/>
        <w:ind w:right="244" w:hanging="10"/>
        <w:jc w:val="both"/>
      </w:pPr>
      <w:r>
        <w:rPr>
          <w:rFonts w:ascii="Arial" w:eastAsia="Arial" w:hAnsi="Arial" w:cs="Arial"/>
        </w:rPr>
        <w:t xml:space="preserve">Se entiende subcontratación, cuando el beneficiario concierta con terceras personas la ejecución total o parcial de la actividad que constituye objeto de la subvención. Queda fuera de este concepto la contratación </w:t>
      </w:r>
      <w:r>
        <w:rPr>
          <w:rFonts w:ascii="Arial" w:eastAsia="Arial" w:hAnsi="Arial" w:cs="Arial"/>
        </w:rPr>
        <w:t xml:space="preserve">de aquellos gastos en que tenga que incurrir el beneficiario para la realización por sí mismo de la actividad subvencionada. </w:t>
      </w:r>
    </w:p>
    <w:p w:rsidR="00FF384B" w:rsidRDefault="003E3BA9">
      <w:pPr>
        <w:spacing w:after="0"/>
        <w:ind w:left="283"/>
      </w:pPr>
      <w:r>
        <w:rPr>
          <w:rFonts w:ascii="Arial" w:eastAsia="Arial" w:hAnsi="Arial" w:cs="Arial"/>
        </w:rPr>
        <w:t xml:space="preserve"> </w:t>
      </w:r>
    </w:p>
    <w:p w:rsidR="00FF384B" w:rsidRDefault="003E3BA9">
      <w:pPr>
        <w:numPr>
          <w:ilvl w:val="0"/>
          <w:numId w:val="144"/>
        </w:numPr>
        <w:spacing w:after="5" w:line="247" w:lineRule="auto"/>
        <w:ind w:right="244" w:hanging="10"/>
        <w:jc w:val="both"/>
      </w:pPr>
      <w:r>
        <w:rPr>
          <w:rFonts w:ascii="Arial" w:eastAsia="Arial" w:hAnsi="Arial" w:cs="Arial"/>
        </w:rPr>
        <w:t xml:space="preserve">Las convocatorias, convenios de colaboración o resoluciones regularán los requisitos de la subcontratación.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68" w:right="244" w:firstLine="708"/>
        <w:jc w:val="both"/>
      </w:pPr>
      <w:r>
        <w:rPr>
          <w:rFonts w:ascii="Arial" w:eastAsia="Arial" w:hAnsi="Arial" w:cs="Arial"/>
        </w:rPr>
        <w:t xml:space="preserve">En el supuesto que tal previsión no figure, el beneficiario podrá subcontratar hasta un porcentaje que no supere el 50% de la actividad subvencionada. </w:t>
      </w:r>
    </w:p>
    <w:p w:rsidR="00FF384B" w:rsidRDefault="003E3BA9">
      <w:pPr>
        <w:numPr>
          <w:ilvl w:val="0"/>
          <w:numId w:val="144"/>
        </w:numPr>
        <w:spacing w:after="5" w:line="247" w:lineRule="auto"/>
        <w:ind w:right="244" w:hanging="10"/>
        <w:jc w:val="both"/>
      </w:pPr>
      <w:r>
        <w:rPr>
          <w:rFonts w:ascii="Arial" w:eastAsia="Arial" w:hAnsi="Arial" w:cs="Arial"/>
        </w:rPr>
        <w:t xml:space="preserve">Cuando la actividad concertada con terceros sobrepase el 20 por 100 del importe de la subvención y dicho importe sea superior a 60.000 euros, la subcontratación estará sometida al cumplimiento de los siguientes requisitos: </w:t>
      </w:r>
    </w:p>
    <w:p w:rsidR="00FF384B" w:rsidRDefault="003E3BA9">
      <w:pPr>
        <w:spacing w:after="0"/>
        <w:ind w:left="283"/>
      </w:pPr>
      <w:r>
        <w:rPr>
          <w:rFonts w:ascii="Arial" w:eastAsia="Arial" w:hAnsi="Arial" w:cs="Arial"/>
        </w:rPr>
        <w:t xml:space="preserve"> </w:t>
      </w:r>
    </w:p>
    <w:p w:rsidR="00FF384B" w:rsidRDefault="003E3BA9">
      <w:pPr>
        <w:numPr>
          <w:ilvl w:val="0"/>
          <w:numId w:val="145"/>
        </w:numPr>
        <w:spacing w:after="5" w:line="247" w:lineRule="auto"/>
        <w:ind w:right="244" w:hanging="257"/>
        <w:jc w:val="both"/>
      </w:pPr>
      <w:r>
        <w:rPr>
          <w:rFonts w:ascii="Arial" w:eastAsia="Arial" w:hAnsi="Arial" w:cs="Arial"/>
        </w:rPr>
        <w:t>Que el contrato se celebre por</w:t>
      </w:r>
      <w:r>
        <w:rPr>
          <w:rFonts w:ascii="Arial" w:eastAsia="Arial" w:hAnsi="Arial" w:cs="Arial"/>
        </w:rPr>
        <w:t xml:space="preserve"> escrito. </w:t>
      </w:r>
    </w:p>
    <w:p w:rsidR="00FF384B" w:rsidRDefault="003E3BA9">
      <w:pPr>
        <w:spacing w:after="0"/>
        <w:ind w:left="283"/>
      </w:pPr>
      <w:r>
        <w:rPr>
          <w:rFonts w:ascii="Arial" w:eastAsia="Arial" w:hAnsi="Arial" w:cs="Arial"/>
        </w:rPr>
        <w:t xml:space="preserve"> </w:t>
      </w:r>
    </w:p>
    <w:p w:rsidR="00FF384B" w:rsidRDefault="003E3BA9">
      <w:pPr>
        <w:numPr>
          <w:ilvl w:val="0"/>
          <w:numId w:val="145"/>
        </w:numPr>
        <w:spacing w:after="5" w:line="247" w:lineRule="auto"/>
        <w:ind w:right="244" w:hanging="257"/>
        <w:jc w:val="both"/>
      </w:pPr>
      <w:r>
        <w:rPr>
          <w:rFonts w:ascii="Arial" w:eastAsia="Arial" w:hAnsi="Arial" w:cs="Arial"/>
        </w:rPr>
        <w:t xml:space="preserve">Que la celebración del mismo se autorice previamente por la entidad concedente de la subvención en la forma en que se determine en la convocatoria.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Artículo 38. Financiación de gastos subvencionables. </w:t>
      </w:r>
    </w:p>
    <w:p w:rsidR="00FF384B" w:rsidRDefault="003E3BA9">
      <w:pPr>
        <w:spacing w:after="0"/>
        <w:ind w:left="283"/>
      </w:pPr>
      <w:r>
        <w:rPr>
          <w:rFonts w:ascii="Arial" w:eastAsia="Arial" w:hAnsi="Arial" w:cs="Arial"/>
          <w:b/>
        </w:rPr>
        <w:t xml:space="preserve"> </w:t>
      </w:r>
    </w:p>
    <w:p w:rsidR="00FF384B" w:rsidRDefault="003E3BA9">
      <w:pPr>
        <w:numPr>
          <w:ilvl w:val="0"/>
          <w:numId w:val="146"/>
        </w:numPr>
        <w:spacing w:after="5" w:line="247" w:lineRule="auto"/>
        <w:ind w:right="244" w:hanging="10"/>
        <w:jc w:val="both"/>
      </w:pPr>
      <w:r>
        <w:rPr>
          <w:rFonts w:ascii="Arial" w:eastAsia="Arial" w:hAnsi="Arial" w:cs="Arial"/>
        </w:rPr>
        <w:t>La financiación de los gastos subv</w:t>
      </w:r>
      <w:r>
        <w:rPr>
          <w:rFonts w:ascii="Arial" w:eastAsia="Arial" w:hAnsi="Arial" w:cs="Arial"/>
        </w:rPr>
        <w:t xml:space="preserve">encionables, con carácter general no podrá superar el 80% de los mismos, con la excepción de las subvenciones directas por razones humanitarias y de acción social, que podrán financiarse al 100% y en las demás </w:t>
      </w:r>
    </w:p>
    <w:p w:rsidR="00FF384B" w:rsidRDefault="003E3BA9">
      <w:pPr>
        <w:spacing w:after="5" w:line="247" w:lineRule="auto"/>
        <w:ind w:left="278" w:right="244" w:hanging="10"/>
        <w:jc w:val="both"/>
      </w:pPr>
      <w:r>
        <w:rPr>
          <w:rFonts w:ascii="Arial" w:eastAsia="Arial" w:hAnsi="Arial" w:cs="Arial"/>
        </w:rPr>
        <w:t>subvenciones en donde las convocatorias estab</w:t>
      </w:r>
      <w:r>
        <w:rPr>
          <w:rFonts w:ascii="Arial" w:eastAsia="Arial" w:hAnsi="Arial" w:cs="Arial"/>
        </w:rPr>
        <w:t xml:space="preserve">lezcan otra cosa, </w:t>
      </w:r>
    </w:p>
    <w:p w:rsidR="00FF384B" w:rsidRDefault="003E3BA9">
      <w:pPr>
        <w:spacing w:after="5" w:line="247" w:lineRule="auto"/>
        <w:ind w:left="278" w:right="244" w:hanging="10"/>
        <w:jc w:val="both"/>
      </w:pPr>
      <w:r>
        <w:rPr>
          <w:rFonts w:ascii="Arial" w:eastAsia="Arial" w:hAnsi="Arial" w:cs="Arial"/>
        </w:rPr>
        <w:t xml:space="preserve">siempre y cuando así esté previsto en la revisión anual del Plan Estratégico Municipal de Subvenciones. </w:t>
      </w:r>
    </w:p>
    <w:p w:rsidR="00FF384B" w:rsidRDefault="003E3BA9">
      <w:pPr>
        <w:spacing w:after="0"/>
        <w:ind w:left="283"/>
      </w:pPr>
      <w:r>
        <w:rPr>
          <w:rFonts w:ascii="Arial" w:eastAsia="Arial" w:hAnsi="Arial" w:cs="Arial"/>
        </w:rPr>
        <w:t xml:space="preserve"> </w:t>
      </w:r>
    </w:p>
    <w:p w:rsidR="00FF384B" w:rsidRDefault="003E3BA9">
      <w:pPr>
        <w:numPr>
          <w:ilvl w:val="0"/>
          <w:numId w:val="146"/>
        </w:numPr>
        <w:spacing w:after="5" w:line="247" w:lineRule="auto"/>
        <w:ind w:right="244" w:hanging="10"/>
        <w:jc w:val="both"/>
      </w:pPr>
      <w:r>
        <w:rPr>
          <w:rFonts w:ascii="Arial" w:eastAsia="Arial" w:hAnsi="Arial" w:cs="Arial"/>
        </w:rPr>
        <w:t>Si el beneficiario percibe más ayudas públicas para la misma actividad, la suma de ellas no podrá suponer más del 80 % del coste d</w:t>
      </w:r>
      <w:r>
        <w:rPr>
          <w:rFonts w:ascii="Arial" w:eastAsia="Arial" w:hAnsi="Arial" w:cs="Arial"/>
        </w:rPr>
        <w:t xml:space="preserve">e la actividad subvencionada salvo en los supuestos previstos en el apartado anterior. Si de la suma de las ayudas públicas se superase dicho porcentaje, la aportación del Ayuntamiento, deberá reducir su importe hasta cumplir con ese porcentaje. </w:t>
      </w:r>
    </w:p>
    <w:p w:rsidR="00FF384B" w:rsidRDefault="003E3BA9">
      <w:pPr>
        <w:spacing w:after="0"/>
        <w:ind w:left="283"/>
      </w:pPr>
      <w:r>
        <w:rPr>
          <w:rFonts w:ascii="Arial" w:eastAsia="Arial" w:hAnsi="Arial" w:cs="Arial"/>
        </w:rPr>
        <w:t xml:space="preserve"> </w:t>
      </w:r>
    </w:p>
    <w:p w:rsidR="00FF384B" w:rsidRDefault="003E3BA9">
      <w:pPr>
        <w:numPr>
          <w:ilvl w:val="0"/>
          <w:numId w:val="146"/>
        </w:numPr>
        <w:spacing w:after="5" w:line="247" w:lineRule="auto"/>
        <w:ind w:right="244" w:hanging="10"/>
        <w:jc w:val="both"/>
      </w:pPr>
      <w:r>
        <w:rPr>
          <w:rFonts w:ascii="Arial" w:eastAsia="Arial" w:hAnsi="Arial" w:cs="Arial"/>
        </w:rPr>
        <w:t>En la c</w:t>
      </w:r>
      <w:r>
        <w:rPr>
          <w:rFonts w:ascii="Arial" w:eastAsia="Arial" w:hAnsi="Arial" w:cs="Arial"/>
        </w:rPr>
        <w:t>onvocatoria de la subvención o en el contenido de los convenios de colaboración o resolución, se establecerá el porcentaje de financiación no municipal para cubrir la actividad subvencionada. Deberá justificarse el importe, procedencia y aplicación a la ac</w:t>
      </w:r>
      <w:r>
        <w:rPr>
          <w:rFonts w:ascii="Arial" w:eastAsia="Arial" w:hAnsi="Arial" w:cs="Arial"/>
        </w:rPr>
        <w:t xml:space="preserve">tividad subvencionada, de la mencionada financiación. </w:t>
      </w:r>
    </w:p>
    <w:p w:rsidR="00FF384B" w:rsidRDefault="003E3BA9">
      <w:pPr>
        <w:spacing w:after="0"/>
        <w:ind w:left="283"/>
      </w:pPr>
      <w:r>
        <w:rPr>
          <w:rFonts w:ascii="Arial" w:eastAsia="Arial" w:hAnsi="Arial" w:cs="Arial"/>
        </w:rPr>
        <w:t xml:space="preserve"> </w:t>
      </w:r>
    </w:p>
    <w:p w:rsidR="00FF384B" w:rsidRDefault="003E3BA9">
      <w:pPr>
        <w:numPr>
          <w:ilvl w:val="0"/>
          <w:numId w:val="146"/>
        </w:numPr>
        <w:spacing w:after="5" w:line="247" w:lineRule="auto"/>
        <w:ind w:right="244" w:hanging="10"/>
        <w:jc w:val="both"/>
      </w:pPr>
      <w:r>
        <w:rPr>
          <w:noProof/>
        </w:rPr>
        <mc:AlternateContent>
          <mc:Choice Requires="wpg">
            <w:drawing>
              <wp:anchor distT="0" distB="0" distL="114300" distR="114300" simplePos="0" relativeHeight="2517903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1390" name="Group 46139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847" name="Picture 25847"/>
                          <pic:cNvPicPr/>
                        </pic:nvPicPr>
                        <pic:blipFill>
                          <a:blip r:embed="rId62"/>
                          <a:stretch>
                            <a:fillRect/>
                          </a:stretch>
                        </pic:blipFill>
                        <pic:spPr>
                          <a:xfrm rot="-5399999">
                            <a:off x="-1720849" y="1720849"/>
                            <a:ext cx="3797300" cy="355601"/>
                          </a:xfrm>
                          <a:prstGeom prst="rect">
                            <a:avLst/>
                          </a:prstGeom>
                        </pic:spPr>
                      </pic:pic>
                      <wps:wsp>
                        <wps:cNvPr id="25848" name="Rectangle 2584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5849" name="Rectangle 2584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1390" style="width:41.2715pt;height:299pt;position:absolute;mso-position-horizontal-relative:page;mso-position-horizontal:absolute;margin-left:653.71pt;mso-position-vertical-relative:page;margin-top:512.92pt;" coordsize="5241,37973">
                <v:shape id="Picture 25847" style="position:absolute;width:37973;height:3556;left:-17208;top:17208;rotation:-89;" filled="f">
                  <v:imagedata r:id="rId63"/>
                </v:shape>
                <v:rect id="Rectangle 2584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84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353 </w:t>
                        </w:r>
                      </w:p>
                    </w:txbxContent>
                  </v:textbox>
                </v:rect>
                <w10:wrap type="square"/>
              </v:group>
            </w:pict>
          </mc:Fallback>
        </mc:AlternateContent>
      </w:r>
      <w:r>
        <w:rPr>
          <w:rFonts w:ascii="Arial" w:eastAsia="Arial" w:hAnsi="Arial" w:cs="Arial"/>
        </w:rPr>
        <w:t xml:space="preserve">Los rendimientos financieros que generen, en su caso, los fondos librados a los beneficiarios, incrementarán el importe de la subvención concedida, salvo que el beneficiario sea una Administración Pública.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CAPÍTULO II. Procedimiento de gestión presupu</w:t>
      </w:r>
      <w:r>
        <w:rPr>
          <w:rFonts w:ascii="Arial" w:eastAsia="Arial" w:hAnsi="Arial" w:cs="Arial"/>
          <w:b/>
        </w:rPr>
        <w:t xml:space="preserve">estaria.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Artículo 39. Aprobación del gasto. </w:t>
      </w:r>
    </w:p>
    <w:p w:rsidR="00FF384B" w:rsidRDefault="003E3BA9">
      <w:pPr>
        <w:spacing w:after="0"/>
        <w:ind w:left="283"/>
      </w:pPr>
      <w:r>
        <w:rPr>
          <w:rFonts w:ascii="Arial" w:eastAsia="Arial" w:hAnsi="Arial" w:cs="Arial"/>
        </w:rPr>
        <w:t xml:space="preserve"> </w:t>
      </w:r>
    </w:p>
    <w:p w:rsidR="00FF384B" w:rsidRDefault="003E3BA9">
      <w:pPr>
        <w:numPr>
          <w:ilvl w:val="0"/>
          <w:numId w:val="147"/>
        </w:numPr>
        <w:spacing w:after="5" w:line="247" w:lineRule="auto"/>
        <w:ind w:right="244" w:hanging="10"/>
        <w:jc w:val="both"/>
      </w:pPr>
      <w:r>
        <w:rPr>
          <w:rFonts w:ascii="Arial" w:eastAsia="Arial" w:hAnsi="Arial" w:cs="Arial"/>
        </w:rPr>
        <w:t>Previamente a la convocatoria de las subvenciones, concesión directa de las mismas o la realización de convenios, deberá efectuarse la aprobación del gasto con los trámites establecidos en el TRLRHL y en la</w:t>
      </w:r>
      <w:r>
        <w:rPr>
          <w:rFonts w:ascii="Arial" w:eastAsia="Arial" w:hAnsi="Arial" w:cs="Arial"/>
        </w:rPr>
        <w:t xml:space="preserve"> normativa municipal de carácter presupuestario. </w:t>
      </w:r>
    </w:p>
    <w:p w:rsidR="00FF384B" w:rsidRDefault="003E3BA9">
      <w:pPr>
        <w:spacing w:after="0"/>
        <w:ind w:left="283"/>
      </w:pPr>
      <w:r>
        <w:rPr>
          <w:rFonts w:ascii="Arial" w:eastAsia="Arial" w:hAnsi="Arial" w:cs="Arial"/>
        </w:rPr>
        <w:t xml:space="preserve"> </w:t>
      </w:r>
    </w:p>
    <w:p w:rsidR="00FF384B" w:rsidRDefault="003E3BA9">
      <w:pPr>
        <w:numPr>
          <w:ilvl w:val="0"/>
          <w:numId w:val="147"/>
        </w:numPr>
        <w:spacing w:after="5" w:line="247" w:lineRule="auto"/>
        <w:ind w:right="244" w:hanging="10"/>
        <w:jc w:val="both"/>
      </w:pPr>
      <w:r>
        <w:rPr>
          <w:rFonts w:ascii="Arial" w:eastAsia="Arial" w:hAnsi="Arial" w:cs="Arial"/>
        </w:rPr>
        <w:t xml:space="preserve">No podrán otorgarse subvenciones por cuantía superior a la que se determine en la convocatoria sin que se realice una nueva convocatoria, salvo que se produzca el incremento de los créditos derivado de: </w:t>
      </w:r>
    </w:p>
    <w:p w:rsidR="00FF384B" w:rsidRDefault="003E3BA9">
      <w:pPr>
        <w:spacing w:after="0"/>
        <w:ind w:left="283"/>
      </w:pPr>
      <w:r>
        <w:rPr>
          <w:rFonts w:ascii="Arial" w:eastAsia="Arial" w:hAnsi="Arial" w:cs="Arial"/>
        </w:rPr>
        <w:t xml:space="preserve"> </w:t>
      </w:r>
    </w:p>
    <w:p w:rsidR="00FF384B" w:rsidRDefault="003E3BA9">
      <w:pPr>
        <w:numPr>
          <w:ilvl w:val="0"/>
          <w:numId w:val="148"/>
        </w:numPr>
        <w:spacing w:after="5" w:line="247" w:lineRule="auto"/>
        <w:ind w:right="244" w:hanging="259"/>
        <w:jc w:val="both"/>
      </w:pPr>
      <w:r>
        <w:rPr>
          <w:rFonts w:ascii="Arial" w:eastAsia="Arial" w:hAnsi="Arial" w:cs="Arial"/>
        </w:rPr>
        <w:t xml:space="preserve">Una generación, ampliación o incorporación de crédito. </w:t>
      </w:r>
    </w:p>
    <w:p w:rsidR="00FF384B" w:rsidRDefault="003E3BA9">
      <w:pPr>
        <w:spacing w:after="0"/>
        <w:ind w:left="283"/>
      </w:pPr>
      <w:r>
        <w:rPr>
          <w:rFonts w:ascii="Arial" w:eastAsia="Arial" w:hAnsi="Arial" w:cs="Arial"/>
        </w:rPr>
        <w:t xml:space="preserve"> </w:t>
      </w:r>
    </w:p>
    <w:p w:rsidR="00FF384B" w:rsidRDefault="003E3BA9">
      <w:pPr>
        <w:numPr>
          <w:ilvl w:val="0"/>
          <w:numId w:val="148"/>
        </w:numPr>
        <w:spacing w:after="5" w:line="247" w:lineRule="auto"/>
        <w:ind w:right="244" w:hanging="259"/>
        <w:jc w:val="both"/>
      </w:pPr>
      <w:r>
        <w:rPr>
          <w:rFonts w:ascii="Arial" w:eastAsia="Arial" w:hAnsi="Arial" w:cs="Arial"/>
        </w:rPr>
        <w:t xml:space="preserve">La existencia de remanentes de otras convocatorias financiadas con cargo al mismo crédito o a créditos incluidos en el mismo programa o en programas del mismo servicio. </w:t>
      </w:r>
    </w:p>
    <w:p w:rsidR="00FF384B" w:rsidRDefault="003E3BA9">
      <w:pPr>
        <w:spacing w:after="0"/>
        <w:ind w:left="283"/>
      </w:pPr>
      <w:r>
        <w:rPr>
          <w:rFonts w:ascii="Arial" w:eastAsia="Arial" w:hAnsi="Arial" w:cs="Arial"/>
        </w:rPr>
        <w:t xml:space="preserve"> </w:t>
      </w:r>
    </w:p>
    <w:p w:rsidR="00FF384B" w:rsidRDefault="003E3BA9">
      <w:pPr>
        <w:spacing w:after="0" w:line="239" w:lineRule="auto"/>
        <w:ind w:left="293" w:right="75" w:hanging="10"/>
      </w:pPr>
      <w:r>
        <w:rPr>
          <w:rFonts w:ascii="Arial" w:eastAsia="Arial" w:hAnsi="Arial" w:cs="Arial"/>
          <w:color w:val="202020"/>
        </w:rPr>
        <w:t xml:space="preserve">3. La resolución de la concesión de subvenciones o la firma de los convenios llevará consigo el compromiso del gasto correspondiente, así como, el reconocimiento de la obligación.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40. Aprobación del pago. </w:t>
      </w:r>
    </w:p>
    <w:p w:rsidR="00FF384B" w:rsidRDefault="003E3BA9">
      <w:pPr>
        <w:numPr>
          <w:ilvl w:val="0"/>
          <w:numId w:val="149"/>
        </w:numPr>
        <w:spacing w:after="142" w:line="248" w:lineRule="auto"/>
        <w:ind w:right="244" w:hanging="10"/>
        <w:jc w:val="both"/>
      </w:pPr>
      <w:r>
        <w:rPr>
          <w:rFonts w:ascii="Arial" w:eastAsia="Arial" w:hAnsi="Arial" w:cs="Arial"/>
          <w:color w:val="202020"/>
        </w:rPr>
        <w:t>El pago de la totalidad de la cantidad prevista en la subvención o convenio no se efectuará, hasta la previa justificación por el beneficiario, de la actividad, proyecto, objetivo o adopción del comportamiento para el que se le concedió y en los términos p</w:t>
      </w:r>
      <w:r>
        <w:rPr>
          <w:rFonts w:ascii="Arial" w:eastAsia="Arial" w:hAnsi="Arial" w:cs="Arial"/>
          <w:color w:val="202020"/>
        </w:rPr>
        <w:t xml:space="preserve">revistos en la presente Ordenanza y en la norma reguladora de la concesión, </w:t>
      </w:r>
    </w:p>
    <w:p w:rsidR="00FF384B" w:rsidRDefault="003E3BA9">
      <w:pPr>
        <w:spacing w:after="142" w:line="248" w:lineRule="auto"/>
        <w:ind w:left="278" w:right="244" w:hanging="10"/>
        <w:jc w:val="both"/>
      </w:pPr>
      <w:r>
        <w:rPr>
          <w:rFonts w:ascii="Arial" w:eastAsia="Arial" w:hAnsi="Arial" w:cs="Arial"/>
          <w:color w:val="202020"/>
        </w:rPr>
        <w:t xml:space="preserve">En caso de cierre del ejercicio presupuestario sin efectuarse la totalidad de pagos, deberá quedar reconocido el gasto por la cantidad pendiente. </w:t>
      </w:r>
    </w:p>
    <w:p w:rsidR="00FF384B" w:rsidRDefault="003E3BA9">
      <w:pPr>
        <w:numPr>
          <w:ilvl w:val="0"/>
          <w:numId w:val="149"/>
        </w:numPr>
        <w:spacing w:after="142" w:line="248" w:lineRule="auto"/>
        <w:ind w:right="244" w:hanging="10"/>
        <w:jc w:val="both"/>
      </w:pPr>
      <w:r>
        <w:rPr>
          <w:rFonts w:ascii="Arial" w:eastAsia="Arial" w:hAnsi="Arial" w:cs="Arial"/>
          <w:color w:val="202020"/>
        </w:rPr>
        <w:t>Se producirá la pérdida del dere</w:t>
      </w:r>
      <w:r>
        <w:rPr>
          <w:rFonts w:ascii="Arial" w:eastAsia="Arial" w:hAnsi="Arial" w:cs="Arial"/>
          <w:color w:val="202020"/>
        </w:rPr>
        <w:t xml:space="preserve">cho al cobro de la misma total o parcial en el supuesto de falta de justificación adecuada o de concurrencia de las causas de reintegro previstas en los artículos 66 y 67 de esta Ordenanza. </w:t>
      </w:r>
    </w:p>
    <w:p w:rsidR="00FF384B" w:rsidRDefault="003E3BA9">
      <w:pPr>
        <w:numPr>
          <w:ilvl w:val="0"/>
          <w:numId w:val="149"/>
        </w:numPr>
        <w:spacing w:after="142" w:line="248" w:lineRule="auto"/>
        <w:ind w:right="244" w:hanging="10"/>
        <w:jc w:val="both"/>
      </w:pPr>
      <w:r>
        <w:rPr>
          <w:rFonts w:ascii="Arial" w:eastAsia="Arial" w:hAnsi="Arial" w:cs="Arial"/>
          <w:color w:val="202020"/>
        </w:rPr>
        <w:t xml:space="preserve">Cuando de forma expresa en la convocatoria de la subvención o en </w:t>
      </w:r>
      <w:r>
        <w:rPr>
          <w:rFonts w:ascii="Arial" w:eastAsia="Arial" w:hAnsi="Arial" w:cs="Arial"/>
          <w:color w:val="202020"/>
        </w:rPr>
        <w:t xml:space="preserve">el convenio regulador de la misma se establezca, podrán efectuarse pagos a cuenta, que tendrán la consideración de pagos fraccionados. </w:t>
      </w:r>
    </w:p>
    <w:p w:rsidR="00FF384B" w:rsidRDefault="003E3BA9">
      <w:pPr>
        <w:numPr>
          <w:ilvl w:val="0"/>
          <w:numId w:val="149"/>
        </w:numPr>
        <w:spacing w:after="142" w:line="248" w:lineRule="auto"/>
        <w:ind w:right="244" w:hanging="10"/>
        <w:jc w:val="both"/>
      </w:pPr>
      <w:r>
        <w:rPr>
          <w:noProof/>
        </w:rPr>
        <mc:AlternateContent>
          <mc:Choice Requires="wpg">
            <w:drawing>
              <wp:anchor distT="0" distB="0" distL="114300" distR="114300" simplePos="0" relativeHeight="2517913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2611" name="Group 4626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5991" name="Picture 25991"/>
                          <pic:cNvPicPr/>
                        </pic:nvPicPr>
                        <pic:blipFill>
                          <a:blip r:embed="rId62"/>
                          <a:stretch>
                            <a:fillRect/>
                          </a:stretch>
                        </pic:blipFill>
                        <pic:spPr>
                          <a:xfrm rot="-5399999">
                            <a:off x="-1720849" y="1720849"/>
                            <a:ext cx="3797300" cy="355601"/>
                          </a:xfrm>
                          <a:prstGeom prst="rect">
                            <a:avLst/>
                          </a:prstGeom>
                        </pic:spPr>
                      </pic:pic>
                      <wps:wsp>
                        <wps:cNvPr id="25992" name="Rectangle 259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5993" name="Rectangle 2599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129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2611" style="width:41.2715pt;height:299pt;position:absolute;mso-position-horizontal-relative:page;mso-position-horizontal:absolute;margin-left:653.71pt;mso-position-vertical-relative:page;margin-top:512.92pt;" coordsize="5241,37973">
                <v:shape id="Picture 25991" style="position:absolute;width:37973;height:3556;left:-17208;top:17208;rotation:-89;" filled="f">
                  <v:imagedata r:id="rId63"/>
                </v:shape>
                <v:rect id="Rectangle 259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59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353 </w:t>
                        </w:r>
                      </w:p>
                    </w:txbxContent>
                  </v:textbox>
                </v:rect>
                <w10:wrap type="square"/>
              </v:group>
            </w:pict>
          </mc:Fallback>
        </mc:AlternateContent>
      </w:r>
      <w:r>
        <w:rPr>
          <w:rFonts w:ascii="Arial" w:eastAsia="Arial" w:hAnsi="Arial" w:cs="Arial"/>
          <w:color w:val="202020"/>
        </w:rPr>
        <w:t xml:space="preserve">También podrán efectuarse pagos anticipados que con las excepciones previstas en esta Ordenanza, no podrán suponer más del 80% de la cantidad subvencionada, que </w:t>
      </w:r>
      <w:r>
        <w:rPr>
          <w:rFonts w:ascii="Arial" w:eastAsia="Arial" w:hAnsi="Arial" w:cs="Arial"/>
          <w:color w:val="202020"/>
        </w:rPr>
        <w:t>se considerará como entregas de fondos con carácter previo a su justificación. Tanto los posibles pagos a cuenta como los anticipos deberán justificarse en la necesidad para poder llevar a cabo las actuaciones inherentes a la subvención o convenio suscrito</w:t>
      </w:r>
      <w:r>
        <w:rPr>
          <w:rFonts w:ascii="Arial" w:eastAsia="Arial" w:hAnsi="Arial" w:cs="Arial"/>
          <w:color w:val="202020"/>
        </w:rPr>
        <w:t xml:space="preserve">. </w:t>
      </w:r>
    </w:p>
    <w:p w:rsidR="00FF384B" w:rsidRDefault="003E3BA9">
      <w:pPr>
        <w:numPr>
          <w:ilvl w:val="1"/>
          <w:numId w:val="149"/>
        </w:numPr>
        <w:spacing w:after="92" w:line="248" w:lineRule="auto"/>
        <w:ind w:right="244" w:hanging="10"/>
        <w:jc w:val="both"/>
      </w:pPr>
      <w:r>
        <w:rPr>
          <w:rFonts w:ascii="Arial" w:eastAsia="Arial" w:hAnsi="Arial" w:cs="Arial"/>
          <w:color w:val="202020"/>
        </w:rPr>
        <w:t>En el caso de efectuarse pagos anticipados, podrá exigirse la presentación de garantías mediante depósitos, avales, seguros de caución o garantías personales y solidarias y derechos reales de garantías, regulados en la legislación vigente, que deberá de</w:t>
      </w:r>
      <w:r>
        <w:rPr>
          <w:rFonts w:ascii="Arial" w:eastAsia="Arial" w:hAnsi="Arial" w:cs="Arial"/>
          <w:color w:val="202020"/>
        </w:rPr>
        <w:t xml:space="preserve">terminarse en la normativa reguladora de cada tipo de subvención o convenio. </w:t>
      </w:r>
    </w:p>
    <w:p w:rsidR="00FF384B" w:rsidRDefault="003E3BA9">
      <w:pPr>
        <w:numPr>
          <w:ilvl w:val="1"/>
          <w:numId w:val="149"/>
        </w:numPr>
        <w:spacing w:after="92" w:line="248" w:lineRule="auto"/>
        <w:ind w:right="244" w:hanging="10"/>
        <w:jc w:val="both"/>
      </w:pPr>
      <w:r>
        <w:rPr>
          <w:rFonts w:ascii="Arial" w:eastAsia="Arial" w:hAnsi="Arial" w:cs="Arial"/>
          <w:color w:val="202020"/>
        </w:rPr>
        <w:t xml:space="preserve">En ningún caso podrán realizarse pagos anticipados a beneficiarios, cuando hayan solicitado la declaración de concurso voluntario; hayan sido declarados insolventes en cualquier </w:t>
      </w:r>
      <w:r>
        <w:rPr>
          <w:rFonts w:ascii="Arial" w:eastAsia="Arial" w:hAnsi="Arial" w:cs="Arial"/>
          <w:color w:val="202020"/>
        </w:rPr>
        <w:t>procedimiento; hayan sido declarados en concurso, salvo que en éste haya adquirido la eficacia un convenio; estén sujetos a intervención judicial; o haber sido inhabilitados conforme a la normativa en materia concursal, sin que haya concluido el período de</w:t>
      </w:r>
      <w:r>
        <w:rPr>
          <w:rFonts w:ascii="Arial" w:eastAsia="Arial" w:hAnsi="Arial" w:cs="Arial"/>
          <w:color w:val="202020"/>
        </w:rPr>
        <w:t xml:space="preserve"> inhabilitación fijado en la sentencia de calificación del concurso. </w:t>
      </w:r>
    </w:p>
    <w:p w:rsidR="00FF384B" w:rsidRDefault="003E3BA9">
      <w:pPr>
        <w:numPr>
          <w:ilvl w:val="0"/>
          <w:numId w:val="149"/>
        </w:numPr>
        <w:spacing w:after="142" w:line="248" w:lineRule="auto"/>
        <w:ind w:right="244" w:hanging="10"/>
        <w:jc w:val="both"/>
      </w:pPr>
      <w:r>
        <w:rPr>
          <w:rFonts w:ascii="Arial" w:eastAsia="Arial" w:hAnsi="Arial" w:cs="Arial"/>
          <w:color w:val="202020"/>
        </w:rPr>
        <w:t>Cuando las subvenciones concedidas sean por importe igual o inferior a 10.000 euros, en los supuestos de pagos a cuenta o pagos anticipados, el importe de los mismos será por la totalida</w:t>
      </w:r>
      <w:r>
        <w:rPr>
          <w:rFonts w:ascii="Arial" w:eastAsia="Arial" w:hAnsi="Arial" w:cs="Arial"/>
          <w:color w:val="202020"/>
        </w:rPr>
        <w:t xml:space="preserve">d de la subvención concedida. </w:t>
      </w:r>
    </w:p>
    <w:p w:rsidR="00FF384B" w:rsidRDefault="003E3BA9">
      <w:pPr>
        <w:numPr>
          <w:ilvl w:val="0"/>
          <w:numId w:val="149"/>
        </w:numPr>
        <w:spacing w:after="142" w:line="248" w:lineRule="auto"/>
        <w:ind w:right="244" w:hanging="10"/>
        <w:jc w:val="both"/>
      </w:pPr>
      <w:r>
        <w:rPr>
          <w:rFonts w:ascii="Arial" w:eastAsia="Arial" w:hAnsi="Arial" w:cs="Arial"/>
          <w:color w:val="202020"/>
        </w:rPr>
        <w:t xml:space="preserve">El pago de la subvención o convenio en su totalidad, no podrá realizarse en tanto el beneficiario no se halle al corriente en el cumplimiento de sus obligaciones tributarias, incluidas las municipales o frente a la Seguridad </w:t>
      </w:r>
      <w:r>
        <w:rPr>
          <w:rFonts w:ascii="Arial" w:eastAsia="Arial" w:hAnsi="Arial" w:cs="Arial"/>
          <w:color w:val="202020"/>
        </w:rPr>
        <w:t xml:space="preserve">Social o sea deudor por resolución de procedencia de reintegro. </w:t>
      </w:r>
    </w:p>
    <w:p w:rsidR="00FF384B" w:rsidRDefault="003E3BA9">
      <w:pPr>
        <w:numPr>
          <w:ilvl w:val="0"/>
          <w:numId w:val="149"/>
        </w:numPr>
        <w:spacing w:after="142" w:line="248" w:lineRule="auto"/>
        <w:ind w:right="244" w:hanging="10"/>
        <w:jc w:val="both"/>
      </w:pPr>
      <w:r>
        <w:rPr>
          <w:rFonts w:ascii="Arial" w:eastAsia="Arial" w:hAnsi="Arial" w:cs="Arial"/>
          <w:color w:val="202020"/>
        </w:rPr>
        <w:t xml:space="preserve">En los casos en que el beneficiario de una subvención cediese el derecho de cobro a un tercero, el pago al cesionario quedará sometido a lo establecido en este artículo. </w:t>
      </w:r>
    </w:p>
    <w:p w:rsidR="00FF384B" w:rsidRDefault="003E3BA9">
      <w:pPr>
        <w:spacing w:after="143" w:line="248" w:lineRule="auto"/>
        <w:ind w:left="278" w:right="244" w:hanging="10"/>
        <w:jc w:val="both"/>
      </w:pPr>
      <w:r>
        <w:rPr>
          <w:rFonts w:ascii="Arial" w:eastAsia="Arial" w:hAnsi="Arial" w:cs="Arial"/>
          <w:i/>
          <w:color w:val="202020"/>
        </w:rPr>
        <w:t xml:space="preserve">Artículo 41.- Plazo </w:t>
      </w:r>
      <w:r>
        <w:rPr>
          <w:rFonts w:ascii="Arial" w:eastAsia="Arial" w:hAnsi="Arial" w:cs="Arial"/>
          <w:i/>
          <w:color w:val="202020"/>
        </w:rPr>
        <w:t xml:space="preserve">de pago </w:t>
      </w:r>
    </w:p>
    <w:p w:rsidR="00FF384B" w:rsidRDefault="003E3BA9">
      <w:pPr>
        <w:spacing w:after="289" w:line="248" w:lineRule="auto"/>
        <w:ind w:left="278" w:right="244" w:hanging="10"/>
        <w:jc w:val="both"/>
      </w:pPr>
      <w:r>
        <w:rPr>
          <w:rFonts w:ascii="Arial" w:eastAsia="Arial" w:hAnsi="Arial" w:cs="Arial"/>
          <w:color w:val="202020"/>
        </w:rPr>
        <w:t xml:space="preserve">Se establece un plazo máximo de dos meses para el pago de las subvenciones directas por razones humanitarias. </w:t>
      </w:r>
    </w:p>
    <w:p w:rsidR="00FF384B" w:rsidRDefault="003E3BA9">
      <w:pPr>
        <w:spacing w:after="140" w:line="249" w:lineRule="auto"/>
        <w:ind w:left="278" w:hanging="10"/>
      </w:pPr>
      <w:r>
        <w:rPr>
          <w:rFonts w:ascii="Arial" w:eastAsia="Arial" w:hAnsi="Arial" w:cs="Arial"/>
          <w:b/>
          <w:color w:val="202020"/>
        </w:rPr>
        <w:t xml:space="preserve">CAPÍTULO III. Justificación de las subvenciones otorgadas. </w:t>
      </w:r>
    </w:p>
    <w:p w:rsidR="00FF384B" w:rsidRDefault="003E3BA9">
      <w:pPr>
        <w:spacing w:after="143" w:line="248" w:lineRule="auto"/>
        <w:ind w:left="278" w:right="244" w:hanging="10"/>
        <w:jc w:val="both"/>
      </w:pPr>
      <w:r>
        <w:rPr>
          <w:rFonts w:ascii="Arial" w:eastAsia="Arial" w:hAnsi="Arial" w:cs="Arial"/>
          <w:i/>
          <w:color w:val="202020"/>
        </w:rPr>
        <w:t xml:space="preserve">Artículo 42. Justificación. </w:t>
      </w:r>
    </w:p>
    <w:p w:rsidR="00FF384B" w:rsidRDefault="003E3BA9">
      <w:pPr>
        <w:numPr>
          <w:ilvl w:val="0"/>
          <w:numId w:val="150"/>
        </w:numPr>
        <w:spacing w:after="142" w:line="248" w:lineRule="auto"/>
        <w:ind w:right="244" w:hanging="10"/>
        <w:jc w:val="both"/>
      </w:pPr>
      <w:r>
        <w:rPr>
          <w:rFonts w:ascii="Arial" w:eastAsia="Arial" w:hAnsi="Arial" w:cs="Arial"/>
          <w:color w:val="202020"/>
        </w:rPr>
        <w:t xml:space="preserve">La justificación de las subvenciones otorgadas </w:t>
      </w:r>
      <w:r>
        <w:rPr>
          <w:rFonts w:ascii="Arial" w:eastAsia="Arial" w:hAnsi="Arial" w:cs="Arial"/>
          <w:color w:val="202020"/>
        </w:rPr>
        <w:t>por el Ayuntamiento de Candelaria, constituye una comprobación del adecuado uso de los fondos públicos recibidos por el beneficiario, la prueba de que los fondos públicos se han aplicado a la finalidad para la que fueron concedidos y una demostración del c</w:t>
      </w:r>
      <w:r>
        <w:rPr>
          <w:rFonts w:ascii="Arial" w:eastAsia="Arial" w:hAnsi="Arial" w:cs="Arial"/>
          <w:color w:val="202020"/>
        </w:rPr>
        <w:t xml:space="preserve">umplimiento de las condiciones impuestas y de los resultados obtenidos. </w:t>
      </w:r>
    </w:p>
    <w:p w:rsidR="00FF384B" w:rsidRDefault="003E3BA9">
      <w:pPr>
        <w:numPr>
          <w:ilvl w:val="0"/>
          <w:numId w:val="150"/>
        </w:numPr>
        <w:spacing w:after="142" w:line="248" w:lineRule="auto"/>
        <w:ind w:right="244" w:hanging="10"/>
        <w:jc w:val="both"/>
      </w:pPr>
      <w:r>
        <w:rPr>
          <w:rFonts w:ascii="Arial" w:eastAsia="Arial" w:hAnsi="Arial" w:cs="Arial"/>
          <w:color w:val="202020"/>
        </w:rPr>
        <w:t>La justificación del cumplimiento de las condiciones impuestas y de la consecución de los objetivos previstos en el acto de concesión de la subvención podrá revestir la forma de cuent</w:t>
      </w:r>
      <w:r>
        <w:rPr>
          <w:rFonts w:ascii="Arial" w:eastAsia="Arial" w:hAnsi="Arial" w:cs="Arial"/>
          <w:color w:val="202020"/>
        </w:rPr>
        <w:t xml:space="preserve">a justificativa del gasto realizado o acreditarse dicho gasto por módulos o mediante la presentación de estados contables. </w:t>
      </w:r>
    </w:p>
    <w:p w:rsidR="00FF384B" w:rsidRDefault="003E3BA9">
      <w:pPr>
        <w:numPr>
          <w:ilvl w:val="0"/>
          <w:numId w:val="150"/>
        </w:numPr>
        <w:spacing w:after="142" w:line="248" w:lineRule="auto"/>
        <w:ind w:right="244" w:hanging="10"/>
        <w:jc w:val="both"/>
      </w:pPr>
      <w:r>
        <w:rPr>
          <w:noProof/>
        </w:rPr>
        <mc:AlternateContent>
          <mc:Choice Requires="wpg">
            <w:drawing>
              <wp:anchor distT="0" distB="0" distL="114300" distR="114300" simplePos="0" relativeHeight="2517923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2068" name="Group 46206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130" name="Picture 26130"/>
                          <pic:cNvPicPr/>
                        </pic:nvPicPr>
                        <pic:blipFill>
                          <a:blip r:embed="rId62"/>
                          <a:stretch>
                            <a:fillRect/>
                          </a:stretch>
                        </pic:blipFill>
                        <pic:spPr>
                          <a:xfrm rot="-5399999">
                            <a:off x="-1720849" y="1720849"/>
                            <a:ext cx="3797300" cy="355601"/>
                          </a:xfrm>
                          <a:prstGeom prst="rect">
                            <a:avLst/>
                          </a:prstGeom>
                        </pic:spPr>
                      </pic:pic>
                      <wps:wsp>
                        <wps:cNvPr id="26131" name="Rectangle 2613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6132" name="Rectangle 2613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2068" style="width:41.2715pt;height:299pt;position:absolute;mso-position-horizontal-relative:page;mso-position-horizontal:absolute;margin-left:653.71pt;mso-position-vertical-relative:page;margin-top:512.92pt;" coordsize="5241,37973">
                <v:shape id="Picture 26130" style="position:absolute;width:37973;height:3556;left:-17208;top:17208;rotation:-89;" filled="f">
                  <v:imagedata r:id="rId63"/>
                </v:shape>
                <v:rect id="Rectangle 2613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13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353 </w:t>
                        </w:r>
                      </w:p>
                    </w:txbxContent>
                  </v:textbox>
                </v:rect>
                <w10:wrap type="square"/>
              </v:group>
            </w:pict>
          </mc:Fallback>
        </mc:AlternateContent>
      </w:r>
      <w:r>
        <w:rPr>
          <w:rFonts w:ascii="Arial" w:eastAsia="Arial" w:hAnsi="Arial" w:cs="Arial"/>
          <w:color w:val="202020"/>
        </w:rPr>
        <w:t>Los gastos se acreditarán mediante facturas y demás documentos de valor probatorio equivalente con validez en el tráfico jurídico mercantil o con eficacia admini</w:t>
      </w:r>
      <w:r>
        <w:rPr>
          <w:rFonts w:ascii="Arial" w:eastAsia="Arial" w:hAnsi="Arial" w:cs="Arial"/>
          <w:color w:val="202020"/>
        </w:rPr>
        <w:t xml:space="preserve">strativa, en los términos establecidos reglamentariamente. La acreditación de los gastos también podrá efectuarse mediante facturas electrónicas, siempre que cumplan los requisitos exigidos para su aceptación en el ámbito tributario. </w:t>
      </w:r>
    </w:p>
    <w:p w:rsidR="00FF384B" w:rsidRDefault="003E3BA9">
      <w:pPr>
        <w:numPr>
          <w:ilvl w:val="0"/>
          <w:numId w:val="150"/>
        </w:numPr>
        <w:spacing w:after="142" w:line="248" w:lineRule="auto"/>
        <w:ind w:right="244" w:hanging="10"/>
        <w:jc w:val="both"/>
      </w:pPr>
      <w:r>
        <w:rPr>
          <w:rFonts w:ascii="Arial" w:eastAsia="Arial" w:hAnsi="Arial" w:cs="Arial"/>
          <w:color w:val="202020"/>
        </w:rPr>
        <w:t xml:space="preserve">Las subvenciones que </w:t>
      </w:r>
      <w:r>
        <w:rPr>
          <w:rFonts w:ascii="Arial" w:eastAsia="Arial" w:hAnsi="Arial" w:cs="Arial"/>
          <w:color w:val="202020"/>
        </w:rPr>
        <w:t>se concedan en atención a la concurrencia de una determinada situación en el perceptor no requerirán otra justificación que la acreditación por cualquier medio admisible en derecho de dicha situación previamente a la concesión, sin perjuicio de los control</w:t>
      </w:r>
      <w:r>
        <w:rPr>
          <w:rFonts w:ascii="Arial" w:eastAsia="Arial" w:hAnsi="Arial" w:cs="Arial"/>
          <w:color w:val="202020"/>
        </w:rPr>
        <w:t xml:space="preserve">es que hubieran podido establecerse para verificar su existencia. </w:t>
      </w:r>
    </w:p>
    <w:p w:rsidR="00FF384B" w:rsidRDefault="003E3BA9">
      <w:pPr>
        <w:numPr>
          <w:ilvl w:val="0"/>
          <w:numId w:val="150"/>
        </w:numPr>
        <w:spacing w:after="142" w:line="248" w:lineRule="auto"/>
        <w:ind w:right="244" w:hanging="10"/>
        <w:jc w:val="both"/>
      </w:pPr>
      <w:r>
        <w:rPr>
          <w:rFonts w:ascii="Arial" w:eastAsia="Arial" w:hAnsi="Arial" w:cs="Arial"/>
          <w:color w:val="202020"/>
        </w:rPr>
        <w:t>El incumplimiento de la obligación de justificación de la subvención o la justificación insuficiente de la misma llevarán consigo la pérdida del derecho al cobro o el reintegro de las canti</w:t>
      </w:r>
      <w:r>
        <w:rPr>
          <w:rFonts w:ascii="Arial" w:eastAsia="Arial" w:hAnsi="Arial" w:cs="Arial"/>
          <w:color w:val="202020"/>
        </w:rPr>
        <w:t xml:space="preserve">dades percibidas y, en su caso, los intereses de demora que procedan. </w:t>
      </w:r>
    </w:p>
    <w:p w:rsidR="00FF384B" w:rsidRDefault="003E3BA9">
      <w:pPr>
        <w:spacing w:after="130"/>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43. Formas de documentar la justificación de las subvenciones. </w:t>
      </w:r>
    </w:p>
    <w:p w:rsidR="00FF384B" w:rsidRDefault="003E3BA9">
      <w:pPr>
        <w:spacing w:after="142" w:line="248" w:lineRule="auto"/>
        <w:ind w:left="278" w:right="244" w:hanging="10"/>
        <w:jc w:val="both"/>
      </w:pPr>
      <w:r>
        <w:rPr>
          <w:rFonts w:ascii="Arial" w:eastAsia="Arial" w:hAnsi="Arial" w:cs="Arial"/>
          <w:color w:val="202020"/>
        </w:rPr>
        <w:t>La modalidad de justificación de las subvenciones vendrá especificada en la convocatoria de la subvención o en</w:t>
      </w:r>
      <w:r>
        <w:rPr>
          <w:rFonts w:ascii="Arial" w:eastAsia="Arial" w:hAnsi="Arial" w:cs="Arial"/>
          <w:color w:val="202020"/>
        </w:rPr>
        <w:t xml:space="preserve"> el texto del convenio de colaboración, y deberá revestir una de las siguientes formas: </w:t>
      </w:r>
    </w:p>
    <w:p w:rsidR="00FF384B" w:rsidRDefault="003E3BA9">
      <w:pPr>
        <w:spacing w:after="85" w:line="248" w:lineRule="auto"/>
        <w:ind w:left="1013" w:right="244" w:hanging="10"/>
        <w:jc w:val="both"/>
      </w:pPr>
      <w:r>
        <w:rPr>
          <w:rFonts w:ascii="Arial" w:eastAsia="Arial" w:hAnsi="Arial" w:cs="Arial"/>
          <w:color w:val="202020"/>
        </w:rPr>
        <w:t>a) Cuenta justificativa del gasto realizado, adoptando una de las formas previstas en los artículos 44, 45 y 46 de la presente Ordenanza. b) Presentación de estados co</w:t>
      </w:r>
      <w:r>
        <w:rPr>
          <w:rFonts w:ascii="Arial" w:eastAsia="Arial" w:hAnsi="Arial" w:cs="Arial"/>
          <w:color w:val="202020"/>
        </w:rPr>
        <w:t xml:space="preserve">ntables. </w:t>
      </w:r>
    </w:p>
    <w:p w:rsidR="00FF384B" w:rsidRDefault="003E3BA9">
      <w:pPr>
        <w:spacing w:after="89" w:line="248" w:lineRule="auto"/>
        <w:ind w:left="1013" w:right="244" w:hanging="10"/>
        <w:jc w:val="both"/>
      </w:pPr>
      <w:r>
        <w:rPr>
          <w:rFonts w:ascii="Arial" w:eastAsia="Arial" w:hAnsi="Arial" w:cs="Arial"/>
          <w:color w:val="202020"/>
        </w:rPr>
        <w:t xml:space="preserve">c) Módulos. </w:t>
      </w:r>
    </w:p>
    <w:p w:rsidR="00FF384B" w:rsidRDefault="003E3BA9">
      <w:pPr>
        <w:spacing w:after="142" w:line="248" w:lineRule="auto"/>
        <w:ind w:left="278" w:right="244" w:hanging="10"/>
        <w:jc w:val="both"/>
      </w:pPr>
      <w:r>
        <w:rPr>
          <w:rFonts w:ascii="Arial" w:eastAsia="Arial" w:hAnsi="Arial" w:cs="Arial"/>
          <w:color w:val="202020"/>
        </w:rPr>
        <w:t>En las convocatorias de subvenciones, en los convenios de colaboración y en las resoluciones de concesión, se deberá especificar la modalidad de justificación a emplear, siendo la modalidad ordinaria la rendición de cuenta justificativa del gasto realizado</w:t>
      </w:r>
      <w:r>
        <w:rPr>
          <w:rFonts w:ascii="Arial" w:eastAsia="Arial" w:hAnsi="Arial" w:cs="Arial"/>
          <w:color w:val="202020"/>
        </w:rPr>
        <w:t xml:space="preserve">.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44. Justificación mediante rendición de cuenta justificativa del gasto realizado. </w:t>
      </w:r>
    </w:p>
    <w:p w:rsidR="00FF384B" w:rsidRDefault="003E3BA9">
      <w:pPr>
        <w:numPr>
          <w:ilvl w:val="0"/>
          <w:numId w:val="151"/>
        </w:numPr>
        <w:spacing w:after="142" w:line="248" w:lineRule="auto"/>
        <w:ind w:right="244" w:hanging="10"/>
        <w:jc w:val="both"/>
      </w:pPr>
      <w:r>
        <w:rPr>
          <w:rFonts w:ascii="Arial" w:eastAsia="Arial" w:hAnsi="Arial" w:cs="Arial"/>
          <w:color w:val="202020"/>
        </w:rPr>
        <w:t>La cuenta justificativa que ha de rendirse ante el órgano concedente de la subvención, constituye un acto obligatorio del beneficiario o de la entidad colaboradora y consiste en la justificación del gasto realizado, bajo responsabilidad del declarante, med</w:t>
      </w:r>
      <w:r>
        <w:rPr>
          <w:rFonts w:ascii="Arial" w:eastAsia="Arial" w:hAnsi="Arial" w:cs="Arial"/>
          <w:color w:val="202020"/>
        </w:rPr>
        <w:t>iante los justificantes directos del mismo. Se tratará de facturas y demás documentos de valor probatorio equivalente, con validez en el tráfico jurídico mercantil o con eficacia administrativa, que permitan acreditar el cumplimiento del objeto de la subve</w:t>
      </w:r>
      <w:r>
        <w:rPr>
          <w:rFonts w:ascii="Arial" w:eastAsia="Arial" w:hAnsi="Arial" w:cs="Arial"/>
          <w:color w:val="202020"/>
        </w:rPr>
        <w:t xml:space="preserve">nción pública. </w:t>
      </w:r>
    </w:p>
    <w:p w:rsidR="00FF384B" w:rsidRDefault="003E3BA9">
      <w:pPr>
        <w:numPr>
          <w:ilvl w:val="0"/>
          <w:numId w:val="151"/>
        </w:numPr>
        <w:spacing w:after="142" w:line="248" w:lineRule="auto"/>
        <w:ind w:right="244" w:hanging="10"/>
        <w:jc w:val="both"/>
      </w:pPr>
      <w:r>
        <w:rPr>
          <w:rFonts w:ascii="Arial" w:eastAsia="Arial" w:hAnsi="Arial" w:cs="Arial"/>
          <w:color w:val="202020"/>
        </w:rPr>
        <w:t>La cuenta justificativa estará formada por la Memoria de evaluación de la actividad subvencionada llevada a cabo, consistente en la declaración detallada de las actividades realizadas que han sido financiadas con la subvención y su coste. E</w:t>
      </w:r>
      <w:r>
        <w:rPr>
          <w:rFonts w:ascii="Arial" w:eastAsia="Arial" w:hAnsi="Arial" w:cs="Arial"/>
          <w:color w:val="202020"/>
        </w:rPr>
        <w:t xml:space="preserve">l contenido de la memoria será, al menos: </w:t>
      </w:r>
    </w:p>
    <w:p w:rsidR="00FF384B" w:rsidRDefault="003E3BA9">
      <w:pPr>
        <w:numPr>
          <w:ilvl w:val="1"/>
          <w:numId w:val="151"/>
        </w:numPr>
        <w:spacing w:after="92" w:line="248" w:lineRule="auto"/>
        <w:ind w:right="244" w:hanging="10"/>
        <w:jc w:val="both"/>
      </w:pPr>
      <w:r>
        <w:rPr>
          <w:rFonts w:ascii="Arial" w:eastAsia="Arial" w:hAnsi="Arial" w:cs="Arial"/>
          <w:color w:val="202020"/>
        </w:rPr>
        <w:t xml:space="preserve">Una memoria de actuación justificativa del cumplimiento de las condiciones impuestas en la concesión de la subvención, con indicación de las actividades realizadas y de los resultados obtenidos. </w:t>
      </w:r>
    </w:p>
    <w:p w:rsidR="00FF384B" w:rsidRDefault="003E3BA9">
      <w:pPr>
        <w:numPr>
          <w:ilvl w:val="1"/>
          <w:numId w:val="151"/>
        </w:numPr>
        <w:spacing w:after="96" w:line="248" w:lineRule="auto"/>
        <w:ind w:right="244" w:hanging="10"/>
        <w:jc w:val="both"/>
      </w:pPr>
      <w:r>
        <w:rPr>
          <w:rFonts w:ascii="Arial" w:eastAsia="Arial" w:hAnsi="Arial" w:cs="Arial"/>
          <w:color w:val="202020"/>
        </w:rPr>
        <w:t>Una memoria econó</w:t>
      </w:r>
      <w:r>
        <w:rPr>
          <w:rFonts w:ascii="Arial" w:eastAsia="Arial" w:hAnsi="Arial" w:cs="Arial"/>
          <w:color w:val="202020"/>
        </w:rPr>
        <w:t xml:space="preserve">mica justificativa del coste de las actividades realizadas, que contendrá: </w:t>
      </w:r>
    </w:p>
    <w:p w:rsidR="00FF384B" w:rsidRDefault="003E3BA9">
      <w:pPr>
        <w:numPr>
          <w:ilvl w:val="2"/>
          <w:numId w:val="151"/>
        </w:numPr>
        <w:spacing w:after="93" w:line="248" w:lineRule="auto"/>
        <w:ind w:right="244" w:hanging="360"/>
        <w:jc w:val="both"/>
      </w:pPr>
      <w:r>
        <w:rPr>
          <w:noProof/>
        </w:rPr>
        <mc:AlternateContent>
          <mc:Choice Requires="wpg">
            <w:drawing>
              <wp:anchor distT="0" distB="0" distL="114300" distR="114300" simplePos="0" relativeHeight="2517934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1811" name="Group 4618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286" name="Picture 26286"/>
                          <pic:cNvPicPr/>
                        </pic:nvPicPr>
                        <pic:blipFill>
                          <a:blip r:embed="rId62"/>
                          <a:stretch>
                            <a:fillRect/>
                          </a:stretch>
                        </pic:blipFill>
                        <pic:spPr>
                          <a:xfrm rot="-5399999">
                            <a:off x="-1720849" y="1720849"/>
                            <a:ext cx="3797300" cy="355601"/>
                          </a:xfrm>
                          <a:prstGeom prst="rect">
                            <a:avLst/>
                          </a:prstGeom>
                        </pic:spPr>
                      </pic:pic>
                      <wps:wsp>
                        <wps:cNvPr id="26287" name="Rectangle 2628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6288" name="Rectangle 2628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w:t>
                              </w:r>
                              <w:r>
                                <w:rPr>
                                  <w:rFonts w:ascii="Arial" w:eastAsia="Arial" w:hAnsi="Arial" w:cs="Arial"/>
                                  <w:sz w:val="12"/>
                                </w:rPr>
                                <w:t xml:space="preserve">ágina 131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1811" style="width:41.2715pt;height:299pt;position:absolute;mso-position-horizontal-relative:page;mso-position-horizontal:absolute;margin-left:653.71pt;mso-position-vertical-relative:page;margin-top:512.92pt;" coordsize="5241,37973">
                <v:shape id="Picture 26286" style="position:absolute;width:37973;height:3556;left:-17208;top:17208;rotation:-89;" filled="f">
                  <v:imagedata r:id="rId63"/>
                </v:shape>
                <v:rect id="Rectangle 2628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28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353 </w:t>
                        </w:r>
                      </w:p>
                    </w:txbxContent>
                  </v:textbox>
                </v:rect>
                <w10:wrap type="square"/>
              </v:group>
            </w:pict>
          </mc:Fallback>
        </mc:AlternateContent>
      </w:r>
      <w:r>
        <w:rPr>
          <w:rFonts w:ascii="Arial" w:eastAsia="Arial" w:hAnsi="Arial" w:cs="Arial"/>
          <w:color w:val="202020"/>
        </w:rPr>
        <w:t xml:space="preserve">a) Una relación clasificada de los gastos e inversiones de la actividad, con identificación del acreedor y del documento, su importe, fecha de emisión y, en su caso, fecha de pago. En caso de que la subvención se otorgue con arreglo a un </w:t>
      </w:r>
      <w:r>
        <w:rPr>
          <w:rFonts w:ascii="Arial" w:eastAsia="Arial" w:hAnsi="Arial" w:cs="Arial"/>
          <w:color w:val="202020"/>
        </w:rPr>
        <w:t xml:space="preserve">presupuesto, se indicarán las desviaciones acaecidas. </w:t>
      </w:r>
    </w:p>
    <w:p w:rsidR="00FF384B" w:rsidRDefault="003E3BA9">
      <w:pPr>
        <w:numPr>
          <w:ilvl w:val="2"/>
          <w:numId w:val="151"/>
        </w:numPr>
        <w:spacing w:after="93" w:line="248" w:lineRule="auto"/>
        <w:ind w:right="244" w:hanging="360"/>
        <w:jc w:val="both"/>
      </w:pPr>
      <w:r>
        <w:rPr>
          <w:rFonts w:ascii="Arial" w:eastAsia="Arial" w:hAnsi="Arial" w:cs="Arial"/>
          <w:color w:val="202020"/>
        </w:rPr>
        <w:t>b) Las facturas o documentos de valor probatorio equivalente en el tráfico jurídico mercantil o con eficacia administrativa incorporados en la relación a que se hace referencia en el párrafo anterior y</w:t>
      </w:r>
      <w:r>
        <w:rPr>
          <w:rFonts w:ascii="Arial" w:eastAsia="Arial" w:hAnsi="Arial" w:cs="Arial"/>
          <w:color w:val="202020"/>
        </w:rPr>
        <w:t xml:space="preserve">, en su caso, la documentación acreditativa del pago, por el importe de la subvención concedida. El Ayuntamiento podrá comprobar por muestreo el resto de los costes no acreditados. </w:t>
      </w:r>
    </w:p>
    <w:p w:rsidR="00FF384B" w:rsidRDefault="003E3BA9">
      <w:pPr>
        <w:numPr>
          <w:ilvl w:val="2"/>
          <w:numId w:val="151"/>
        </w:numPr>
        <w:spacing w:after="99" w:line="239" w:lineRule="auto"/>
        <w:ind w:right="244" w:hanging="360"/>
        <w:jc w:val="both"/>
      </w:pPr>
      <w:r>
        <w:rPr>
          <w:rFonts w:ascii="Arial" w:eastAsia="Arial" w:hAnsi="Arial" w:cs="Arial"/>
          <w:color w:val="202020"/>
        </w:rPr>
        <w:t>c) Indicación, en su caso, de los criterios de reparto de los costes gener</w:t>
      </w:r>
      <w:r>
        <w:rPr>
          <w:rFonts w:ascii="Arial" w:eastAsia="Arial" w:hAnsi="Arial" w:cs="Arial"/>
          <w:color w:val="202020"/>
        </w:rPr>
        <w:t xml:space="preserve">ales y/o indirectos incorporados en la relación a que se hace referencia en el apartado a), excepto en aquellos casos en que las bases reguladoras de la subvención hayan previsto su compensación mediante un tanto alzado sin necesidad de justificación. </w:t>
      </w:r>
    </w:p>
    <w:p w:rsidR="00FF384B" w:rsidRDefault="003E3BA9">
      <w:pPr>
        <w:numPr>
          <w:ilvl w:val="2"/>
          <w:numId w:val="151"/>
        </w:numPr>
        <w:spacing w:after="93" w:line="248" w:lineRule="auto"/>
        <w:ind w:right="244" w:hanging="360"/>
        <w:jc w:val="both"/>
      </w:pPr>
      <w:r>
        <w:rPr>
          <w:rFonts w:ascii="Arial" w:eastAsia="Arial" w:hAnsi="Arial" w:cs="Arial"/>
          <w:color w:val="202020"/>
        </w:rPr>
        <w:t xml:space="preserve">d) Una relación detallada de otros ingresos o subvenciones que hayan financiado la actividad subvencionada con indicación del importe y su procedencia. </w:t>
      </w:r>
    </w:p>
    <w:p w:rsidR="00FF384B" w:rsidRDefault="003E3BA9">
      <w:pPr>
        <w:numPr>
          <w:ilvl w:val="2"/>
          <w:numId w:val="151"/>
        </w:numPr>
        <w:spacing w:after="92" w:line="248" w:lineRule="auto"/>
        <w:ind w:right="244" w:hanging="360"/>
        <w:jc w:val="both"/>
      </w:pPr>
      <w:r>
        <w:rPr>
          <w:rFonts w:ascii="Arial" w:eastAsia="Arial" w:hAnsi="Arial" w:cs="Arial"/>
          <w:color w:val="202020"/>
        </w:rPr>
        <w:t xml:space="preserve">e) Los tres presupuestos solicitados por el beneficiario, en los supuestos que resulte obligatorio. </w:t>
      </w:r>
    </w:p>
    <w:p w:rsidR="00FF384B" w:rsidRDefault="003E3BA9">
      <w:pPr>
        <w:numPr>
          <w:ilvl w:val="2"/>
          <w:numId w:val="151"/>
        </w:numPr>
        <w:spacing w:after="91" w:line="248" w:lineRule="auto"/>
        <w:ind w:right="244" w:hanging="360"/>
        <w:jc w:val="both"/>
      </w:pPr>
      <w:r>
        <w:rPr>
          <w:rFonts w:ascii="Arial" w:eastAsia="Arial" w:hAnsi="Arial" w:cs="Arial"/>
          <w:color w:val="202020"/>
        </w:rPr>
        <w:t>f)</w:t>
      </w:r>
      <w:r>
        <w:rPr>
          <w:rFonts w:ascii="Arial" w:eastAsia="Arial" w:hAnsi="Arial" w:cs="Arial"/>
          <w:color w:val="202020"/>
        </w:rPr>
        <w:t xml:space="preserve"> En su caso, la carta de pago de reintegro en el supuesto de remanentes no aplicados así como de los intereses derivados de los mismos. </w:t>
      </w:r>
    </w:p>
    <w:p w:rsidR="00FF384B" w:rsidRDefault="003E3BA9">
      <w:pPr>
        <w:numPr>
          <w:ilvl w:val="0"/>
          <w:numId w:val="151"/>
        </w:numPr>
        <w:spacing w:after="142" w:line="248" w:lineRule="auto"/>
        <w:ind w:right="244" w:hanging="10"/>
        <w:jc w:val="both"/>
      </w:pPr>
      <w:r>
        <w:rPr>
          <w:rFonts w:ascii="Arial" w:eastAsia="Arial" w:hAnsi="Arial" w:cs="Arial"/>
          <w:color w:val="202020"/>
        </w:rPr>
        <w:t>No obstante lo anterior, cuando por razón del objeto o de la naturaleza de la subvención, no fuera preciso presentar la</w:t>
      </w:r>
      <w:r>
        <w:rPr>
          <w:rFonts w:ascii="Arial" w:eastAsia="Arial" w:hAnsi="Arial" w:cs="Arial"/>
          <w:color w:val="202020"/>
        </w:rPr>
        <w:t xml:space="preserve"> documentación prevista en el apartado anterior, las convocatorias de la subvención determinarán el contenido de la cuenta justificativa. </w:t>
      </w:r>
    </w:p>
    <w:p w:rsidR="00FF384B" w:rsidRDefault="003E3BA9">
      <w:pPr>
        <w:spacing w:after="143" w:line="248" w:lineRule="auto"/>
        <w:ind w:left="278" w:right="244" w:hanging="10"/>
        <w:jc w:val="both"/>
      </w:pPr>
      <w:r>
        <w:rPr>
          <w:rFonts w:ascii="Arial" w:eastAsia="Arial" w:hAnsi="Arial" w:cs="Arial"/>
          <w:i/>
          <w:color w:val="202020"/>
        </w:rPr>
        <w:t xml:space="preserve">Artículo 45. Justificación mediante cuenta justificativa con aportación de informe de auditor. </w:t>
      </w:r>
    </w:p>
    <w:p w:rsidR="00FF384B" w:rsidRDefault="003E3BA9">
      <w:pPr>
        <w:numPr>
          <w:ilvl w:val="0"/>
          <w:numId w:val="152"/>
        </w:numPr>
        <w:spacing w:after="142" w:line="248" w:lineRule="auto"/>
        <w:ind w:right="244" w:hanging="10"/>
        <w:jc w:val="both"/>
      </w:pPr>
      <w:r>
        <w:rPr>
          <w:rFonts w:ascii="Arial" w:eastAsia="Arial" w:hAnsi="Arial" w:cs="Arial"/>
          <w:color w:val="202020"/>
        </w:rPr>
        <w:t>En las subvenciones c</w:t>
      </w:r>
      <w:r>
        <w:rPr>
          <w:rFonts w:ascii="Arial" w:eastAsia="Arial" w:hAnsi="Arial" w:cs="Arial"/>
          <w:color w:val="202020"/>
        </w:rPr>
        <w:t>oncedidas por importe igual o superior a 150.000 euros, sus beneficiarios deberán justificar la misma con la aportación de un informe de auditor de cuentas inscrito como ejerciente en el Registro Oficial de Auditores de Cuentas (ROAC), dependiente del Inst</w:t>
      </w:r>
      <w:r>
        <w:rPr>
          <w:rFonts w:ascii="Arial" w:eastAsia="Arial" w:hAnsi="Arial" w:cs="Arial"/>
          <w:color w:val="202020"/>
        </w:rPr>
        <w:t xml:space="preserve">ituto de Contabilidad y Auditoría de Cuentas (ICAC), salvo que en las convocatorias o en el convenio de colaboración se establezca otro procedimiento. </w:t>
      </w:r>
    </w:p>
    <w:p w:rsidR="00FF384B" w:rsidRDefault="003E3BA9">
      <w:pPr>
        <w:spacing w:after="142" w:line="248" w:lineRule="auto"/>
        <w:ind w:left="278" w:right="244" w:hanging="10"/>
        <w:jc w:val="both"/>
      </w:pPr>
      <w:r>
        <w:rPr>
          <w:rFonts w:ascii="Arial" w:eastAsia="Arial" w:hAnsi="Arial" w:cs="Arial"/>
          <w:color w:val="202020"/>
        </w:rPr>
        <w:t xml:space="preserve">La información a incorporar en este supuesto en la Cuenta Justificativa será: </w:t>
      </w:r>
    </w:p>
    <w:p w:rsidR="00FF384B" w:rsidRDefault="003E3BA9">
      <w:pPr>
        <w:numPr>
          <w:ilvl w:val="1"/>
          <w:numId w:val="152"/>
        </w:numPr>
        <w:spacing w:after="92" w:line="248" w:lineRule="auto"/>
        <w:ind w:right="244" w:hanging="10"/>
        <w:jc w:val="both"/>
      </w:pPr>
      <w:r>
        <w:rPr>
          <w:rFonts w:ascii="Arial" w:eastAsia="Arial" w:hAnsi="Arial" w:cs="Arial"/>
          <w:color w:val="202020"/>
        </w:rPr>
        <w:t xml:space="preserve">Un informe de un auditor </w:t>
      </w:r>
      <w:r>
        <w:rPr>
          <w:rFonts w:ascii="Arial" w:eastAsia="Arial" w:hAnsi="Arial" w:cs="Arial"/>
          <w:color w:val="202020"/>
        </w:rPr>
        <w:t xml:space="preserve">de cuentas inscrito como ejerciente en el Registro Oficial de Auditores de Cuentas dependiente del Instituto de Contabilidad y Auditoría de Cuentas. </w:t>
      </w:r>
    </w:p>
    <w:p w:rsidR="00FF384B" w:rsidRDefault="003E3BA9">
      <w:pPr>
        <w:numPr>
          <w:ilvl w:val="1"/>
          <w:numId w:val="152"/>
        </w:numPr>
        <w:spacing w:after="92" w:line="248" w:lineRule="auto"/>
        <w:ind w:right="244" w:hanging="10"/>
        <w:jc w:val="both"/>
      </w:pPr>
      <w:r>
        <w:rPr>
          <w:rFonts w:ascii="Arial" w:eastAsia="Arial" w:hAnsi="Arial" w:cs="Arial"/>
          <w:color w:val="202020"/>
        </w:rPr>
        <w:t>Memoria de actuaciones a que se refiere el apartado 1 del artículo 72 de este Reglamento, una memoria econ</w:t>
      </w:r>
      <w:r>
        <w:rPr>
          <w:rFonts w:ascii="Arial" w:eastAsia="Arial" w:hAnsi="Arial" w:cs="Arial"/>
          <w:color w:val="202020"/>
        </w:rPr>
        <w:t xml:space="preserve">ómica abreviada. </w:t>
      </w:r>
    </w:p>
    <w:p w:rsidR="00FF384B" w:rsidRDefault="003E3BA9">
      <w:pPr>
        <w:numPr>
          <w:ilvl w:val="1"/>
          <w:numId w:val="152"/>
        </w:numPr>
        <w:spacing w:after="92" w:line="248" w:lineRule="auto"/>
        <w:ind w:right="244" w:hanging="10"/>
        <w:jc w:val="both"/>
      </w:pPr>
      <w:r>
        <w:rPr>
          <w:rFonts w:ascii="Arial" w:eastAsia="Arial" w:hAnsi="Arial" w:cs="Arial"/>
          <w:color w:val="202020"/>
        </w:rPr>
        <w:t>Memoria económica abreviada se establecerá en las convocatorias de la subvención, si bien como mínimo contendrá un estado representativo de los gastos incurridos en la realización de las actividades subvencionadas, debidamente agrupados, y, en su caso, las</w:t>
      </w:r>
      <w:r>
        <w:rPr>
          <w:rFonts w:ascii="Arial" w:eastAsia="Arial" w:hAnsi="Arial" w:cs="Arial"/>
          <w:color w:val="202020"/>
        </w:rPr>
        <w:t xml:space="preserve"> cantidades inicialmente presupuestadas y las desviaciones acaecidas. </w:t>
      </w:r>
    </w:p>
    <w:p w:rsidR="00FF384B" w:rsidRDefault="003E3BA9">
      <w:pPr>
        <w:numPr>
          <w:ilvl w:val="1"/>
          <w:numId w:val="152"/>
        </w:numPr>
        <w:spacing w:after="95" w:line="248" w:lineRule="auto"/>
        <w:ind w:right="244" w:hanging="10"/>
        <w:jc w:val="both"/>
      </w:pPr>
      <w:r>
        <w:rPr>
          <w:rFonts w:ascii="Arial" w:eastAsia="Arial" w:hAnsi="Arial" w:cs="Arial"/>
          <w:color w:val="202020"/>
        </w:rPr>
        <w:t xml:space="preserve">Relación de facturas y documentos incluidos y comprobados en el informe del auditor. </w:t>
      </w:r>
    </w:p>
    <w:p w:rsidR="00FF384B" w:rsidRDefault="003E3BA9">
      <w:pPr>
        <w:numPr>
          <w:ilvl w:val="0"/>
          <w:numId w:val="152"/>
        </w:numPr>
        <w:spacing w:after="142" w:line="248" w:lineRule="auto"/>
        <w:ind w:right="244" w:hanging="10"/>
        <w:jc w:val="both"/>
      </w:pPr>
      <w:r>
        <w:rPr>
          <w:noProof/>
        </w:rPr>
        <mc:AlternateContent>
          <mc:Choice Requires="wpg">
            <w:drawing>
              <wp:anchor distT="0" distB="0" distL="114300" distR="114300" simplePos="0" relativeHeight="2517944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2435" name="Group 46243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430" name="Picture 26430"/>
                          <pic:cNvPicPr/>
                        </pic:nvPicPr>
                        <pic:blipFill>
                          <a:blip r:embed="rId62"/>
                          <a:stretch>
                            <a:fillRect/>
                          </a:stretch>
                        </pic:blipFill>
                        <pic:spPr>
                          <a:xfrm rot="-5399999">
                            <a:off x="-1720849" y="1720849"/>
                            <a:ext cx="3797300" cy="355601"/>
                          </a:xfrm>
                          <a:prstGeom prst="rect">
                            <a:avLst/>
                          </a:prstGeom>
                        </pic:spPr>
                      </pic:pic>
                      <wps:wsp>
                        <wps:cNvPr id="26431" name="Rectangle 2643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26432" name="Rectangle 2643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2435" style="width:41.2715pt;height:299pt;position:absolute;mso-position-horizontal-relative:page;mso-position-horizontal:absolute;margin-left:653.71pt;mso-position-vertical-relative:page;margin-top:512.92pt;" coordsize="5241,37973">
                <v:shape id="Picture 26430" style="position:absolute;width:37973;height:3556;left:-17208;top:17208;rotation:-89;" filled="f">
                  <v:imagedata r:id="rId63"/>
                </v:shape>
                <v:rect id="Rectangle 2643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43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353 </w:t>
                        </w:r>
                      </w:p>
                    </w:txbxContent>
                  </v:textbox>
                </v:rect>
                <w10:wrap type="square"/>
              </v:group>
            </w:pict>
          </mc:Fallback>
        </mc:AlternateContent>
      </w:r>
      <w:r>
        <w:rPr>
          <w:rFonts w:ascii="Arial" w:eastAsia="Arial" w:hAnsi="Arial" w:cs="Arial"/>
          <w:color w:val="202020"/>
        </w:rPr>
        <w:t>En aquellos casos en que el beneficiario esté obligado a auditar sus cuentas anuales por un auditor sometido a la Ley 19/1988, de 12 de julio, de Auditoría d</w:t>
      </w:r>
      <w:r>
        <w:rPr>
          <w:rFonts w:ascii="Arial" w:eastAsia="Arial" w:hAnsi="Arial" w:cs="Arial"/>
          <w:color w:val="202020"/>
        </w:rPr>
        <w:t xml:space="preserve">e Cuentas, la revisión de la cuenta justificativa se llevará a cabo por el mismo auditor, salvo que las convocatorias prevean el nombramiento de otro auditor. </w:t>
      </w:r>
    </w:p>
    <w:p w:rsidR="00FF384B" w:rsidRDefault="003E3BA9">
      <w:pPr>
        <w:numPr>
          <w:ilvl w:val="0"/>
          <w:numId w:val="152"/>
        </w:numPr>
        <w:spacing w:after="142" w:line="248" w:lineRule="auto"/>
        <w:ind w:right="244" w:hanging="10"/>
        <w:jc w:val="both"/>
      </w:pPr>
      <w:r>
        <w:rPr>
          <w:rFonts w:ascii="Arial" w:eastAsia="Arial" w:hAnsi="Arial" w:cs="Arial"/>
          <w:color w:val="202020"/>
        </w:rPr>
        <w:t>En el supuesto en que el beneficiario no esté obligado a auditar sus cuentas anuales, la designa</w:t>
      </w:r>
      <w:r>
        <w:rPr>
          <w:rFonts w:ascii="Arial" w:eastAsia="Arial" w:hAnsi="Arial" w:cs="Arial"/>
          <w:color w:val="202020"/>
        </w:rPr>
        <w:t xml:space="preserve">ción del auditor de cuentas será realizada por él, salvo que las convocatorias de la subvención prevean su nombramiento por el órgano concedente. El gasto derivado de la revisión de la cuenta justificativa tendrá la condición de gasto subvencionable hasta </w:t>
      </w:r>
      <w:r>
        <w:rPr>
          <w:rFonts w:ascii="Arial" w:eastAsia="Arial" w:hAnsi="Arial" w:cs="Arial"/>
          <w:color w:val="202020"/>
        </w:rPr>
        <w:t xml:space="preserve">el límite que en ellas se fije en la convocatoria. </w:t>
      </w:r>
    </w:p>
    <w:p w:rsidR="00FF384B" w:rsidRDefault="003E3BA9">
      <w:pPr>
        <w:numPr>
          <w:ilvl w:val="0"/>
          <w:numId w:val="152"/>
        </w:numPr>
        <w:spacing w:after="142" w:line="248" w:lineRule="auto"/>
        <w:ind w:right="244" w:hanging="10"/>
        <w:jc w:val="both"/>
      </w:pPr>
      <w:r>
        <w:rPr>
          <w:rFonts w:ascii="Arial" w:eastAsia="Arial" w:hAnsi="Arial" w:cs="Arial"/>
          <w:color w:val="202020"/>
        </w:rPr>
        <w:t>El beneficiario estará obligado a poner a disposición del auditor de cuentas cuantos libros, registros y documentos le sean exigibles en aplicación de lo dispuesto en la normativa vigente, así como a cons</w:t>
      </w:r>
      <w:r>
        <w:rPr>
          <w:rFonts w:ascii="Arial" w:eastAsia="Arial" w:hAnsi="Arial" w:cs="Arial"/>
          <w:color w:val="202020"/>
        </w:rPr>
        <w:t xml:space="preserve">ervarlos al objeto de las actuaciones de comprobación y control previstas es esta Ordenanza.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46. Cuenta justificativa simplificada. </w:t>
      </w:r>
    </w:p>
    <w:p w:rsidR="00FF384B" w:rsidRDefault="003E3BA9">
      <w:pPr>
        <w:numPr>
          <w:ilvl w:val="0"/>
          <w:numId w:val="153"/>
        </w:numPr>
        <w:spacing w:after="142" w:line="248" w:lineRule="auto"/>
        <w:ind w:right="244" w:hanging="247"/>
        <w:jc w:val="both"/>
      </w:pPr>
      <w:r>
        <w:rPr>
          <w:rFonts w:ascii="Arial" w:eastAsia="Arial" w:hAnsi="Arial" w:cs="Arial"/>
          <w:color w:val="202020"/>
        </w:rPr>
        <w:t>Las subvenciones concedidas por procedimiento simplificado, podrá tener carácter de documento con validez juríd</w:t>
      </w:r>
      <w:r>
        <w:rPr>
          <w:rFonts w:ascii="Arial" w:eastAsia="Arial" w:hAnsi="Arial" w:cs="Arial"/>
          <w:color w:val="202020"/>
        </w:rPr>
        <w:t xml:space="preserve">ica para la justificación de la subvención, la cuenta justificativa regulada en este artículo, siempre que así se haya previsto en la convocatoria de la subvención. </w:t>
      </w:r>
    </w:p>
    <w:p w:rsidR="00FF384B" w:rsidRDefault="003E3BA9">
      <w:pPr>
        <w:numPr>
          <w:ilvl w:val="0"/>
          <w:numId w:val="153"/>
        </w:numPr>
        <w:spacing w:after="142" w:line="248" w:lineRule="auto"/>
        <w:ind w:right="244" w:hanging="247"/>
        <w:jc w:val="both"/>
      </w:pPr>
      <w:r>
        <w:rPr>
          <w:rFonts w:ascii="Arial" w:eastAsia="Arial" w:hAnsi="Arial" w:cs="Arial"/>
          <w:color w:val="202020"/>
        </w:rPr>
        <w:t xml:space="preserve">La cuenta justificativa contendrá la siguiente información: </w:t>
      </w:r>
    </w:p>
    <w:p w:rsidR="00FF384B" w:rsidRDefault="003E3BA9">
      <w:pPr>
        <w:numPr>
          <w:ilvl w:val="1"/>
          <w:numId w:val="153"/>
        </w:numPr>
        <w:spacing w:after="99" w:line="239" w:lineRule="auto"/>
        <w:ind w:right="244" w:hanging="10"/>
        <w:jc w:val="both"/>
      </w:pPr>
      <w:r>
        <w:rPr>
          <w:rFonts w:ascii="Arial" w:eastAsia="Arial" w:hAnsi="Arial" w:cs="Arial"/>
          <w:color w:val="202020"/>
        </w:rPr>
        <w:t xml:space="preserve">Una memoria de actuación justificativa del cumplimiento de las condiciones impuestas en la concesión de la subvención, con indicación de las actividades realizadas y de los resultados obtenidos. </w:t>
      </w:r>
    </w:p>
    <w:p w:rsidR="00FF384B" w:rsidRDefault="003E3BA9">
      <w:pPr>
        <w:numPr>
          <w:ilvl w:val="1"/>
          <w:numId w:val="153"/>
        </w:numPr>
        <w:spacing w:after="92" w:line="248" w:lineRule="auto"/>
        <w:ind w:right="244" w:hanging="10"/>
        <w:jc w:val="both"/>
      </w:pPr>
      <w:r>
        <w:rPr>
          <w:rFonts w:ascii="Arial" w:eastAsia="Arial" w:hAnsi="Arial" w:cs="Arial"/>
          <w:color w:val="202020"/>
        </w:rPr>
        <w:t xml:space="preserve">Una relación clasificada de los gastos de la actividad, con </w:t>
      </w:r>
      <w:r>
        <w:rPr>
          <w:rFonts w:ascii="Arial" w:eastAsia="Arial" w:hAnsi="Arial" w:cs="Arial"/>
          <w:color w:val="202020"/>
        </w:rPr>
        <w:t xml:space="preserve">identificación del acreedor y del documento, su importe, fecha de emisión y fecha de pago. En caso de que la subvención se otorgue con arreglo a un presupuesto estimado, se indicarán las desviaciones acaecidas. </w:t>
      </w:r>
    </w:p>
    <w:p w:rsidR="00FF384B" w:rsidRDefault="003E3BA9">
      <w:pPr>
        <w:numPr>
          <w:ilvl w:val="1"/>
          <w:numId w:val="153"/>
        </w:numPr>
        <w:spacing w:after="95" w:line="248" w:lineRule="auto"/>
        <w:ind w:right="244" w:hanging="10"/>
        <w:jc w:val="both"/>
      </w:pPr>
      <w:r>
        <w:rPr>
          <w:rFonts w:ascii="Arial" w:eastAsia="Arial" w:hAnsi="Arial" w:cs="Arial"/>
          <w:color w:val="202020"/>
        </w:rPr>
        <w:t>Detalle de otros ingresos o subvenciones que</w:t>
      </w:r>
      <w:r>
        <w:rPr>
          <w:rFonts w:ascii="Arial" w:eastAsia="Arial" w:hAnsi="Arial" w:cs="Arial"/>
          <w:color w:val="202020"/>
        </w:rPr>
        <w:t xml:space="preserve"> hayan financiado la actividad subvencionada con indicación del importe y su procedencia. </w:t>
      </w:r>
    </w:p>
    <w:p w:rsidR="00FF384B" w:rsidRDefault="003E3BA9">
      <w:pPr>
        <w:numPr>
          <w:ilvl w:val="1"/>
          <w:numId w:val="153"/>
        </w:numPr>
        <w:spacing w:after="92" w:line="248" w:lineRule="auto"/>
        <w:ind w:right="244" w:hanging="10"/>
        <w:jc w:val="both"/>
      </w:pPr>
      <w:r>
        <w:rPr>
          <w:rFonts w:ascii="Arial" w:eastAsia="Arial" w:hAnsi="Arial" w:cs="Arial"/>
          <w:color w:val="202020"/>
        </w:rPr>
        <w:t xml:space="preserve">En su caso, carta de pago de reintegro en el supuesto de remanentes no aplicados así como de los intereses derivados de los mismos. </w:t>
      </w:r>
    </w:p>
    <w:p w:rsidR="00FF384B" w:rsidRDefault="003E3BA9">
      <w:pPr>
        <w:numPr>
          <w:ilvl w:val="0"/>
          <w:numId w:val="153"/>
        </w:numPr>
        <w:spacing w:after="142" w:line="248" w:lineRule="auto"/>
        <w:ind w:right="244" w:hanging="247"/>
        <w:jc w:val="both"/>
      </w:pPr>
      <w:r>
        <w:rPr>
          <w:rFonts w:ascii="Arial" w:eastAsia="Arial" w:hAnsi="Arial" w:cs="Arial"/>
          <w:color w:val="202020"/>
        </w:rPr>
        <w:t>Así mismo, esta cuenta se aplica</w:t>
      </w:r>
      <w:r>
        <w:rPr>
          <w:rFonts w:ascii="Arial" w:eastAsia="Arial" w:hAnsi="Arial" w:cs="Arial"/>
          <w:color w:val="202020"/>
        </w:rPr>
        <w:t>rá a la concesión de subvenciones por importe igual o inferior a 3000 euros, siempre que así se haya previsto en las convocatorias, convenio o resolución de la subvención. Esta cantidad podrá ser modificada anualmente en las bases de ejecución del Presupue</w:t>
      </w:r>
      <w:r>
        <w:rPr>
          <w:rFonts w:ascii="Arial" w:eastAsia="Arial" w:hAnsi="Arial" w:cs="Arial"/>
          <w:color w:val="202020"/>
        </w:rPr>
        <w:t xml:space="preserve">sto municipal.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47. Justificación mediante módulos. </w:t>
      </w:r>
    </w:p>
    <w:p w:rsidR="00FF384B" w:rsidRDefault="003E3BA9">
      <w:pPr>
        <w:numPr>
          <w:ilvl w:val="0"/>
          <w:numId w:val="154"/>
        </w:numPr>
        <w:spacing w:after="142" w:line="248" w:lineRule="auto"/>
        <w:ind w:right="244" w:hanging="10"/>
        <w:jc w:val="both"/>
      </w:pPr>
      <w:r>
        <w:rPr>
          <w:noProof/>
        </w:rPr>
        <mc:AlternateContent>
          <mc:Choice Requires="wpg">
            <w:drawing>
              <wp:anchor distT="0" distB="0" distL="114300" distR="114300" simplePos="0" relativeHeight="2517954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2732" name="Group 46273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570" name="Picture 26570"/>
                          <pic:cNvPicPr/>
                        </pic:nvPicPr>
                        <pic:blipFill>
                          <a:blip r:embed="rId62"/>
                          <a:stretch>
                            <a:fillRect/>
                          </a:stretch>
                        </pic:blipFill>
                        <pic:spPr>
                          <a:xfrm rot="-5399999">
                            <a:off x="-1720849" y="1720849"/>
                            <a:ext cx="3797300" cy="355601"/>
                          </a:xfrm>
                          <a:prstGeom prst="rect">
                            <a:avLst/>
                          </a:prstGeom>
                        </pic:spPr>
                      </pic:pic>
                      <wps:wsp>
                        <wps:cNvPr id="26571" name="Rectangle 2657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6572" name="Rectangle 2657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2732" style="width:41.2715pt;height:299pt;position:absolute;mso-position-horizontal-relative:page;mso-position-horizontal:absolute;margin-left:653.71pt;mso-position-vertical-relative:page;margin-top:512.92pt;" coordsize="5241,37973">
                <v:shape id="Picture 26570" style="position:absolute;width:37973;height:3556;left:-17208;top:17208;rotation:-89;" filled="f">
                  <v:imagedata r:id="rId63"/>
                </v:shape>
                <v:rect id="Rectangle 2657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57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353 </w:t>
                        </w:r>
                      </w:p>
                    </w:txbxContent>
                  </v:textbox>
                </v:rect>
                <w10:wrap type="square"/>
              </v:group>
            </w:pict>
          </mc:Fallback>
        </mc:AlternateContent>
      </w:r>
      <w:r>
        <w:rPr>
          <w:rFonts w:ascii="Arial" w:eastAsia="Arial" w:hAnsi="Arial" w:cs="Arial"/>
          <w:color w:val="202020"/>
        </w:rPr>
        <w:t>La justificación de subvenciones mediante módulos únicamente se aplicarán si así se establece expresamente en las convocatorias de subvenciones, en los convenios</w:t>
      </w:r>
      <w:r>
        <w:rPr>
          <w:rFonts w:ascii="Arial" w:eastAsia="Arial" w:hAnsi="Arial" w:cs="Arial"/>
          <w:color w:val="202020"/>
        </w:rPr>
        <w:t xml:space="preserve"> de colaboración y resoluciones de concesión. En tal supuesto, las convocatorias o los convenios deberán cumplir los siguientes requisitos: </w:t>
      </w:r>
    </w:p>
    <w:p w:rsidR="00FF384B" w:rsidRDefault="003E3BA9">
      <w:pPr>
        <w:numPr>
          <w:ilvl w:val="2"/>
          <w:numId w:val="155"/>
        </w:numPr>
        <w:spacing w:after="95" w:line="248" w:lineRule="auto"/>
        <w:ind w:right="244" w:hanging="10"/>
        <w:jc w:val="both"/>
      </w:pPr>
      <w:r>
        <w:rPr>
          <w:rFonts w:ascii="Arial" w:eastAsia="Arial" w:hAnsi="Arial" w:cs="Arial"/>
          <w:color w:val="202020"/>
        </w:rPr>
        <w:t xml:space="preserve">Que la actividad a subvencionar o los recursos necesarios para su realización sean medibles en unidades físicas. </w:t>
      </w:r>
    </w:p>
    <w:p w:rsidR="00FF384B" w:rsidRDefault="003E3BA9">
      <w:pPr>
        <w:numPr>
          <w:ilvl w:val="2"/>
          <w:numId w:val="155"/>
        </w:numPr>
        <w:spacing w:after="92" w:line="248" w:lineRule="auto"/>
        <w:ind w:right="244" w:hanging="10"/>
        <w:jc w:val="both"/>
      </w:pPr>
      <w:r>
        <w:rPr>
          <w:rFonts w:ascii="Arial" w:eastAsia="Arial" w:hAnsi="Arial" w:cs="Arial"/>
          <w:color w:val="202020"/>
        </w:rPr>
        <w:t>Q</w:t>
      </w:r>
      <w:r>
        <w:rPr>
          <w:rFonts w:ascii="Arial" w:eastAsia="Arial" w:hAnsi="Arial" w:cs="Arial"/>
          <w:color w:val="202020"/>
        </w:rPr>
        <w:t xml:space="preserve">ue exista una evidencia o referencia del valor de mercado de la actividad a subvencionar o, en su caso, del de los recursos a emplear. </w:t>
      </w:r>
    </w:p>
    <w:p w:rsidR="00FF384B" w:rsidRDefault="003E3BA9">
      <w:pPr>
        <w:numPr>
          <w:ilvl w:val="2"/>
          <w:numId w:val="155"/>
        </w:numPr>
        <w:spacing w:after="92" w:line="248" w:lineRule="auto"/>
        <w:ind w:right="244" w:hanging="10"/>
        <w:jc w:val="both"/>
      </w:pPr>
      <w:r>
        <w:rPr>
          <w:rFonts w:ascii="Arial" w:eastAsia="Arial" w:hAnsi="Arial" w:cs="Arial"/>
          <w:color w:val="202020"/>
        </w:rPr>
        <w:t>Que el coste unitario de los módulos, podrá contener una parte fija y otra variable en función del nivel de actividad, q</w:t>
      </w:r>
      <w:r>
        <w:rPr>
          <w:rFonts w:ascii="Arial" w:eastAsia="Arial" w:hAnsi="Arial" w:cs="Arial"/>
          <w:color w:val="202020"/>
        </w:rPr>
        <w:t>ue se determinará sobre la base de un informe técnico motivado, en el que se contemplarán las variables técnicas, económicas y financieras que se han tenido en cuenta para la determinación del módulo, sobre la base de valores medios de mercado estimados pa</w:t>
      </w:r>
      <w:r>
        <w:rPr>
          <w:rFonts w:ascii="Arial" w:eastAsia="Arial" w:hAnsi="Arial" w:cs="Arial"/>
          <w:color w:val="202020"/>
        </w:rPr>
        <w:t xml:space="preserve">ra la realización de la actividad o del servicio objeto de la subvención. </w:t>
      </w:r>
    </w:p>
    <w:p w:rsidR="00FF384B" w:rsidRDefault="003E3BA9">
      <w:pPr>
        <w:numPr>
          <w:ilvl w:val="0"/>
          <w:numId w:val="154"/>
        </w:numPr>
        <w:spacing w:after="142" w:line="248" w:lineRule="auto"/>
        <w:ind w:right="244" w:hanging="10"/>
        <w:jc w:val="both"/>
      </w:pPr>
      <w:r>
        <w:rPr>
          <w:rFonts w:ascii="Arial" w:eastAsia="Arial" w:hAnsi="Arial" w:cs="Arial"/>
          <w:color w:val="202020"/>
        </w:rPr>
        <w:t>Cuando las convocatorias prevean el régimen de concesión y justificación a través de módulos, la concreción de los mismos y la elaboración del informe técnico podrá realizarse de fo</w:t>
      </w:r>
      <w:r>
        <w:rPr>
          <w:rFonts w:ascii="Arial" w:eastAsia="Arial" w:hAnsi="Arial" w:cs="Arial"/>
          <w:color w:val="202020"/>
        </w:rPr>
        <w:t xml:space="preserve">rma diferenciada para cada convocatoria. </w:t>
      </w:r>
    </w:p>
    <w:p w:rsidR="00FF384B" w:rsidRDefault="003E3BA9">
      <w:pPr>
        <w:numPr>
          <w:ilvl w:val="0"/>
          <w:numId w:val="154"/>
        </w:numPr>
        <w:spacing w:after="142" w:line="248" w:lineRule="auto"/>
        <w:ind w:right="244" w:hanging="10"/>
        <w:jc w:val="both"/>
      </w:pPr>
      <w:r>
        <w:rPr>
          <w:rFonts w:ascii="Arial" w:eastAsia="Arial" w:hAnsi="Arial" w:cs="Arial"/>
          <w:color w:val="202020"/>
        </w:rPr>
        <w:t>Cuando por circunstancias sobrevenidas se produzca una modificación de las condiciones económicas, financieras o técnicas tenidas en cuenta para el establecimiento y actualización de los módulos, el órgano competen</w:t>
      </w:r>
      <w:r>
        <w:rPr>
          <w:rFonts w:ascii="Arial" w:eastAsia="Arial" w:hAnsi="Arial" w:cs="Arial"/>
          <w:color w:val="202020"/>
        </w:rPr>
        <w:t xml:space="preserve">te aprobará la revisión del importe de los mismos, motivada a través del pertinente informe técnico. </w:t>
      </w:r>
    </w:p>
    <w:p w:rsidR="00FF384B" w:rsidRDefault="003E3BA9">
      <w:pPr>
        <w:numPr>
          <w:ilvl w:val="0"/>
          <w:numId w:val="154"/>
        </w:numPr>
        <w:spacing w:after="142" w:line="248" w:lineRule="auto"/>
        <w:ind w:right="244" w:hanging="10"/>
        <w:jc w:val="both"/>
      </w:pPr>
      <w:r>
        <w:rPr>
          <w:rFonts w:ascii="Arial" w:eastAsia="Arial" w:hAnsi="Arial" w:cs="Arial"/>
          <w:color w:val="202020"/>
        </w:rPr>
        <w:t xml:space="preserve">La justificación a través de módulos, se llevará mediante la presentación de la siguiente documentación: </w:t>
      </w:r>
    </w:p>
    <w:p w:rsidR="00FF384B" w:rsidRDefault="003E3BA9">
      <w:pPr>
        <w:numPr>
          <w:ilvl w:val="1"/>
          <w:numId w:val="154"/>
        </w:numPr>
        <w:spacing w:after="93" w:line="248" w:lineRule="auto"/>
        <w:ind w:right="244" w:hanging="360"/>
        <w:jc w:val="both"/>
      </w:pPr>
      <w:r>
        <w:rPr>
          <w:rFonts w:ascii="Arial" w:eastAsia="Arial" w:hAnsi="Arial" w:cs="Arial"/>
          <w:color w:val="202020"/>
        </w:rPr>
        <w:t>a) Una memoria de actuación justificativa del cu</w:t>
      </w:r>
      <w:r>
        <w:rPr>
          <w:rFonts w:ascii="Arial" w:eastAsia="Arial" w:hAnsi="Arial" w:cs="Arial"/>
          <w:color w:val="202020"/>
        </w:rPr>
        <w:t xml:space="preserve">mplimiento de las condiciones impuestas en la concesión de la subvención, con indicación de las actividades realizadas y de los resultados obtenidos. </w:t>
      </w:r>
    </w:p>
    <w:p w:rsidR="00FF384B" w:rsidRDefault="003E3BA9">
      <w:pPr>
        <w:numPr>
          <w:ilvl w:val="1"/>
          <w:numId w:val="154"/>
        </w:numPr>
        <w:spacing w:after="93" w:line="248" w:lineRule="auto"/>
        <w:ind w:right="244" w:hanging="360"/>
        <w:jc w:val="both"/>
      </w:pPr>
      <w:r>
        <w:rPr>
          <w:rFonts w:ascii="Arial" w:eastAsia="Arial" w:hAnsi="Arial" w:cs="Arial"/>
          <w:color w:val="202020"/>
        </w:rPr>
        <w:t xml:space="preserve">b) Una memoria económica justificativa que contendrá, como mínimo los siguientes extremos: </w:t>
      </w:r>
    </w:p>
    <w:p w:rsidR="00FF384B" w:rsidRDefault="003E3BA9">
      <w:pPr>
        <w:numPr>
          <w:ilvl w:val="3"/>
          <w:numId w:val="156"/>
        </w:numPr>
        <w:spacing w:after="92" w:line="248" w:lineRule="auto"/>
        <w:ind w:right="244" w:hanging="360"/>
        <w:jc w:val="both"/>
      </w:pPr>
      <w:r>
        <w:rPr>
          <w:rFonts w:ascii="Arial" w:eastAsia="Arial" w:hAnsi="Arial" w:cs="Arial"/>
          <w:color w:val="202020"/>
        </w:rPr>
        <w:t>1 Acreditació</w:t>
      </w:r>
      <w:r>
        <w:rPr>
          <w:rFonts w:ascii="Arial" w:eastAsia="Arial" w:hAnsi="Arial" w:cs="Arial"/>
          <w:color w:val="202020"/>
        </w:rPr>
        <w:t xml:space="preserve">n o, en su defecto, declaración del beneficiario sobre el número de unidades físicas consideradas como módulo. </w:t>
      </w:r>
    </w:p>
    <w:p w:rsidR="00FF384B" w:rsidRDefault="003E3BA9">
      <w:pPr>
        <w:numPr>
          <w:ilvl w:val="3"/>
          <w:numId w:val="156"/>
        </w:numPr>
        <w:spacing w:after="93" w:line="248" w:lineRule="auto"/>
        <w:ind w:right="244" w:hanging="360"/>
        <w:jc w:val="both"/>
      </w:pPr>
      <w:r>
        <w:rPr>
          <w:rFonts w:ascii="Arial" w:eastAsia="Arial" w:hAnsi="Arial" w:cs="Arial"/>
          <w:color w:val="202020"/>
        </w:rPr>
        <w:t>2 Cuantía de la subvención calculada sobre la base de las actividades cuantificadas en la memoria de actuación y los módulos contemplados en las</w:t>
      </w:r>
      <w:r>
        <w:rPr>
          <w:rFonts w:ascii="Arial" w:eastAsia="Arial" w:hAnsi="Arial" w:cs="Arial"/>
          <w:color w:val="202020"/>
        </w:rPr>
        <w:t xml:space="preserve"> bases reguladoras o, en su caso, en órdenes de convocatoria. </w:t>
      </w:r>
    </w:p>
    <w:p w:rsidR="00FF384B" w:rsidRDefault="003E3BA9">
      <w:pPr>
        <w:numPr>
          <w:ilvl w:val="3"/>
          <w:numId w:val="156"/>
        </w:numPr>
        <w:spacing w:after="142" w:line="248" w:lineRule="auto"/>
        <w:ind w:right="244" w:hanging="360"/>
        <w:jc w:val="both"/>
      </w:pPr>
      <w:r>
        <w:rPr>
          <w:rFonts w:ascii="Arial" w:eastAsia="Arial" w:hAnsi="Arial" w:cs="Arial"/>
          <w:color w:val="202020"/>
        </w:rPr>
        <w:t xml:space="preserve">3 Detalle de otros ingresos o subvenciones que hayan financiado la actividad subvencionada con indicación del importe y su procedencia. </w:t>
      </w:r>
    </w:p>
    <w:p w:rsidR="00FF384B" w:rsidRDefault="003E3BA9">
      <w:pPr>
        <w:spacing w:after="143" w:line="248" w:lineRule="auto"/>
        <w:ind w:left="278" w:right="244" w:hanging="10"/>
        <w:jc w:val="both"/>
      </w:pPr>
      <w:r>
        <w:rPr>
          <w:rFonts w:ascii="Arial" w:eastAsia="Arial" w:hAnsi="Arial" w:cs="Arial"/>
          <w:i/>
          <w:color w:val="202020"/>
        </w:rPr>
        <w:t xml:space="preserve">Artículo 48. Justificación mediante presentación de estados contables. </w:t>
      </w:r>
    </w:p>
    <w:p w:rsidR="00FF384B" w:rsidRDefault="003E3BA9">
      <w:pPr>
        <w:numPr>
          <w:ilvl w:val="0"/>
          <w:numId w:val="157"/>
        </w:numPr>
        <w:spacing w:after="142" w:line="248" w:lineRule="auto"/>
        <w:ind w:right="244" w:hanging="10"/>
        <w:jc w:val="both"/>
      </w:pPr>
      <w:r>
        <w:rPr>
          <w:rFonts w:ascii="Arial" w:eastAsia="Arial" w:hAnsi="Arial" w:cs="Arial"/>
          <w:color w:val="202020"/>
        </w:rPr>
        <w:t xml:space="preserve">Las convocatorias, convenio o resolución podrán prever que la subvención se justifique mediante la presentación de estados contables cuando: </w:t>
      </w:r>
    </w:p>
    <w:p w:rsidR="00FF384B" w:rsidRDefault="003E3BA9">
      <w:pPr>
        <w:numPr>
          <w:ilvl w:val="1"/>
          <w:numId w:val="157"/>
        </w:numPr>
        <w:spacing w:after="93" w:line="248" w:lineRule="auto"/>
        <w:ind w:right="244" w:hanging="360"/>
        <w:jc w:val="both"/>
      </w:pPr>
      <w:r>
        <w:rPr>
          <w:rFonts w:ascii="Arial" w:eastAsia="Arial" w:hAnsi="Arial" w:cs="Arial"/>
          <w:color w:val="202020"/>
        </w:rPr>
        <w:t>a) La información necesaria para determina</w:t>
      </w:r>
      <w:r>
        <w:rPr>
          <w:rFonts w:ascii="Arial" w:eastAsia="Arial" w:hAnsi="Arial" w:cs="Arial"/>
          <w:color w:val="202020"/>
        </w:rPr>
        <w:t xml:space="preserve">r la cuantía de la subvención pueda deducirse directamente de los estados financieros incorporados a la información contable de obligada preparación por el beneficiario. </w:t>
      </w:r>
    </w:p>
    <w:p w:rsidR="00FF384B" w:rsidRDefault="003E3BA9">
      <w:pPr>
        <w:numPr>
          <w:ilvl w:val="1"/>
          <w:numId w:val="157"/>
        </w:numPr>
        <w:spacing w:after="92" w:line="248" w:lineRule="auto"/>
        <w:ind w:right="244" w:hanging="360"/>
        <w:jc w:val="both"/>
      </w:pPr>
      <w:r>
        <w:rPr>
          <w:noProof/>
        </w:rPr>
        <mc:AlternateContent>
          <mc:Choice Requires="wpg">
            <w:drawing>
              <wp:anchor distT="0" distB="0" distL="114300" distR="114300" simplePos="0" relativeHeight="2517964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2908" name="Group 46290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725" name="Picture 26725"/>
                          <pic:cNvPicPr/>
                        </pic:nvPicPr>
                        <pic:blipFill>
                          <a:blip r:embed="rId62"/>
                          <a:stretch>
                            <a:fillRect/>
                          </a:stretch>
                        </pic:blipFill>
                        <pic:spPr>
                          <a:xfrm rot="-5399999">
                            <a:off x="-1720849" y="1720849"/>
                            <a:ext cx="3797300" cy="355601"/>
                          </a:xfrm>
                          <a:prstGeom prst="rect">
                            <a:avLst/>
                          </a:prstGeom>
                        </pic:spPr>
                      </pic:pic>
                      <wps:wsp>
                        <wps:cNvPr id="26726" name="Rectangle 267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26727" name="Rectangle 2672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2908" style="width:41.2715pt;height:299pt;position:absolute;mso-position-horizontal-relative:page;mso-position-horizontal:absolute;margin-left:653.71pt;mso-position-vertical-relative:page;margin-top:512.92pt;" coordsize="5241,37973">
                <v:shape id="Picture 26725" style="position:absolute;width:37973;height:3556;left:-17208;top:17208;rotation:-89;" filled="f">
                  <v:imagedata r:id="rId63"/>
                </v:shape>
                <v:rect id="Rectangle 267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7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353 </w:t>
                        </w:r>
                      </w:p>
                    </w:txbxContent>
                  </v:textbox>
                </v:rect>
                <w10:wrap type="square"/>
              </v:group>
            </w:pict>
          </mc:Fallback>
        </mc:AlternateContent>
      </w:r>
      <w:r>
        <w:rPr>
          <w:rFonts w:ascii="Arial" w:eastAsia="Arial" w:hAnsi="Arial" w:cs="Arial"/>
          <w:color w:val="202020"/>
        </w:rPr>
        <w:t>b) La citada información contable haya sido auditada conforme al sistema previsto en el ordenamiento jurídico al que esté sometido el beneficia</w:t>
      </w:r>
      <w:r>
        <w:rPr>
          <w:rFonts w:ascii="Arial" w:eastAsia="Arial" w:hAnsi="Arial" w:cs="Arial"/>
          <w:color w:val="202020"/>
        </w:rPr>
        <w:t xml:space="preserve">rio. </w:t>
      </w:r>
    </w:p>
    <w:p w:rsidR="00FF384B" w:rsidRDefault="003E3BA9">
      <w:pPr>
        <w:numPr>
          <w:ilvl w:val="0"/>
          <w:numId w:val="157"/>
        </w:numPr>
        <w:spacing w:after="142" w:line="248" w:lineRule="auto"/>
        <w:ind w:right="244" w:hanging="10"/>
        <w:jc w:val="both"/>
      </w:pPr>
      <w:r>
        <w:rPr>
          <w:rFonts w:ascii="Arial" w:eastAsia="Arial" w:hAnsi="Arial" w:cs="Arial"/>
          <w:color w:val="202020"/>
        </w:rPr>
        <w:t>Además de la información descrita en el apartado 1 de este artículo, las bases reguladoras podrán prever la entrega de un informe complementario elaborado por el auditor de cuentas y siguiendo lo previsto en el Reglamento que desarrolla la Ley de Aud</w:t>
      </w:r>
      <w:r>
        <w:rPr>
          <w:rFonts w:ascii="Arial" w:eastAsia="Arial" w:hAnsi="Arial" w:cs="Arial"/>
          <w:color w:val="202020"/>
        </w:rPr>
        <w:t xml:space="preserve">itoría de Cuentas. </w:t>
      </w:r>
    </w:p>
    <w:p w:rsidR="00FF384B" w:rsidRDefault="003E3BA9">
      <w:pPr>
        <w:numPr>
          <w:ilvl w:val="0"/>
          <w:numId w:val="157"/>
        </w:numPr>
        <w:spacing w:after="142" w:line="248" w:lineRule="auto"/>
        <w:ind w:right="244" w:hanging="10"/>
        <w:jc w:val="both"/>
      </w:pPr>
      <w:r>
        <w:rPr>
          <w:rFonts w:ascii="Arial" w:eastAsia="Arial" w:hAnsi="Arial" w:cs="Arial"/>
          <w:color w:val="202020"/>
        </w:rPr>
        <w:t>Cuando el alcance de una auditoría de cuentas no se considere suficiente, las bases reguladoras establecerán el alcance adicional de la revisión a llevar a cabo por el auditor respecto de la información contable que sirva de base para d</w:t>
      </w:r>
      <w:r>
        <w:rPr>
          <w:rFonts w:ascii="Arial" w:eastAsia="Arial" w:hAnsi="Arial" w:cs="Arial"/>
          <w:color w:val="202020"/>
        </w:rPr>
        <w:t>eterminar la cuantía de la subvención. En este caso, los resultados del trabajo se incorporarán al informe complementario al que se refiere el apartado 2 de este artículo y la retribución adicional que corresponda percibir al auditor de cuentas podrá tener</w:t>
      </w:r>
      <w:r>
        <w:rPr>
          <w:rFonts w:ascii="Arial" w:eastAsia="Arial" w:hAnsi="Arial" w:cs="Arial"/>
          <w:color w:val="202020"/>
        </w:rPr>
        <w:t xml:space="preserve"> la condición de gasto a subvencionar cuando lo establezcan dichas bases hasta el límite que en ellas se fije.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49. Justificación de subvenciones para el supuesto de actividades cofinanciadas. </w:t>
      </w:r>
    </w:p>
    <w:p w:rsidR="00FF384B" w:rsidRDefault="003E3BA9">
      <w:pPr>
        <w:numPr>
          <w:ilvl w:val="0"/>
          <w:numId w:val="158"/>
        </w:numPr>
        <w:spacing w:after="142" w:line="248" w:lineRule="auto"/>
        <w:ind w:right="244" w:hanging="10"/>
        <w:jc w:val="both"/>
      </w:pPr>
      <w:r>
        <w:rPr>
          <w:rFonts w:ascii="Arial" w:eastAsia="Arial" w:hAnsi="Arial" w:cs="Arial"/>
          <w:color w:val="202020"/>
        </w:rPr>
        <w:t>Para el caso de actividades en cuya financiación concurran subvenciones del Ayuntamiento de Candelaria con fondos propios del beneficiario u otras subvenciones o recursos, deberá acreditarse, mediante la modalidad de rendición de cuenta justificativa regul</w:t>
      </w:r>
      <w:r>
        <w:rPr>
          <w:rFonts w:ascii="Arial" w:eastAsia="Arial" w:hAnsi="Arial" w:cs="Arial"/>
          <w:color w:val="202020"/>
        </w:rPr>
        <w:t>ada en los artículos 45, 46 y 47 de esta Ordenanza, según proceda, que se han cumplido, tanto la realización del gasto y demás condiciones propias de toda subvención, así como el importe, procedencia y aplicación de tales fondos a las actividades subvencio</w:t>
      </w:r>
      <w:r>
        <w:rPr>
          <w:rFonts w:ascii="Arial" w:eastAsia="Arial" w:hAnsi="Arial" w:cs="Arial"/>
          <w:color w:val="202020"/>
        </w:rPr>
        <w:t xml:space="preserve">nadas. </w:t>
      </w:r>
    </w:p>
    <w:p w:rsidR="00FF384B" w:rsidRDefault="003E3BA9">
      <w:pPr>
        <w:numPr>
          <w:ilvl w:val="0"/>
          <w:numId w:val="158"/>
        </w:numPr>
        <w:spacing w:after="142" w:line="248" w:lineRule="auto"/>
        <w:ind w:right="244" w:hanging="10"/>
        <w:jc w:val="both"/>
      </w:pPr>
      <w:r>
        <w:rPr>
          <w:rFonts w:ascii="Arial" w:eastAsia="Arial" w:hAnsi="Arial" w:cs="Arial"/>
          <w:color w:val="202020"/>
        </w:rPr>
        <w:t xml:space="preserve">Es decir, se especificará tanto el porcentaje de cada factura o documento que se imputa a la justificación del convenio o subvención, como la existencia y cuantía del resto de recursos financieros distintos de la subvención municipal utilizados en </w:t>
      </w:r>
      <w:r>
        <w:rPr>
          <w:rFonts w:ascii="Arial" w:eastAsia="Arial" w:hAnsi="Arial" w:cs="Arial"/>
          <w:color w:val="202020"/>
        </w:rPr>
        <w:t>el desarrollo de la actividad de que se trate. En tal sentido, la memoria de evaluación habrá de recoger un apartado en el que expresamente se especifique la totalidad de financiación con la que se ha contado para desarrollar la actividad subvencionada, se</w:t>
      </w:r>
      <w:r>
        <w:rPr>
          <w:rFonts w:ascii="Arial" w:eastAsia="Arial" w:hAnsi="Arial" w:cs="Arial"/>
          <w:color w:val="202020"/>
        </w:rPr>
        <w:t xml:space="preserve">gún el siguiente desglose: </w:t>
      </w:r>
    </w:p>
    <w:p w:rsidR="00FF384B" w:rsidRDefault="003E3BA9">
      <w:pPr>
        <w:numPr>
          <w:ilvl w:val="1"/>
          <w:numId w:val="158"/>
        </w:numPr>
        <w:spacing w:after="81" w:line="248" w:lineRule="auto"/>
        <w:ind w:right="244" w:hanging="360"/>
        <w:jc w:val="both"/>
      </w:pPr>
      <w:r>
        <w:rPr>
          <w:rFonts w:ascii="Arial" w:eastAsia="Arial" w:hAnsi="Arial" w:cs="Arial"/>
          <w:color w:val="202020"/>
        </w:rPr>
        <w:t xml:space="preserve">a) Cuantía de la subvención otorgada. </w:t>
      </w:r>
    </w:p>
    <w:p w:rsidR="00FF384B" w:rsidRDefault="003E3BA9">
      <w:pPr>
        <w:numPr>
          <w:ilvl w:val="1"/>
          <w:numId w:val="158"/>
        </w:numPr>
        <w:spacing w:after="80" w:line="248" w:lineRule="auto"/>
        <w:ind w:right="244" w:hanging="360"/>
        <w:jc w:val="both"/>
      </w:pPr>
      <w:r>
        <w:rPr>
          <w:rFonts w:ascii="Arial" w:eastAsia="Arial" w:hAnsi="Arial" w:cs="Arial"/>
          <w:color w:val="202020"/>
        </w:rPr>
        <w:t xml:space="preserve">b) Otras subvenciones de distintas Administraciones públicas. </w:t>
      </w:r>
    </w:p>
    <w:p w:rsidR="00FF384B" w:rsidRDefault="003E3BA9">
      <w:pPr>
        <w:numPr>
          <w:ilvl w:val="1"/>
          <w:numId w:val="158"/>
        </w:numPr>
        <w:spacing w:after="0" w:line="325" w:lineRule="auto"/>
        <w:ind w:right="244" w:hanging="360"/>
        <w:jc w:val="both"/>
      </w:pPr>
      <w:r>
        <w:rPr>
          <w:rFonts w:ascii="Arial" w:eastAsia="Arial" w:hAnsi="Arial" w:cs="Arial"/>
          <w:color w:val="202020"/>
        </w:rPr>
        <w:t xml:space="preserve">c) Importe de los fondos propios destinados a financiar la actividad.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color w:val="202020"/>
          <w:sz w:val="20"/>
        </w:rPr>
        <w:tab/>
      </w:r>
      <w:r>
        <w:rPr>
          <w:rFonts w:ascii="Arial" w:eastAsia="Arial" w:hAnsi="Arial" w:cs="Arial"/>
          <w:color w:val="202020"/>
        </w:rPr>
        <w:t xml:space="preserve">d) Otros recursos. </w:t>
      </w:r>
    </w:p>
    <w:p w:rsidR="00FF384B" w:rsidRDefault="003E3BA9">
      <w:pPr>
        <w:numPr>
          <w:ilvl w:val="0"/>
          <w:numId w:val="158"/>
        </w:numPr>
        <w:spacing w:after="142" w:line="248" w:lineRule="auto"/>
        <w:ind w:right="244" w:hanging="10"/>
        <w:jc w:val="both"/>
      </w:pPr>
      <w:r>
        <w:rPr>
          <w:rFonts w:ascii="Arial" w:eastAsia="Arial" w:hAnsi="Arial" w:cs="Arial"/>
          <w:color w:val="202020"/>
        </w:rPr>
        <w:t xml:space="preserve">El órgano gestor municipal competente por razón de la materia, especificará en su informe acerca del cumplimiento del objeto del convenio, estas circunstancias. </w:t>
      </w:r>
    </w:p>
    <w:p w:rsidR="00FF384B" w:rsidRDefault="003E3BA9">
      <w:pPr>
        <w:spacing w:after="143" w:line="248" w:lineRule="auto"/>
        <w:ind w:left="278" w:right="244" w:hanging="10"/>
        <w:jc w:val="both"/>
      </w:pPr>
      <w:r>
        <w:rPr>
          <w:rFonts w:ascii="Arial" w:eastAsia="Arial" w:hAnsi="Arial" w:cs="Arial"/>
          <w:i/>
          <w:color w:val="202020"/>
        </w:rPr>
        <w:t xml:space="preserve">Artículo 50. Justificación de subvenciones destinadas a la adquisición de bienes inmuebles. </w:t>
      </w:r>
    </w:p>
    <w:p w:rsidR="00FF384B" w:rsidRDefault="003E3BA9">
      <w:pPr>
        <w:spacing w:after="142" w:line="248" w:lineRule="auto"/>
        <w:ind w:left="278" w:right="244" w:hanging="10"/>
        <w:jc w:val="both"/>
      </w:pPr>
      <w:r>
        <w:rPr>
          <w:rFonts w:ascii="Arial" w:eastAsia="Arial" w:hAnsi="Arial" w:cs="Arial"/>
          <w:color w:val="202020"/>
        </w:rPr>
        <w:t>A</w:t>
      </w:r>
      <w:r>
        <w:rPr>
          <w:rFonts w:ascii="Arial" w:eastAsia="Arial" w:hAnsi="Arial" w:cs="Arial"/>
          <w:color w:val="202020"/>
        </w:rPr>
        <w:t>demás de la cuenta justificativa establecida en los artículos 45, 46, 47 de esta Ordenanza, junto con las facturas y demás justificantes en el mismo establecidos, podrá ser emitido informe por las Concejalías que tramiten las subvenciones y, en su caso, po</w:t>
      </w:r>
      <w:r>
        <w:rPr>
          <w:rFonts w:ascii="Arial" w:eastAsia="Arial" w:hAnsi="Arial" w:cs="Arial"/>
          <w:color w:val="202020"/>
        </w:rPr>
        <w:t xml:space="preserve">r tasador independiente debidamente acreditado e inscrito en el correspondiente registro oficial, en relación con el coste y precio de mercado. </w:t>
      </w:r>
    </w:p>
    <w:p w:rsidR="00FF384B" w:rsidRDefault="003E3BA9">
      <w:pPr>
        <w:spacing w:after="131"/>
        <w:ind w:left="283"/>
      </w:pPr>
      <w:r>
        <w:rPr>
          <w:noProof/>
        </w:rPr>
        <mc:AlternateContent>
          <mc:Choice Requires="wpg">
            <w:drawing>
              <wp:anchor distT="0" distB="0" distL="114300" distR="114300" simplePos="0" relativeHeight="2517975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141" name="Group 46314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6880" name="Picture 26880"/>
                          <pic:cNvPicPr/>
                        </pic:nvPicPr>
                        <pic:blipFill>
                          <a:blip r:embed="rId62"/>
                          <a:stretch>
                            <a:fillRect/>
                          </a:stretch>
                        </pic:blipFill>
                        <pic:spPr>
                          <a:xfrm rot="-5399999">
                            <a:off x="-1720849" y="1720849"/>
                            <a:ext cx="3797300" cy="355601"/>
                          </a:xfrm>
                          <a:prstGeom prst="rect">
                            <a:avLst/>
                          </a:prstGeom>
                        </pic:spPr>
                      </pic:pic>
                      <wps:wsp>
                        <wps:cNvPr id="26881" name="Rectangle 2688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6882" name="Rectangle 2688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w:t>
                              </w:r>
                              <w:r>
                                <w:rPr>
                                  <w:rFonts w:ascii="Arial" w:eastAsia="Arial" w:hAnsi="Arial" w:cs="Arial"/>
                                  <w:sz w:val="12"/>
                                </w:rPr>
                                <w:t xml:space="preserve">o firmado electrónicamente desde la plataforma esPublico Gestiona | Página 135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141" style="width:41.2715pt;height:299pt;position:absolute;mso-position-horizontal-relative:page;mso-position-horizontal:absolute;margin-left:653.71pt;mso-position-vertical-relative:page;margin-top:512.92pt;" coordsize="5241,37973">
                <v:shape id="Picture 26880" style="position:absolute;width:37973;height:3556;left:-17208;top:17208;rotation:-89;" filled="f">
                  <v:imagedata r:id="rId63"/>
                </v:shape>
                <v:rect id="Rectangle 2688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688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353 </w:t>
                        </w:r>
                      </w:p>
                    </w:txbxContent>
                  </v:textbox>
                </v:rect>
                <w10:wrap type="square"/>
              </v:group>
            </w:pict>
          </mc:Fallback>
        </mc:AlternateContent>
      </w: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51. Justificación de las subvenciones de actividades ejecutadas con anterioridad a su concesión. </w:t>
      </w:r>
    </w:p>
    <w:p w:rsidR="00FF384B" w:rsidRDefault="003E3BA9">
      <w:pPr>
        <w:spacing w:after="142" w:line="248" w:lineRule="auto"/>
        <w:ind w:left="278" w:right="244" w:hanging="10"/>
        <w:jc w:val="both"/>
      </w:pPr>
      <w:r>
        <w:rPr>
          <w:rFonts w:ascii="Arial" w:eastAsia="Arial" w:hAnsi="Arial" w:cs="Arial"/>
          <w:color w:val="202020"/>
        </w:rPr>
        <w:t>Se trata de aquellos supuestos en los que se otorga una subvención no para desarrollar una actividad, sino en atención a una actividad o comportamiento anteriores a la concesión de la subvención o a la concurrencia de una determinada situación. La acredita</w:t>
      </w:r>
      <w:r>
        <w:rPr>
          <w:rFonts w:ascii="Arial" w:eastAsia="Arial" w:hAnsi="Arial" w:cs="Arial"/>
          <w:color w:val="202020"/>
        </w:rPr>
        <w:t xml:space="preserve">ción de tal actividad, comportamiento o situación debe realizarse antes del otorgamiento de la subvención. La justificación no será pues una carga u obligación derivada de la concesión de la subvención sino que será un requisito para la concesión. </w:t>
      </w:r>
    </w:p>
    <w:p w:rsidR="00FF384B" w:rsidRDefault="003E3BA9">
      <w:pPr>
        <w:spacing w:after="131"/>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Artíc</w:t>
      </w:r>
      <w:r>
        <w:rPr>
          <w:rFonts w:ascii="Arial" w:eastAsia="Arial" w:hAnsi="Arial" w:cs="Arial"/>
          <w:i/>
          <w:color w:val="202020"/>
        </w:rPr>
        <w:t xml:space="preserve">ulo 52. Peculiaridades de la justificación de subvenciones gestionadas por entidades colaboradoras. </w:t>
      </w:r>
    </w:p>
    <w:p w:rsidR="00FF384B" w:rsidRDefault="003E3BA9">
      <w:pPr>
        <w:numPr>
          <w:ilvl w:val="0"/>
          <w:numId w:val="159"/>
        </w:numPr>
        <w:spacing w:after="142" w:line="248" w:lineRule="auto"/>
        <w:ind w:right="244" w:hanging="10"/>
        <w:jc w:val="both"/>
      </w:pPr>
      <w:r>
        <w:rPr>
          <w:rFonts w:ascii="Arial" w:eastAsia="Arial" w:hAnsi="Arial" w:cs="Arial"/>
          <w:color w:val="202020"/>
        </w:rPr>
        <w:t>La justificación de las subvenciones gestionadas por entidades colaboradoras se refiere, tanto a la acreditación de la entrega a los beneficiarios de los f</w:t>
      </w:r>
      <w:r>
        <w:rPr>
          <w:rFonts w:ascii="Arial" w:eastAsia="Arial" w:hAnsi="Arial" w:cs="Arial"/>
          <w:color w:val="202020"/>
        </w:rPr>
        <w:t>ondos recibidos, como a la presentación ante éste de la justificación aportada por los beneficiarios, que se extenderá no sólo a la aplicación de los fondos por los mismos, sino también al cumplimiento de las condiciones para el cobro por aquéllos, en func</w:t>
      </w:r>
      <w:r>
        <w:rPr>
          <w:rFonts w:ascii="Arial" w:eastAsia="Arial" w:hAnsi="Arial" w:cs="Arial"/>
          <w:color w:val="202020"/>
        </w:rPr>
        <w:t xml:space="preserve">ión de lo dispuesto en el convenio de colaboración. </w:t>
      </w:r>
    </w:p>
    <w:p w:rsidR="00FF384B" w:rsidRDefault="003E3BA9">
      <w:pPr>
        <w:numPr>
          <w:ilvl w:val="0"/>
          <w:numId w:val="159"/>
        </w:numPr>
        <w:spacing w:after="142" w:line="248" w:lineRule="auto"/>
        <w:ind w:right="244" w:hanging="10"/>
        <w:jc w:val="both"/>
      </w:pPr>
      <w:r>
        <w:rPr>
          <w:rFonts w:ascii="Arial" w:eastAsia="Arial" w:hAnsi="Arial" w:cs="Arial"/>
          <w:color w:val="202020"/>
        </w:rPr>
        <w:t>La entidad colaboradora estará obligada, igualmente, a someterse a las actuaciones de comprobación que respecto de la gestión de los fondos municipales pueda efectuar el Ayuntamiento de Candelaria, así c</w:t>
      </w:r>
      <w:r>
        <w:rPr>
          <w:rFonts w:ascii="Arial" w:eastAsia="Arial" w:hAnsi="Arial" w:cs="Arial"/>
          <w:color w:val="202020"/>
        </w:rPr>
        <w:t xml:space="preserve">omo cualesquiera otras de comprobación y control financiero, aportando cuanta información le sea requerida en el ejercicio de las actuaciones citadas. </w:t>
      </w:r>
    </w:p>
    <w:p w:rsidR="00FF384B" w:rsidRDefault="003E3BA9">
      <w:pPr>
        <w:spacing w:after="143" w:line="248" w:lineRule="auto"/>
        <w:ind w:left="278" w:right="244" w:hanging="10"/>
        <w:jc w:val="both"/>
      </w:pPr>
      <w:r>
        <w:rPr>
          <w:rFonts w:ascii="Arial" w:eastAsia="Arial" w:hAnsi="Arial" w:cs="Arial"/>
          <w:i/>
          <w:color w:val="202020"/>
        </w:rPr>
        <w:t xml:space="preserve">Artículo 53. Plazo para la justificación. </w:t>
      </w:r>
    </w:p>
    <w:p w:rsidR="00FF384B" w:rsidRDefault="003E3BA9">
      <w:pPr>
        <w:numPr>
          <w:ilvl w:val="0"/>
          <w:numId w:val="160"/>
        </w:numPr>
        <w:spacing w:after="142" w:line="248" w:lineRule="auto"/>
        <w:ind w:right="244" w:hanging="10"/>
        <w:jc w:val="both"/>
      </w:pPr>
      <w:r>
        <w:rPr>
          <w:rFonts w:ascii="Arial" w:eastAsia="Arial" w:hAnsi="Arial" w:cs="Arial"/>
          <w:color w:val="202020"/>
        </w:rPr>
        <w:t>La convocatoria de la subvención y, en su caso, el convenio d</w:t>
      </w:r>
      <w:r>
        <w:rPr>
          <w:rFonts w:ascii="Arial" w:eastAsia="Arial" w:hAnsi="Arial" w:cs="Arial"/>
          <w:color w:val="202020"/>
        </w:rPr>
        <w:t xml:space="preserve">e colaboración, fijarán el plazo de inicio del periodo de rendición de la justificación de las subvenciones y su final, que será como máximo, de tres meses desde la finalización del plazo para la realización de la actividad. </w:t>
      </w:r>
    </w:p>
    <w:p w:rsidR="00FF384B" w:rsidRDefault="003E3BA9">
      <w:pPr>
        <w:numPr>
          <w:ilvl w:val="0"/>
          <w:numId w:val="160"/>
        </w:numPr>
        <w:spacing w:after="142" w:line="248" w:lineRule="auto"/>
        <w:ind w:right="244" w:hanging="10"/>
        <w:jc w:val="both"/>
      </w:pPr>
      <w:r>
        <w:rPr>
          <w:rFonts w:ascii="Arial" w:eastAsia="Arial" w:hAnsi="Arial" w:cs="Arial"/>
          <w:color w:val="202020"/>
        </w:rPr>
        <w:t>Excepcionalmente y si por razo</w:t>
      </w:r>
      <w:r>
        <w:rPr>
          <w:rFonts w:ascii="Arial" w:eastAsia="Arial" w:hAnsi="Arial" w:cs="Arial"/>
          <w:color w:val="202020"/>
        </w:rPr>
        <w:t>nes justificadas debidamente motivadas no pudiera realizarse o justificarse en el plazo previsto, el órgano concedente podrá acordar, siempre con anterioridad a la finalización del plazo concedido, la prórroga del plazo, que no excederá de la mitad del pre</w:t>
      </w:r>
      <w:r>
        <w:rPr>
          <w:rFonts w:ascii="Arial" w:eastAsia="Arial" w:hAnsi="Arial" w:cs="Arial"/>
          <w:color w:val="202020"/>
        </w:rPr>
        <w:t xml:space="preserve">visto en el párrafo anterior, siempre que no se perjudiquen derechos de terceros. </w:t>
      </w:r>
    </w:p>
    <w:p w:rsidR="00FF384B" w:rsidRDefault="003E3BA9">
      <w:pPr>
        <w:spacing w:after="143" w:line="248" w:lineRule="auto"/>
        <w:ind w:left="278" w:right="244" w:hanging="10"/>
        <w:jc w:val="both"/>
      </w:pPr>
      <w:r>
        <w:rPr>
          <w:rFonts w:ascii="Arial" w:eastAsia="Arial" w:hAnsi="Arial" w:cs="Arial"/>
          <w:i/>
          <w:color w:val="202020"/>
        </w:rPr>
        <w:t xml:space="preserve">Art. 54. Efectos del incumplimiento del deber de justificación. </w:t>
      </w:r>
    </w:p>
    <w:p w:rsidR="00FF384B" w:rsidRDefault="003E3BA9">
      <w:pPr>
        <w:numPr>
          <w:ilvl w:val="0"/>
          <w:numId w:val="161"/>
        </w:numPr>
        <w:spacing w:after="142" w:line="248" w:lineRule="auto"/>
        <w:ind w:right="244" w:hanging="10"/>
        <w:jc w:val="both"/>
      </w:pPr>
      <w:r>
        <w:rPr>
          <w:rFonts w:ascii="Arial" w:eastAsia="Arial" w:hAnsi="Arial" w:cs="Arial"/>
          <w:color w:val="202020"/>
        </w:rPr>
        <w:t xml:space="preserve">Transcurrido el plazo de justificación, incluida la prórroga cuando hubiese sido concedida, sin que se haya </w:t>
      </w:r>
      <w:r>
        <w:rPr>
          <w:rFonts w:ascii="Arial" w:eastAsia="Arial" w:hAnsi="Arial" w:cs="Arial"/>
          <w:color w:val="202020"/>
        </w:rPr>
        <w:t>presentado la justificación, se requerirá al beneficiario para que sea presentada en el plazo improrrogable de quince días. El incumplimiento de la obligación de justificación o la justificación insuficiente de la misma llevaran consigo la pérdida del dere</w:t>
      </w:r>
      <w:r>
        <w:rPr>
          <w:rFonts w:ascii="Arial" w:eastAsia="Arial" w:hAnsi="Arial" w:cs="Arial"/>
          <w:color w:val="202020"/>
        </w:rPr>
        <w:t xml:space="preserve">cho al cobro o el reintegro de las cantidades percibidas y, en su caso, los intereses de demora que procedan </w:t>
      </w:r>
    </w:p>
    <w:p w:rsidR="00FF384B" w:rsidRDefault="003E3BA9">
      <w:pPr>
        <w:numPr>
          <w:ilvl w:val="0"/>
          <w:numId w:val="161"/>
        </w:numPr>
        <w:spacing w:after="142" w:line="248" w:lineRule="auto"/>
        <w:ind w:right="244" w:hanging="10"/>
        <w:jc w:val="both"/>
      </w:pPr>
      <w:r>
        <w:rPr>
          <w:noProof/>
        </w:rPr>
        <mc:AlternateContent>
          <mc:Choice Requires="wpg">
            <w:drawing>
              <wp:anchor distT="0" distB="0" distL="114300" distR="114300" simplePos="0" relativeHeight="2517985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277" name="Group 46327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016" name="Picture 27016"/>
                          <pic:cNvPicPr/>
                        </pic:nvPicPr>
                        <pic:blipFill>
                          <a:blip r:embed="rId62"/>
                          <a:stretch>
                            <a:fillRect/>
                          </a:stretch>
                        </pic:blipFill>
                        <pic:spPr>
                          <a:xfrm rot="-5399999">
                            <a:off x="-1720849" y="1720849"/>
                            <a:ext cx="3797300" cy="355601"/>
                          </a:xfrm>
                          <a:prstGeom prst="rect">
                            <a:avLst/>
                          </a:prstGeom>
                        </pic:spPr>
                      </pic:pic>
                      <wps:wsp>
                        <wps:cNvPr id="27017" name="Rectangle 2701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018" name="Rectangle 2701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277" style="width:41.2715pt;height:299pt;position:absolute;mso-position-horizontal-relative:page;mso-position-horizontal:absolute;margin-left:653.71pt;mso-position-vertical-relative:page;margin-top:512.92pt;" coordsize="5241,37973">
                <v:shape id="Picture 27016" style="position:absolute;width:37973;height:3556;left:-17208;top:17208;rotation:-89;" filled="f">
                  <v:imagedata r:id="rId63"/>
                </v:shape>
                <v:rect id="Rectangle 2701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01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353 </w:t>
                        </w:r>
                      </w:p>
                    </w:txbxContent>
                  </v:textbox>
                </v:rect>
                <w10:wrap type="square"/>
              </v:group>
            </w:pict>
          </mc:Fallback>
        </mc:AlternateContent>
      </w:r>
      <w:r>
        <w:rPr>
          <w:rFonts w:ascii="Arial" w:eastAsia="Arial" w:hAnsi="Arial" w:cs="Arial"/>
          <w:color w:val="202020"/>
        </w:rPr>
        <w:t>Cuando el órgano competente para la comprobación de la subvención aprecie la existencia de defectos subsanables en la justificación presentada por el beneficiari</w:t>
      </w:r>
      <w:r>
        <w:rPr>
          <w:rFonts w:ascii="Arial" w:eastAsia="Arial" w:hAnsi="Arial" w:cs="Arial"/>
          <w:color w:val="202020"/>
        </w:rPr>
        <w:t>o, lo pondrá en su conocimiento concediéndole un plazo de diez días para su corrección. La falta de subsanación de los defectos en este plazo, si son sustanciales de modo que impidan comprobar el cumplimiento, llevará consigo las mismas consecuencias que e</w:t>
      </w:r>
      <w:r>
        <w:rPr>
          <w:rFonts w:ascii="Arial" w:eastAsia="Arial" w:hAnsi="Arial" w:cs="Arial"/>
          <w:color w:val="202020"/>
        </w:rPr>
        <w:t xml:space="preserve">l incumplimiento de la obligación de justificación. </w:t>
      </w:r>
    </w:p>
    <w:p w:rsidR="00FF384B" w:rsidRDefault="003E3BA9">
      <w:pPr>
        <w:numPr>
          <w:ilvl w:val="0"/>
          <w:numId w:val="161"/>
        </w:numPr>
        <w:spacing w:after="142" w:line="248" w:lineRule="auto"/>
        <w:ind w:right="244" w:hanging="10"/>
        <w:jc w:val="both"/>
      </w:pPr>
      <w:r>
        <w:rPr>
          <w:rFonts w:ascii="Arial" w:eastAsia="Arial" w:hAnsi="Arial" w:cs="Arial"/>
          <w:color w:val="202020"/>
        </w:rPr>
        <w:t xml:space="preserve">El incumplimiento total o parcial de la obligación de justificación de la subvención o la justificación fuera de plazo llevará aparejado la obligación de reintegrar las cantidades no justificadas.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Art</w:t>
      </w:r>
      <w:r>
        <w:rPr>
          <w:rFonts w:ascii="Arial" w:eastAsia="Arial" w:hAnsi="Arial" w:cs="Arial"/>
          <w:i/>
          <w:color w:val="202020"/>
        </w:rPr>
        <w:t xml:space="preserve">ículo 55. Comprobación de subvenciones. </w:t>
      </w:r>
    </w:p>
    <w:p w:rsidR="00FF384B" w:rsidRDefault="003E3BA9">
      <w:pPr>
        <w:spacing w:after="142" w:line="248" w:lineRule="auto"/>
        <w:ind w:left="278" w:right="244" w:hanging="10"/>
        <w:jc w:val="both"/>
      </w:pPr>
      <w:r>
        <w:rPr>
          <w:rFonts w:ascii="Arial" w:eastAsia="Arial" w:hAnsi="Arial" w:cs="Arial"/>
          <w:color w:val="202020"/>
        </w:rPr>
        <w:t xml:space="preserve">El órgano concedente deberá comprobar la adecuada justificación de la subvención, así como la realización de la actividad y el cumplimiento de la finalidad que determinen la concesión de la subvención y todas las características especiales de la actuación </w:t>
      </w:r>
      <w:r>
        <w:rPr>
          <w:rFonts w:ascii="Arial" w:eastAsia="Arial" w:hAnsi="Arial" w:cs="Arial"/>
          <w:color w:val="202020"/>
        </w:rPr>
        <w:t xml:space="preserve">financiada, en especial la posible subcontratación, cumpliendo los siguientes trámites: </w:t>
      </w:r>
    </w:p>
    <w:p w:rsidR="00FF384B" w:rsidRDefault="003E3BA9">
      <w:pPr>
        <w:numPr>
          <w:ilvl w:val="0"/>
          <w:numId w:val="162"/>
        </w:numPr>
        <w:spacing w:after="142" w:line="248" w:lineRule="auto"/>
        <w:ind w:right="244" w:hanging="10"/>
        <w:jc w:val="both"/>
      </w:pPr>
      <w:r>
        <w:rPr>
          <w:rFonts w:ascii="Arial" w:eastAsia="Arial" w:hAnsi="Arial" w:cs="Arial"/>
          <w:color w:val="202020"/>
        </w:rPr>
        <w:t xml:space="preserve">Presentación, en plazo, de la documentación justificativa de la subvención, en el lugar donde la convocatoria o el convenio prevean y de acuerdo con lo previsto en la </w:t>
      </w:r>
      <w:r>
        <w:rPr>
          <w:rFonts w:ascii="Arial" w:eastAsia="Arial" w:hAnsi="Arial" w:cs="Arial"/>
          <w:color w:val="202020"/>
        </w:rPr>
        <w:t xml:space="preserve">legislación vigente de Procedimiento Administrativo Común. </w:t>
      </w:r>
    </w:p>
    <w:p w:rsidR="00FF384B" w:rsidRDefault="003E3BA9">
      <w:pPr>
        <w:numPr>
          <w:ilvl w:val="0"/>
          <w:numId w:val="162"/>
        </w:numPr>
        <w:spacing w:after="142" w:line="248" w:lineRule="auto"/>
        <w:ind w:right="244" w:hanging="10"/>
        <w:jc w:val="both"/>
      </w:pPr>
      <w:r>
        <w:rPr>
          <w:rFonts w:ascii="Arial" w:eastAsia="Arial" w:hAnsi="Arial" w:cs="Arial"/>
          <w:color w:val="202020"/>
        </w:rPr>
        <w:t>Comprobación material por el órgano gestor, de que la documentación presentada cumple los requisitos establecidos en esta Ordenanza, en la convocatoria de la subvención o en el convenio de colabor</w:t>
      </w:r>
      <w:r>
        <w:rPr>
          <w:rFonts w:ascii="Arial" w:eastAsia="Arial" w:hAnsi="Arial" w:cs="Arial"/>
          <w:color w:val="202020"/>
        </w:rPr>
        <w:t xml:space="preserve">ación y en el acuerdo de aprobación. </w:t>
      </w:r>
    </w:p>
    <w:p w:rsidR="00FF384B" w:rsidRDefault="003E3BA9">
      <w:pPr>
        <w:numPr>
          <w:ilvl w:val="0"/>
          <w:numId w:val="162"/>
        </w:numPr>
        <w:spacing w:after="142" w:line="248" w:lineRule="auto"/>
        <w:ind w:right="244" w:hanging="10"/>
        <w:jc w:val="both"/>
      </w:pPr>
      <w:r>
        <w:rPr>
          <w:rFonts w:ascii="Arial" w:eastAsia="Arial" w:hAnsi="Arial" w:cs="Arial"/>
          <w:color w:val="202020"/>
        </w:rPr>
        <w:t xml:space="preserve">Emisión por el órgano gestor de informe en el que se constate el cumplimiento, desde un punto de vista material, del objeto de la subvención o convenio. </w:t>
      </w:r>
    </w:p>
    <w:p w:rsidR="00FF384B" w:rsidRDefault="003E3BA9">
      <w:pPr>
        <w:spacing w:after="142" w:line="248" w:lineRule="auto"/>
        <w:ind w:left="278" w:right="244" w:hanging="10"/>
        <w:jc w:val="both"/>
      </w:pPr>
      <w:r>
        <w:rPr>
          <w:rFonts w:ascii="Arial" w:eastAsia="Arial" w:hAnsi="Arial" w:cs="Arial"/>
          <w:color w:val="202020"/>
        </w:rPr>
        <w:t>En dicho informe ha de constar la aportación municipal, así como</w:t>
      </w:r>
      <w:r>
        <w:rPr>
          <w:rFonts w:ascii="Arial" w:eastAsia="Arial" w:hAnsi="Arial" w:cs="Arial"/>
          <w:color w:val="202020"/>
        </w:rPr>
        <w:t xml:space="preserve">, en su caso, el resto de recursos financieros de que ha dispuesto el beneficiario (otras subvenciones, fondos propios, otros recursos...), datos que deberán reflejarse por dicho beneficiario en la memoria de evaluación. </w:t>
      </w:r>
    </w:p>
    <w:p w:rsidR="00FF384B" w:rsidRDefault="003E3BA9">
      <w:pPr>
        <w:numPr>
          <w:ilvl w:val="0"/>
          <w:numId w:val="162"/>
        </w:numPr>
        <w:spacing w:after="142" w:line="248" w:lineRule="auto"/>
        <w:ind w:right="244" w:hanging="10"/>
        <w:jc w:val="both"/>
      </w:pPr>
      <w:r>
        <w:rPr>
          <w:rFonts w:ascii="Arial" w:eastAsia="Arial" w:hAnsi="Arial" w:cs="Arial"/>
          <w:color w:val="202020"/>
        </w:rPr>
        <w:t>Remisión del expediente completo a</w:t>
      </w:r>
      <w:r>
        <w:rPr>
          <w:rFonts w:ascii="Arial" w:eastAsia="Arial" w:hAnsi="Arial" w:cs="Arial"/>
          <w:color w:val="202020"/>
        </w:rPr>
        <w:t xml:space="preserve"> la Intervención General, a los efectos de la emisión del correspondiente informe, acerca de la justificación formal de la subvención. </w:t>
      </w:r>
    </w:p>
    <w:p w:rsidR="00FF384B" w:rsidRDefault="003E3BA9">
      <w:pPr>
        <w:spacing w:after="142" w:line="248" w:lineRule="auto"/>
        <w:ind w:left="278" w:right="244" w:hanging="10"/>
        <w:jc w:val="both"/>
      </w:pPr>
      <w:r>
        <w:rPr>
          <w:rFonts w:ascii="Arial" w:eastAsia="Arial" w:hAnsi="Arial" w:cs="Arial"/>
          <w:color w:val="202020"/>
        </w:rPr>
        <w:t>El expediente habrá de contener todas y cada una de las actuaciones administrativas, desde su origen. En el caso de subv</w:t>
      </w:r>
      <w:r>
        <w:rPr>
          <w:rFonts w:ascii="Arial" w:eastAsia="Arial" w:hAnsi="Arial" w:cs="Arial"/>
          <w:color w:val="202020"/>
        </w:rPr>
        <w:t>enciones: convocatoria de la subvención debidamente aprobada y publicada, documentación relativa a la solicitud del beneficiario, así como acuerdo de concesión por el órgano municipal competente. En el caso de convenios de colaboración: original del conven</w:t>
      </w:r>
      <w:r>
        <w:rPr>
          <w:rFonts w:ascii="Arial" w:eastAsia="Arial" w:hAnsi="Arial" w:cs="Arial"/>
          <w:color w:val="202020"/>
        </w:rPr>
        <w:t>io debidamente suscrito así como acuerdo de aprobación por el órgano municipal competente. Igualmente habrá de constar en el expediente, en todos los casos, todos y cada uno de los documentos contables correspondientes al gasto a fiscalizar, así como la me</w:t>
      </w:r>
      <w:r>
        <w:rPr>
          <w:rFonts w:ascii="Arial" w:eastAsia="Arial" w:hAnsi="Arial" w:cs="Arial"/>
          <w:color w:val="202020"/>
        </w:rPr>
        <w:t xml:space="preserve">moria de evaluación, relación numerada de justificantes y documentos justificativos. </w:t>
      </w:r>
    </w:p>
    <w:p w:rsidR="00FF384B" w:rsidRDefault="003E3BA9">
      <w:pPr>
        <w:spacing w:after="142" w:line="248" w:lineRule="auto"/>
        <w:ind w:left="278" w:right="244" w:hanging="10"/>
        <w:jc w:val="both"/>
      </w:pPr>
      <w:r>
        <w:rPr>
          <w:noProof/>
        </w:rPr>
        <mc:AlternateContent>
          <mc:Choice Requires="wpg">
            <w:drawing>
              <wp:anchor distT="0" distB="0" distL="114300" distR="114300" simplePos="0" relativeHeight="2517995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656" name="Group 46365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159" name="Picture 27159"/>
                          <pic:cNvPicPr/>
                        </pic:nvPicPr>
                        <pic:blipFill>
                          <a:blip r:embed="rId62"/>
                          <a:stretch>
                            <a:fillRect/>
                          </a:stretch>
                        </pic:blipFill>
                        <pic:spPr>
                          <a:xfrm rot="-5399999">
                            <a:off x="-1720849" y="1720849"/>
                            <a:ext cx="3797300" cy="355601"/>
                          </a:xfrm>
                          <a:prstGeom prst="rect">
                            <a:avLst/>
                          </a:prstGeom>
                        </pic:spPr>
                      </pic:pic>
                      <wps:wsp>
                        <wps:cNvPr id="27160" name="Rectangle 2716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161" name="Rectangle 2716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656" style="width:41.2715pt;height:299pt;position:absolute;mso-position-horizontal-relative:page;mso-position-horizontal:absolute;margin-left:653.71pt;mso-position-vertical-relative:page;margin-top:512.92pt;" coordsize="5241,37973">
                <v:shape id="Picture 27159" style="position:absolute;width:37973;height:3556;left:-17208;top:17208;rotation:-89;" filled="f">
                  <v:imagedata r:id="rId63"/>
                </v:shape>
                <v:rect id="Rectangle 2716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16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353 </w:t>
                        </w:r>
                      </w:p>
                    </w:txbxContent>
                  </v:textbox>
                </v:rect>
                <w10:wrap type="square"/>
              </v:group>
            </w:pict>
          </mc:Fallback>
        </mc:AlternateContent>
      </w:r>
      <w:r>
        <w:rPr>
          <w:rFonts w:ascii="Arial" w:eastAsia="Arial" w:hAnsi="Arial" w:cs="Arial"/>
          <w:color w:val="202020"/>
        </w:rPr>
        <w:t>Una vez emitido el informe en ejercicio de la función interventora se devolverá el expediente al órgano gestor, para aprobación de la justificación (si la justif</w:t>
      </w:r>
      <w:r>
        <w:rPr>
          <w:rFonts w:ascii="Arial" w:eastAsia="Arial" w:hAnsi="Arial" w:cs="Arial"/>
          <w:color w:val="202020"/>
        </w:rPr>
        <w:t xml:space="preserve">icación es correcta) o para la notificación al interesado de los reparos formulados (si la justificación es incorrecta). </w:t>
      </w:r>
    </w:p>
    <w:p w:rsidR="00FF384B" w:rsidRDefault="003E3BA9">
      <w:pPr>
        <w:numPr>
          <w:ilvl w:val="0"/>
          <w:numId w:val="162"/>
        </w:numPr>
        <w:spacing w:after="142" w:line="248" w:lineRule="auto"/>
        <w:ind w:right="244" w:hanging="10"/>
        <w:jc w:val="both"/>
      </w:pPr>
      <w:r>
        <w:rPr>
          <w:rFonts w:ascii="Arial" w:eastAsia="Arial" w:hAnsi="Arial" w:cs="Arial"/>
          <w:color w:val="202020"/>
        </w:rPr>
        <w:t>En el caso de establecerse pagos a cuenta de las subvenciones, que tendrán la consideración de pagos fraccionados, sólo por el importe</w:t>
      </w:r>
      <w:r>
        <w:rPr>
          <w:rFonts w:ascii="Arial" w:eastAsia="Arial" w:hAnsi="Arial" w:cs="Arial"/>
          <w:color w:val="202020"/>
        </w:rPr>
        <w:t xml:space="preserve"> igual a la cuantía equivalente de la justificación presentada, dicha justificación deberá efectuarse de forma similar a la prevista para la totalidad de la subvención o convenio y con los requisitos previstos en cuanto a justificación en la presente norma</w:t>
      </w:r>
      <w:r>
        <w:rPr>
          <w:rFonts w:ascii="Arial" w:eastAsia="Arial" w:hAnsi="Arial" w:cs="Arial"/>
          <w:color w:val="202020"/>
        </w:rPr>
        <w:t xml:space="preserve">tiva. </w:t>
      </w:r>
    </w:p>
    <w:p w:rsidR="00FF384B" w:rsidRDefault="003E3BA9">
      <w:pPr>
        <w:numPr>
          <w:ilvl w:val="0"/>
          <w:numId w:val="162"/>
        </w:numPr>
        <w:spacing w:after="142" w:line="248" w:lineRule="auto"/>
        <w:ind w:right="244" w:hanging="10"/>
        <w:jc w:val="both"/>
      </w:pPr>
      <w:r>
        <w:rPr>
          <w:rFonts w:ascii="Arial" w:eastAsia="Arial" w:hAnsi="Arial" w:cs="Arial"/>
          <w:color w:val="202020"/>
        </w:rPr>
        <w:t xml:space="preserve">En el caso de subvenciones de capital iguales o superiores a 90.000 euros, en su cómputo individual, destinadas a inversiones en activos tangibles, el órgano concedente deberá proceder a realizar la comprobación material de la inversión, levantando </w:t>
      </w:r>
      <w:r>
        <w:rPr>
          <w:rFonts w:ascii="Arial" w:eastAsia="Arial" w:hAnsi="Arial" w:cs="Arial"/>
          <w:color w:val="202020"/>
        </w:rPr>
        <w:t>la correspondiente acta que lo acredite, firmada, tanto por el representante de la Administración, como por el beneficiario, que deberá unirse al resto de la documentación justificativa. Cuando por la naturaleza de la inversión realizada no fuera posible c</w:t>
      </w:r>
      <w:r>
        <w:rPr>
          <w:rFonts w:ascii="Arial" w:eastAsia="Arial" w:hAnsi="Arial" w:cs="Arial"/>
          <w:color w:val="202020"/>
        </w:rPr>
        <w:t>omprobar materialmente su existencia, se podrá sustituir el acta por una justificación documental que constate de forma razonable y suficiente la realización de la actividad subvencionada. Si existen pagos fraccionados o anticipados de la subvención, se ef</w:t>
      </w:r>
      <w:r>
        <w:rPr>
          <w:rFonts w:ascii="Arial" w:eastAsia="Arial" w:hAnsi="Arial" w:cs="Arial"/>
          <w:color w:val="202020"/>
        </w:rPr>
        <w:t xml:space="preserve">ectuará, en todo caso, una comprobación antes del pago final o liquidación de la misma.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56. Comprobación de valores. </w:t>
      </w:r>
    </w:p>
    <w:p w:rsidR="00FF384B" w:rsidRDefault="003E3BA9">
      <w:pPr>
        <w:spacing w:after="142" w:line="248" w:lineRule="auto"/>
        <w:ind w:left="278" w:right="244" w:hanging="10"/>
        <w:jc w:val="both"/>
      </w:pPr>
      <w:r>
        <w:rPr>
          <w:rFonts w:ascii="Arial" w:eastAsia="Arial" w:hAnsi="Arial" w:cs="Arial"/>
          <w:color w:val="202020"/>
        </w:rPr>
        <w:t>Por los órganos gestores podrá efectuarse la comprobación del valor de mercado de los gastos subvencionados, empleando cualqui</w:t>
      </w:r>
      <w:r>
        <w:rPr>
          <w:rFonts w:ascii="Arial" w:eastAsia="Arial" w:hAnsi="Arial" w:cs="Arial"/>
          <w:color w:val="202020"/>
        </w:rPr>
        <w:t>era de los medios previstos en la legislación de subvenciones vigente. El resultado de dichas comprobaciones efectuadas en su caso, deberá notificarse al beneficiario, debidamente motivado, con expresión de los criterios empleados junto con la resolución d</w:t>
      </w:r>
      <w:r>
        <w:rPr>
          <w:rFonts w:ascii="Arial" w:eastAsia="Arial" w:hAnsi="Arial" w:cs="Arial"/>
          <w:color w:val="202020"/>
        </w:rPr>
        <w:t xml:space="preserve">el acto que contiene la resolución de la subvención. </w:t>
      </w:r>
    </w:p>
    <w:p w:rsidR="00FF384B" w:rsidRDefault="003E3BA9">
      <w:pPr>
        <w:spacing w:after="142" w:line="248" w:lineRule="auto"/>
        <w:ind w:left="278" w:right="244" w:hanging="10"/>
        <w:jc w:val="both"/>
      </w:pPr>
      <w:r>
        <w:rPr>
          <w:rFonts w:ascii="Arial" w:eastAsia="Arial" w:hAnsi="Arial" w:cs="Arial"/>
          <w:color w:val="202020"/>
        </w:rPr>
        <w:t xml:space="preserve">El beneficiario podrá promover la tasación pericial contradictoria. La solicitud de la misma suspenderá la ejecución del procedimiento resuelto y del plazo para interponer recurso contra éste. </w:t>
      </w:r>
    </w:p>
    <w:p w:rsidR="00FF384B" w:rsidRDefault="003E3BA9">
      <w:pPr>
        <w:spacing w:after="0" w:line="248" w:lineRule="auto"/>
        <w:ind w:left="278" w:right="244" w:hanging="10"/>
        <w:jc w:val="both"/>
      </w:pPr>
      <w:r>
        <w:rPr>
          <w:rFonts w:ascii="Arial" w:eastAsia="Arial" w:hAnsi="Arial" w:cs="Arial"/>
          <w:color w:val="202020"/>
        </w:rPr>
        <w:t>Si la di</w:t>
      </w:r>
      <w:r>
        <w:rPr>
          <w:rFonts w:ascii="Arial" w:eastAsia="Arial" w:hAnsi="Arial" w:cs="Arial"/>
          <w:color w:val="202020"/>
        </w:rPr>
        <w:t>ferencia entre el valor comprobado por la Administración y la tasación practicada por el perito de la persona beneficiaria es inferior a 120.000 euros y al 10 por 100 del valor comprobado por la Administración, la tasación del perito de la persona benefici</w:t>
      </w:r>
      <w:r>
        <w:rPr>
          <w:rFonts w:ascii="Arial" w:eastAsia="Arial" w:hAnsi="Arial" w:cs="Arial"/>
          <w:color w:val="202020"/>
        </w:rPr>
        <w:t xml:space="preserve">aria servirá de base para el cálculo de la subvención. En caso contrario, deberá designarse un perito tercero en los términos que se determinen reglamentariamente. </w:t>
      </w:r>
    </w:p>
    <w:p w:rsidR="00FF384B" w:rsidRDefault="003E3BA9">
      <w:pPr>
        <w:spacing w:after="0"/>
        <w:ind w:left="283"/>
      </w:pPr>
      <w:r>
        <w:rPr>
          <w:rFonts w:ascii="Arial" w:eastAsia="Arial" w:hAnsi="Arial" w:cs="Arial"/>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Los honorarios del perito de la persona beneficiaria serán satisfechos por ésta. Cuando l</w:t>
      </w:r>
      <w:r>
        <w:rPr>
          <w:rFonts w:ascii="Arial" w:eastAsia="Arial" w:hAnsi="Arial" w:cs="Arial"/>
          <w:color w:val="202020"/>
        </w:rPr>
        <w:t xml:space="preserve">a tasación practicada por el perito tercero fuese inferior al valor justificado por la persona beneficiaria, todos los gastos de la pericia serán abonados por éste, y, por el contrario, en caso de ser superior, serán de cuenta de la Administración. </w:t>
      </w:r>
    </w:p>
    <w:p w:rsidR="00FF384B" w:rsidRDefault="003E3BA9">
      <w:pPr>
        <w:spacing w:after="142" w:line="248" w:lineRule="auto"/>
        <w:ind w:left="278" w:right="244" w:hanging="10"/>
        <w:jc w:val="both"/>
      </w:pPr>
      <w:r>
        <w:rPr>
          <w:rFonts w:ascii="Arial" w:eastAsia="Arial" w:hAnsi="Arial" w:cs="Arial"/>
          <w:color w:val="202020"/>
        </w:rPr>
        <w:t>La val</w:t>
      </w:r>
      <w:r>
        <w:rPr>
          <w:rFonts w:ascii="Arial" w:eastAsia="Arial" w:hAnsi="Arial" w:cs="Arial"/>
          <w:color w:val="202020"/>
        </w:rPr>
        <w:t xml:space="preserve">oración del perito tercero servirá de base para la determinación del importe de la subvención. </w:t>
      </w:r>
    </w:p>
    <w:p w:rsidR="00FF384B" w:rsidRDefault="003E3BA9">
      <w:pPr>
        <w:spacing w:after="143" w:line="248" w:lineRule="auto"/>
        <w:ind w:left="278" w:right="244" w:hanging="10"/>
        <w:jc w:val="both"/>
      </w:pPr>
      <w:r>
        <w:rPr>
          <w:rFonts w:ascii="Arial" w:eastAsia="Arial" w:hAnsi="Arial" w:cs="Arial"/>
          <w:i/>
          <w:color w:val="202020"/>
        </w:rPr>
        <w:t xml:space="preserve">Artículo 57. Revocación. </w:t>
      </w:r>
    </w:p>
    <w:p w:rsidR="00FF384B" w:rsidRDefault="003E3BA9">
      <w:pPr>
        <w:numPr>
          <w:ilvl w:val="0"/>
          <w:numId w:val="163"/>
        </w:numPr>
        <w:spacing w:after="151" w:line="239" w:lineRule="auto"/>
        <w:ind w:right="159" w:hanging="10"/>
      </w:pPr>
      <w:r>
        <w:rPr>
          <w:noProof/>
        </w:rPr>
        <mc:AlternateContent>
          <mc:Choice Requires="wpg">
            <w:drawing>
              <wp:anchor distT="0" distB="0" distL="114300" distR="114300" simplePos="0" relativeHeight="2518005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422" name="Group 46342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299" name="Picture 27299"/>
                          <pic:cNvPicPr/>
                        </pic:nvPicPr>
                        <pic:blipFill>
                          <a:blip r:embed="rId62"/>
                          <a:stretch>
                            <a:fillRect/>
                          </a:stretch>
                        </pic:blipFill>
                        <pic:spPr>
                          <a:xfrm rot="-5399999">
                            <a:off x="-1720849" y="1720849"/>
                            <a:ext cx="3797300" cy="355601"/>
                          </a:xfrm>
                          <a:prstGeom prst="rect">
                            <a:avLst/>
                          </a:prstGeom>
                        </pic:spPr>
                      </pic:pic>
                      <wps:wsp>
                        <wps:cNvPr id="27300" name="Rectangle 2730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301" name="Rectangle 2730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422" style="width:41.2715pt;height:299pt;position:absolute;mso-position-horizontal-relative:page;mso-position-horizontal:absolute;margin-left:653.71pt;mso-position-vertical-relative:page;margin-top:512.92pt;" coordsize="5241,37973">
                <v:shape id="Picture 27299" style="position:absolute;width:37973;height:3556;left:-17208;top:17208;rotation:-89;" filled="f">
                  <v:imagedata r:id="rId63"/>
                </v:shape>
                <v:rect id="Rectangle 2730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30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353 </w:t>
                        </w:r>
                      </w:p>
                    </w:txbxContent>
                  </v:textbox>
                </v:rect>
                <w10:wrap type="square"/>
              </v:group>
            </w:pict>
          </mc:Fallback>
        </mc:AlternateContent>
      </w:r>
      <w:r>
        <w:rPr>
          <w:rFonts w:ascii="Arial" w:eastAsia="Arial" w:hAnsi="Arial" w:cs="Arial"/>
          <w:color w:val="202020"/>
        </w:rPr>
        <w:t>Se producirá la revocación del acto de concesión válidamente adoptado, con la consiguiente pérdida del derecho al cobro de la subvención, en todo caso, cuando se</w:t>
      </w:r>
      <w:r>
        <w:rPr>
          <w:rFonts w:ascii="Arial" w:eastAsia="Arial" w:hAnsi="Arial" w:cs="Arial"/>
          <w:color w:val="202020"/>
        </w:rPr>
        <w:t xml:space="preserve"> compruebe que el proyecto defienda intereses corporativos o de grupos que sean ajenos a los intereses de los vecinos o que tengan contenido imposible, inconstitucional, ilegal o constitutivo de delito, cuando el beneficiario incumpla las obligaciones de j</w:t>
      </w:r>
      <w:r>
        <w:rPr>
          <w:rFonts w:ascii="Arial" w:eastAsia="Arial" w:hAnsi="Arial" w:cs="Arial"/>
          <w:color w:val="202020"/>
        </w:rPr>
        <w:t xml:space="preserve">ustificación o el resto de las obligaciones y compromisos contraídos o concurra cualquier otra causa de las previstas de reintegro en el artículo 59 de esta Ordenanza. </w:t>
      </w:r>
    </w:p>
    <w:p w:rsidR="00FF384B" w:rsidRDefault="003E3BA9">
      <w:pPr>
        <w:numPr>
          <w:ilvl w:val="0"/>
          <w:numId w:val="163"/>
        </w:numPr>
        <w:spacing w:after="292" w:line="248" w:lineRule="auto"/>
        <w:ind w:right="159" w:hanging="10"/>
      </w:pPr>
      <w:r>
        <w:rPr>
          <w:rFonts w:ascii="Arial" w:eastAsia="Arial" w:hAnsi="Arial" w:cs="Arial"/>
          <w:color w:val="202020"/>
        </w:rPr>
        <w:t>Si como consecuencia de los incumplimientos previstos en el apartado anterior, procedie</w:t>
      </w:r>
      <w:r>
        <w:rPr>
          <w:rFonts w:ascii="Arial" w:eastAsia="Arial" w:hAnsi="Arial" w:cs="Arial"/>
          <w:color w:val="202020"/>
        </w:rPr>
        <w:t xml:space="preserve">se el reintegro, total o parcial, de la subvención indebidamente percibida, la declaración de revocación se producirá en el procedimiento de reintegro de esta Ordenanza. </w:t>
      </w:r>
    </w:p>
    <w:p w:rsidR="00FF384B" w:rsidRDefault="003E3BA9">
      <w:pPr>
        <w:spacing w:after="280"/>
        <w:ind w:left="283"/>
      </w:pPr>
      <w:r>
        <w:rPr>
          <w:rFonts w:ascii="Arial" w:eastAsia="Arial" w:hAnsi="Arial" w:cs="Arial"/>
          <w:b/>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IV. Reintegro de las subvenciones. </w:t>
      </w:r>
    </w:p>
    <w:p w:rsidR="00FF384B" w:rsidRDefault="003E3BA9">
      <w:pPr>
        <w:spacing w:after="143" w:line="248" w:lineRule="auto"/>
        <w:ind w:left="278" w:right="244" w:hanging="10"/>
        <w:jc w:val="both"/>
      </w:pPr>
      <w:r>
        <w:rPr>
          <w:rFonts w:ascii="Arial" w:eastAsia="Arial" w:hAnsi="Arial" w:cs="Arial"/>
          <w:i/>
          <w:color w:val="202020"/>
        </w:rPr>
        <w:t>Artículo 58. Causas de invalidez de la</w:t>
      </w:r>
      <w:r>
        <w:rPr>
          <w:rFonts w:ascii="Arial" w:eastAsia="Arial" w:hAnsi="Arial" w:cs="Arial"/>
          <w:i/>
          <w:color w:val="202020"/>
        </w:rPr>
        <w:t xml:space="preserve"> resolución de concesión. </w:t>
      </w:r>
    </w:p>
    <w:p w:rsidR="00FF384B" w:rsidRDefault="003E3BA9">
      <w:pPr>
        <w:numPr>
          <w:ilvl w:val="0"/>
          <w:numId w:val="164"/>
        </w:numPr>
        <w:spacing w:after="142" w:line="248" w:lineRule="auto"/>
        <w:ind w:right="244" w:hanging="247"/>
        <w:jc w:val="both"/>
      </w:pPr>
      <w:r>
        <w:rPr>
          <w:rFonts w:ascii="Arial" w:eastAsia="Arial" w:hAnsi="Arial" w:cs="Arial"/>
          <w:color w:val="202020"/>
        </w:rPr>
        <w:t xml:space="preserve">Son causas de nulidad de la resolución de concesión: </w:t>
      </w:r>
    </w:p>
    <w:p w:rsidR="00FF384B" w:rsidRDefault="003E3BA9">
      <w:pPr>
        <w:numPr>
          <w:ilvl w:val="1"/>
          <w:numId w:val="164"/>
        </w:numPr>
        <w:spacing w:after="93" w:line="248" w:lineRule="auto"/>
        <w:ind w:right="244" w:hanging="360"/>
        <w:jc w:val="both"/>
      </w:pPr>
      <w:r>
        <w:rPr>
          <w:rFonts w:ascii="Arial" w:eastAsia="Arial" w:hAnsi="Arial" w:cs="Arial"/>
          <w:color w:val="202020"/>
        </w:rPr>
        <w:t xml:space="preserve">a) Las previstas en la legislación vigente en materia de Régimen Jurídico de las Administraciones Públicas y Procedimiento Administrativo. </w:t>
      </w:r>
    </w:p>
    <w:p w:rsidR="00FF384B" w:rsidRDefault="003E3BA9">
      <w:pPr>
        <w:numPr>
          <w:ilvl w:val="1"/>
          <w:numId w:val="164"/>
        </w:numPr>
        <w:spacing w:after="92" w:line="248" w:lineRule="auto"/>
        <w:ind w:right="244" w:hanging="360"/>
        <w:jc w:val="both"/>
      </w:pPr>
      <w:r>
        <w:rPr>
          <w:rFonts w:ascii="Arial" w:eastAsia="Arial" w:hAnsi="Arial" w:cs="Arial"/>
          <w:color w:val="202020"/>
        </w:rPr>
        <w:t>b) La carencia o insuficiencia de c</w:t>
      </w:r>
      <w:r>
        <w:rPr>
          <w:rFonts w:ascii="Arial" w:eastAsia="Arial" w:hAnsi="Arial" w:cs="Arial"/>
          <w:color w:val="202020"/>
        </w:rPr>
        <w:t xml:space="preserve">rédito de conformidad con lo establecido en el Real Decreto legislativo 2/2004, de 5 de marzo, que aprueba el texto refundido de la Ley de Haciendas Locales. </w:t>
      </w:r>
    </w:p>
    <w:p w:rsidR="00FF384B" w:rsidRDefault="003E3BA9">
      <w:pPr>
        <w:numPr>
          <w:ilvl w:val="0"/>
          <w:numId w:val="164"/>
        </w:numPr>
        <w:spacing w:after="142" w:line="248" w:lineRule="auto"/>
        <w:ind w:right="244" w:hanging="247"/>
        <w:jc w:val="both"/>
      </w:pPr>
      <w:r>
        <w:rPr>
          <w:rFonts w:ascii="Arial" w:eastAsia="Arial" w:hAnsi="Arial" w:cs="Arial"/>
          <w:color w:val="202020"/>
        </w:rPr>
        <w:t xml:space="preserve">Son causas de anulabilidad de la resolución de concesión las demás infracciones del ordenamiento </w:t>
      </w:r>
      <w:r>
        <w:rPr>
          <w:rFonts w:ascii="Arial" w:eastAsia="Arial" w:hAnsi="Arial" w:cs="Arial"/>
          <w:color w:val="202020"/>
        </w:rPr>
        <w:t xml:space="preserve">jurídico y, en especial, de las reglas contenidas en la presente ordenanza, de conformidad con lo previsto en la legislación vigente en materia de Régimen Jurídico de las Administraciones Públicas y Procedimiento Administrativo. </w:t>
      </w:r>
    </w:p>
    <w:p w:rsidR="00FF384B" w:rsidRDefault="003E3BA9">
      <w:pPr>
        <w:numPr>
          <w:ilvl w:val="0"/>
          <w:numId w:val="164"/>
        </w:numPr>
        <w:spacing w:after="142" w:line="248" w:lineRule="auto"/>
        <w:ind w:right="244" w:hanging="247"/>
        <w:jc w:val="both"/>
      </w:pPr>
      <w:r>
        <w:rPr>
          <w:rFonts w:ascii="Arial" w:eastAsia="Arial" w:hAnsi="Arial" w:cs="Arial"/>
          <w:color w:val="202020"/>
        </w:rPr>
        <w:t>Cuando el acto de concesió</w:t>
      </w:r>
      <w:r>
        <w:rPr>
          <w:rFonts w:ascii="Arial" w:eastAsia="Arial" w:hAnsi="Arial" w:cs="Arial"/>
          <w:color w:val="202020"/>
        </w:rPr>
        <w:t>n incurriera en alguna de las causas previstas anteriormente, el órgano concedente procederá a su revisión de oficio o, en su caso, a la declaración de lesividad y ulterior impugnación, de conformidad con lo previsto en la legislación vigente en materia de</w:t>
      </w:r>
      <w:r>
        <w:rPr>
          <w:rFonts w:ascii="Arial" w:eastAsia="Arial" w:hAnsi="Arial" w:cs="Arial"/>
          <w:color w:val="202020"/>
        </w:rPr>
        <w:t xml:space="preserve"> Régimen Jurídico de las Administraciones Públicas y Procedimiento Administrativo. </w:t>
      </w:r>
    </w:p>
    <w:p w:rsidR="00FF384B" w:rsidRDefault="003E3BA9">
      <w:pPr>
        <w:numPr>
          <w:ilvl w:val="0"/>
          <w:numId w:val="164"/>
        </w:numPr>
        <w:spacing w:after="142" w:line="248" w:lineRule="auto"/>
        <w:ind w:right="244" w:hanging="247"/>
        <w:jc w:val="both"/>
      </w:pPr>
      <w:r>
        <w:rPr>
          <w:rFonts w:ascii="Arial" w:eastAsia="Arial" w:hAnsi="Arial" w:cs="Arial"/>
          <w:color w:val="202020"/>
        </w:rPr>
        <w:t xml:space="preserve">La declaración judicial o administrativa de nulidad o anulación llevará consigo la obligación de devolver las cantidades percibidas. </w:t>
      </w:r>
    </w:p>
    <w:p w:rsidR="00FF384B" w:rsidRDefault="003E3BA9">
      <w:pPr>
        <w:numPr>
          <w:ilvl w:val="0"/>
          <w:numId w:val="164"/>
        </w:numPr>
        <w:spacing w:after="142" w:line="248" w:lineRule="auto"/>
        <w:ind w:right="244" w:hanging="247"/>
        <w:jc w:val="both"/>
      </w:pPr>
      <w:r>
        <w:rPr>
          <w:rFonts w:ascii="Arial" w:eastAsia="Arial" w:hAnsi="Arial" w:cs="Arial"/>
          <w:color w:val="202020"/>
        </w:rPr>
        <w:t xml:space="preserve">No procederá la revisión de oficio del acto de concesión cuando concurra alguna de las causas de reintegro contempladas en el artículo siguiente.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59. Causas de reintegro. </w:t>
      </w:r>
    </w:p>
    <w:p w:rsidR="00FF384B" w:rsidRDefault="003E3BA9">
      <w:pPr>
        <w:spacing w:after="142" w:line="248" w:lineRule="auto"/>
        <w:ind w:left="278" w:right="244" w:hanging="10"/>
        <w:jc w:val="both"/>
      </w:pPr>
      <w:r>
        <w:rPr>
          <w:rFonts w:ascii="Arial" w:eastAsia="Arial" w:hAnsi="Arial" w:cs="Arial"/>
          <w:color w:val="202020"/>
        </w:rPr>
        <w:t>Procederá el reintegro de las cantidades percibidas y la exigencia del i</w:t>
      </w:r>
      <w:r>
        <w:rPr>
          <w:rFonts w:ascii="Arial" w:eastAsia="Arial" w:hAnsi="Arial" w:cs="Arial"/>
          <w:color w:val="202020"/>
        </w:rPr>
        <w:t xml:space="preserve">nterés de demora correspondiente desde el momento del pago de la subvención hasta la fecha en que se acuerde la procedencia del reintegro y, en su caso, la anulación de obligaciones pendientes de pago. </w:t>
      </w:r>
    </w:p>
    <w:p w:rsidR="00FF384B" w:rsidRDefault="003E3BA9">
      <w:pPr>
        <w:spacing w:after="143" w:line="248" w:lineRule="auto"/>
        <w:ind w:left="278" w:right="244" w:hanging="10"/>
        <w:jc w:val="both"/>
      </w:pPr>
      <w:r>
        <w:rPr>
          <w:rFonts w:ascii="Arial" w:eastAsia="Arial" w:hAnsi="Arial" w:cs="Arial"/>
          <w:i/>
          <w:color w:val="202020"/>
        </w:rPr>
        <w:t>Artículo 60. Naturaleza del crédito a reintegrar y de</w:t>
      </w:r>
      <w:r>
        <w:rPr>
          <w:rFonts w:ascii="Arial" w:eastAsia="Arial" w:hAnsi="Arial" w:cs="Arial"/>
          <w:i/>
          <w:color w:val="202020"/>
        </w:rPr>
        <w:t xml:space="preserve"> los procedimientos para su exigencia. </w:t>
      </w:r>
    </w:p>
    <w:p w:rsidR="00FF384B" w:rsidRDefault="003E3BA9">
      <w:pPr>
        <w:numPr>
          <w:ilvl w:val="0"/>
          <w:numId w:val="165"/>
        </w:numPr>
        <w:spacing w:after="142" w:line="248" w:lineRule="auto"/>
        <w:ind w:right="244" w:hanging="10"/>
        <w:jc w:val="both"/>
      </w:pPr>
      <w:r>
        <w:rPr>
          <w:noProof/>
        </w:rPr>
        <mc:AlternateContent>
          <mc:Choice Requires="wpg">
            <w:drawing>
              <wp:anchor distT="0" distB="0" distL="114300" distR="114300" simplePos="0" relativeHeight="2518016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769" name="Group 46376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436" name="Picture 27436"/>
                          <pic:cNvPicPr/>
                        </pic:nvPicPr>
                        <pic:blipFill>
                          <a:blip r:embed="rId62"/>
                          <a:stretch>
                            <a:fillRect/>
                          </a:stretch>
                        </pic:blipFill>
                        <pic:spPr>
                          <a:xfrm rot="-5399999">
                            <a:off x="-1720849" y="1720849"/>
                            <a:ext cx="3797300" cy="355601"/>
                          </a:xfrm>
                          <a:prstGeom prst="rect">
                            <a:avLst/>
                          </a:prstGeom>
                        </pic:spPr>
                      </pic:pic>
                      <wps:wsp>
                        <wps:cNvPr id="27437" name="Rectangle 2743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438" name="Rectangle 2743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139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769" style="width:41.2715pt;height:299pt;position:absolute;mso-position-horizontal-relative:page;mso-position-horizontal:absolute;margin-left:653.71pt;mso-position-vertical-relative:page;margin-top:512.92pt;" coordsize="5241,37973">
                <v:shape id="Picture 27436" style="position:absolute;width:37973;height:3556;left:-17208;top:17208;rotation:-89;" filled="f">
                  <v:imagedata r:id="rId63"/>
                </v:shape>
                <v:rect id="Rectangle 2743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43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353 </w:t>
                        </w:r>
                      </w:p>
                    </w:txbxContent>
                  </v:textbox>
                </v:rect>
                <w10:wrap type="square"/>
              </v:group>
            </w:pict>
          </mc:Fallback>
        </mc:AlternateContent>
      </w:r>
      <w:r>
        <w:rPr>
          <w:rFonts w:ascii="Arial" w:eastAsia="Arial" w:hAnsi="Arial" w:cs="Arial"/>
          <w:color w:val="202020"/>
        </w:rPr>
        <w:t>Las cantidades a r</w:t>
      </w:r>
      <w:r>
        <w:rPr>
          <w:rFonts w:ascii="Arial" w:eastAsia="Arial" w:hAnsi="Arial" w:cs="Arial"/>
          <w:color w:val="202020"/>
        </w:rPr>
        <w:t xml:space="preserve">eintegrar tendrán la consideración de ingresos de derecho público para su cobranza, aplicándose la Ley General Presupuestaria y el Reglamento General de Recaudación para ello; el procedimiento de reintegro tendrá siempre carácter administrativo. </w:t>
      </w:r>
    </w:p>
    <w:p w:rsidR="00FF384B" w:rsidRDefault="003E3BA9">
      <w:pPr>
        <w:numPr>
          <w:ilvl w:val="0"/>
          <w:numId w:val="165"/>
        </w:numPr>
        <w:spacing w:after="142" w:line="248" w:lineRule="auto"/>
        <w:ind w:right="244" w:hanging="10"/>
        <w:jc w:val="both"/>
      </w:pPr>
      <w:r>
        <w:rPr>
          <w:rFonts w:ascii="Arial" w:eastAsia="Arial" w:hAnsi="Arial" w:cs="Arial"/>
          <w:color w:val="202020"/>
        </w:rPr>
        <w:t>El reinte</w:t>
      </w:r>
      <w:r>
        <w:rPr>
          <w:rFonts w:ascii="Arial" w:eastAsia="Arial" w:hAnsi="Arial" w:cs="Arial"/>
          <w:color w:val="202020"/>
        </w:rPr>
        <w:t xml:space="preserve">gro de las cantidades percibidas llevará aparejada la exigencia del interés de demora correspondiente desde el momento del pago de la subvención hasta la fecha en que se acuerde la procedencia del reintegro. </w:t>
      </w:r>
    </w:p>
    <w:p w:rsidR="00FF384B" w:rsidRDefault="003E3BA9">
      <w:pPr>
        <w:numPr>
          <w:ilvl w:val="0"/>
          <w:numId w:val="165"/>
        </w:numPr>
        <w:spacing w:after="142" w:line="248" w:lineRule="auto"/>
        <w:ind w:right="244" w:hanging="10"/>
        <w:jc w:val="both"/>
      </w:pPr>
      <w:r>
        <w:rPr>
          <w:rFonts w:ascii="Arial" w:eastAsia="Arial" w:hAnsi="Arial" w:cs="Arial"/>
          <w:color w:val="202020"/>
        </w:rPr>
        <w:t>El interés de demora aplicable en materia de su</w:t>
      </w:r>
      <w:r>
        <w:rPr>
          <w:rFonts w:ascii="Arial" w:eastAsia="Arial" w:hAnsi="Arial" w:cs="Arial"/>
          <w:color w:val="202020"/>
        </w:rPr>
        <w:t xml:space="preserve">bvenciones será el interés legal del dinero incrementado en un 25%, salvo que la Ley de Presupuestos Generales del Estado establezca otro diferente. </w:t>
      </w:r>
    </w:p>
    <w:p w:rsidR="00FF384B" w:rsidRDefault="003E3BA9">
      <w:pPr>
        <w:numPr>
          <w:ilvl w:val="0"/>
          <w:numId w:val="165"/>
        </w:numPr>
        <w:spacing w:after="142" w:line="248" w:lineRule="auto"/>
        <w:ind w:right="244" w:hanging="10"/>
        <w:jc w:val="both"/>
      </w:pPr>
      <w:r>
        <w:rPr>
          <w:rFonts w:ascii="Arial" w:eastAsia="Arial" w:hAnsi="Arial" w:cs="Arial"/>
          <w:color w:val="202020"/>
        </w:rPr>
        <w:t>El destino de los reintegros de los fondos procedentes de la Unión Europea tendrá el tratamiento que, en s</w:t>
      </w:r>
      <w:r>
        <w:rPr>
          <w:rFonts w:ascii="Arial" w:eastAsia="Arial" w:hAnsi="Arial" w:cs="Arial"/>
          <w:color w:val="202020"/>
        </w:rPr>
        <w:t xml:space="preserve">u caso, determine la normativa comunitaria.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61 Reintegro parcial. </w:t>
      </w:r>
    </w:p>
    <w:p w:rsidR="00FF384B" w:rsidRDefault="003E3BA9">
      <w:pPr>
        <w:numPr>
          <w:ilvl w:val="0"/>
          <w:numId w:val="166"/>
        </w:numPr>
        <w:spacing w:after="142" w:line="248" w:lineRule="auto"/>
        <w:ind w:right="244" w:hanging="10"/>
        <w:jc w:val="both"/>
      </w:pPr>
      <w:r>
        <w:rPr>
          <w:rFonts w:ascii="Arial" w:eastAsia="Arial" w:hAnsi="Arial" w:cs="Arial"/>
          <w:color w:val="202020"/>
        </w:rPr>
        <w:t xml:space="preserve">El reintegro parcial de la subvención se regirá por los criterios de gradación de los posibles incumplimientos de las condiciones impuestas con motivo de la concesión y por el principio de proporcionalidad. </w:t>
      </w:r>
    </w:p>
    <w:p w:rsidR="00FF384B" w:rsidRDefault="003E3BA9">
      <w:pPr>
        <w:numPr>
          <w:ilvl w:val="0"/>
          <w:numId w:val="166"/>
        </w:numPr>
        <w:spacing w:after="142" w:line="248" w:lineRule="auto"/>
        <w:ind w:right="244" w:hanging="10"/>
        <w:jc w:val="both"/>
      </w:pPr>
      <w:r>
        <w:rPr>
          <w:rFonts w:ascii="Arial" w:eastAsia="Arial" w:hAnsi="Arial" w:cs="Arial"/>
          <w:color w:val="202020"/>
        </w:rPr>
        <w:t>Los criterios de gradación que se fijen en las c</w:t>
      </w:r>
      <w:r>
        <w:rPr>
          <w:rFonts w:ascii="Arial" w:eastAsia="Arial" w:hAnsi="Arial" w:cs="Arial"/>
          <w:color w:val="202020"/>
        </w:rPr>
        <w:t xml:space="preserve">onvocatorias deberán tener en cuenta, entre otros, el porcentaje de ejecución de la acción que se subvenciona y el cumplimiento de las obligaciones por los beneficiarios.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62. Prescripción. </w:t>
      </w:r>
    </w:p>
    <w:p w:rsidR="00FF384B" w:rsidRDefault="003E3BA9">
      <w:pPr>
        <w:spacing w:after="142" w:line="248" w:lineRule="auto"/>
        <w:ind w:left="278" w:right="244" w:hanging="10"/>
        <w:jc w:val="both"/>
      </w:pPr>
      <w:r>
        <w:rPr>
          <w:rFonts w:ascii="Arial" w:eastAsia="Arial" w:hAnsi="Arial" w:cs="Arial"/>
          <w:color w:val="202020"/>
        </w:rPr>
        <w:t>1. Prescribirá a los cuatro años el derecho a reconoce</w:t>
      </w:r>
      <w:r>
        <w:rPr>
          <w:rFonts w:ascii="Arial" w:eastAsia="Arial" w:hAnsi="Arial" w:cs="Arial"/>
          <w:color w:val="202020"/>
        </w:rPr>
        <w:t xml:space="preserve">r o liquidar el reintegro. 2. El cómputo del plazo y la interrupción de la prescripción se regirán por lo dispuesto en la Ley General Tributaria. </w:t>
      </w:r>
    </w:p>
    <w:p w:rsidR="00FF384B" w:rsidRDefault="003E3BA9">
      <w:pPr>
        <w:spacing w:after="130"/>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63. Obligados al reintegro. </w:t>
      </w:r>
    </w:p>
    <w:p w:rsidR="00FF384B" w:rsidRDefault="003E3BA9">
      <w:pPr>
        <w:numPr>
          <w:ilvl w:val="0"/>
          <w:numId w:val="167"/>
        </w:numPr>
        <w:spacing w:after="142" w:line="248" w:lineRule="auto"/>
        <w:ind w:right="244" w:hanging="10"/>
        <w:jc w:val="both"/>
      </w:pPr>
      <w:r>
        <w:rPr>
          <w:rFonts w:ascii="Arial" w:eastAsia="Arial" w:hAnsi="Arial" w:cs="Arial"/>
          <w:color w:val="202020"/>
        </w:rPr>
        <w:t>Los beneficiarios y entidades colaboradoras deberán reintegrar la tot</w:t>
      </w:r>
      <w:r>
        <w:rPr>
          <w:rFonts w:ascii="Arial" w:eastAsia="Arial" w:hAnsi="Arial" w:cs="Arial"/>
          <w:color w:val="202020"/>
        </w:rPr>
        <w:t xml:space="preserve">alidad o parte de las cantidades percibidas más los correspondientes intereses de demora. Esta obligación será independiente de las sanciones que, en su caso, resulten exigibles. </w:t>
      </w:r>
    </w:p>
    <w:p w:rsidR="00FF384B" w:rsidRDefault="003E3BA9">
      <w:pPr>
        <w:numPr>
          <w:ilvl w:val="0"/>
          <w:numId w:val="167"/>
        </w:numPr>
        <w:spacing w:after="142" w:line="248" w:lineRule="auto"/>
        <w:ind w:right="244" w:hanging="10"/>
        <w:jc w:val="both"/>
      </w:pPr>
      <w:r>
        <w:rPr>
          <w:rFonts w:ascii="Arial" w:eastAsia="Arial" w:hAnsi="Arial" w:cs="Arial"/>
          <w:color w:val="202020"/>
        </w:rPr>
        <w:t xml:space="preserve">Estarán obligados al reintegro los beneficiarios y entidades colaboradoras, </w:t>
      </w:r>
      <w:r>
        <w:rPr>
          <w:rFonts w:ascii="Arial" w:eastAsia="Arial" w:hAnsi="Arial" w:cs="Arial"/>
          <w:color w:val="202020"/>
        </w:rPr>
        <w:t xml:space="preserve">definidos en los artículos 9 y 10 de esta Ordenanza. </w:t>
      </w:r>
    </w:p>
    <w:p w:rsidR="00FF384B" w:rsidRDefault="003E3BA9">
      <w:pPr>
        <w:numPr>
          <w:ilvl w:val="0"/>
          <w:numId w:val="167"/>
        </w:numPr>
        <w:spacing w:after="142" w:line="248" w:lineRule="auto"/>
        <w:ind w:right="244" w:hanging="10"/>
        <w:jc w:val="both"/>
      </w:pPr>
      <w:r>
        <w:rPr>
          <w:rFonts w:ascii="Arial" w:eastAsia="Arial" w:hAnsi="Arial" w:cs="Arial"/>
          <w:color w:val="202020"/>
        </w:rPr>
        <w:t xml:space="preserve">A los efectos de reintegro, será de aplicación lo establecido en la Ley General de Subvenciones.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64. Competencia para la resolución del procedimiento de reintegro. </w:t>
      </w:r>
    </w:p>
    <w:p w:rsidR="00FF384B" w:rsidRDefault="003E3BA9">
      <w:pPr>
        <w:numPr>
          <w:ilvl w:val="0"/>
          <w:numId w:val="168"/>
        </w:numPr>
        <w:spacing w:after="142" w:line="248" w:lineRule="auto"/>
        <w:ind w:right="244" w:hanging="10"/>
        <w:jc w:val="both"/>
      </w:pPr>
      <w:r>
        <w:rPr>
          <w:noProof/>
        </w:rPr>
        <mc:AlternateContent>
          <mc:Choice Requires="wpg">
            <w:drawing>
              <wp:anchor distT="0" distB="0" distL="114300" distR="114300" simplePos="0" relativeHeight="2518026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3772" name="Group 46377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574" name="Picture 27574"/>
                          <pic:cNvPicPr/>
                        </pic:nvPicPr>
                        <pic:blipFill>
                          <a:blip r:embed="rId62"/>
                          <a:stretch>
                            <a:fillRect/>
                          </a:stretch>
                        </pic:blipFill>
                        <pic:spPr>
                          <a:xfrm rot="-5399999">
                            <a:off x="-1720849" y="1720849"/>
                            <a:ext cx="3797300" cy="355601"/>
                          </a:xfrm>
                          <a:prstGeom prst="rect">
                            <a:avLst/>
                          </a:prstGeom>
                        </pic:spPr>
                      </pic:pic>
                      <wps:wsp>
                        <wps:cNvPr id="27575" name="Rectangle 2757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576" name="Rectangle 2757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3772" style="width:41.2715pt;height:299pt;position:absolute;mso-position-horizontal-relative:page;mso-position-horizontal:absolute;margin-left:653.71pt;mso-position-vertical-relative:page;margin-top:512.92pt;" coordsize="5241,37973">
                <v:shape id="Picture 27574" style="position:absolute;width:37973;height:3556;left:-17208;top:17208;rotation:-89;" filled="f">
                  <v:imagedata r:id="rId63"/>
                </v:shape>
                <v:rect id="Rectangle 2757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57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353 </w:t>
                        </w:r>
                      </w:p>
                    </w:txbxContent>
                  </v:textbox>
                </v:rect>
                <w10:wrap type="square"/>
              </v:group>
            </w:pict>
          </mc:Fallback>
        </mc:AlternateContent>
      </w:r>
      <w:r>
        <w:rPr>
          <w:rFonts w:ascii="Arial" w:eastAsia="Arial" w:hAnsi="Arial" w:cs="Arial"/>
          <w:color w:val="202020"/>
        </w:rPr>
        <w:t>El órgano concedente será el competente para exigir del benef</w:t>
      </w:r>
      <w:r>
        <w:rPr>
          <w:rFonts w:ascii="Arial" w:eastAsia="Arial" w:hAnsi="Arial" w:cs="Arial"/>
          <w:color w:val="202020"/>
        </w:rPr>
        <w:t xml:space="preserve">iciario o entidad colaboradora el reintegro de subvenciones, cuando aprecie la existencia de alguno de los supuestos de reintegro establecidos en el artículo 60 de esta ordenanza. </w:t>
      </w:r>
    </w:p>
    <w:p w:rsidR="00FF384B" w:rsidRDefault="003E3BA9">
      <w:pPr>
        <w:numPr>
          <w:ilvl w:val="0"/>
          <w:numId w:val="168"/>
        </w:numPr>
        <w:spacing w:after="142" w:line="248" w:lineRule="auto"/>
        <w:ind w:right="244" w:hanging="10"/>
        <w:jc w:val="both"/>
      </w:pPr>
      <w:r>
        <w:rPr>
          <w:rFonts w:ascii="Arial" w:eastAsia="Arial" w:hAnsi="Arial" w:cs="Arial"/>
          <w:color w:val="202020"/>
        </w:rPr>
        <w:t xml:space="preserve">Si el reintegro es acordado por los órganos de la Unión Europea, el órgano </w:t>
      </w:r>
      <w:r>
        <w:rPr>
          <w:rFonts w:ascii="Arial" w:eastAsia="Arial" w:hAnsi="Arial" w:cs="Arial"/>
          <w:color w:val="202020"/>
        </w:rPr>
        <w:t xml:space="preserve">a quien corresponda la gestión del recurso ejecutará dichos acuerdos. </w:t>
      </w:r>
    </w:p>
    <w:p w:rsidR="00FF384B" w:rsidRDefault="003E3BA9">
      <w:pPr>
        <w:numPr>
          <w:ilvl w:val="0"/>
          <w:numId w:val="168"/>
        </w:numPr>
        <w:spacing w:after="291" w:line="248" w:lineRule="auto"/>
        <w:ind w:right="244" w:hanging="10"/>
        <w:jc w:val="both"/>
      </w:pPr>
      <w:r>
        <w:rPr>
          <w:rFonts w:ascii="Arial" w:eastAsia="Arial" w:hAnsi="Arial" w:cs="Arial"/>
          <w:color w:val="202020"/>
        </w:rPr>
        <w:t>Cuando la subvención haya sido concedida por la Comisión Europea u otra institución comunitaria y la obligación de restituir surgiera como consecuencia de la actuación fiscalizadora, di</w:t>
      </w:r>
      <w:r>
        <w:rPr>
          <w:rFonts w:ascii="Arial" w:eastAsia="Arial" w:hAnsi="Arial" w:cs="Arial"/>
          <w:color w:val="202020"/>
        </w:rPr>
        <w:t xml:space="preserve">stinta del control financiero de subvenciones, correspondiente a las instituciones españolas habilitadas legalmente para la realización de estas actuaciones, el acuerdo de reintegro será dictado por el órgano gestor de la subvención. El mencionado acuerdo </w:t>
      </w:r>
      <w:r>
        <w:rPr>
          <w:rFonts w:ascii="Arial" w:eastAsia="Arial" w:hAnsi="Arial" w:cs="Arial"/>
          <w:color w:val="202020"/>
        </w:rPr>
        <w:t xml:space="preserve">se dictará de oficio o a propuesta de otras instituciones y órganos de la Administración habilitados legalmente para fiscalizar fondos públicos. </w:t>
      </w:r>
    </w:p>
    <w:p w:rsidR="00FF384B" w:rsidRDefault="003E3BA9">
      <w:pPr>
        <w:spacing w:after="0"/>
        <w:ind w:left="283"/>
      </w:pPr>
      <w:r>
        <w:rPr>
          <w:rFonts w:ascii="Arial" w:eastAsia="Arial" w:hAnsi="Arial" w:cs="Arial"/>
          <w:b/>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V. Procedimiento de reintegro.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65. Legislación aplicable. </w:t>
      </w:r>
    </w:p>
    <w:p w:rsidR="00FF384B" w:rsidRDefault="003E3BA9">
      <w:pPr>
        <w:spacing w:after="142" w:line="248" w:lineRule="auto"/>
        <w:ind w:left="278" w:right="244" w:hanging="10"/>
        <w:jc w:val="both"/>
      </w:pPr>
      <w:r>
        <w:rPr>
          <w:rFonts w:ascii="Arial" w:eastAsia="Arial" w:hAnsi="Arial" w:cs="Arial"/>
          <w:color w:val="202020"/>
        </w:rPr>
        <w:t>El procedimiento de reintegro de subvenciones se regirá por las disposiciones generales sobre procedimientos administrativos previstos en la legislación vigente en materia de Régimen Jurídico de las Administraciones Públicas y Procedimiento Administrativo,</w:t>
      </w:r>
      <w:r>
        <w:rPr>
          <w:rFonts w:ascii="Arial" w:eastAsia="Arial" w:hAnsi="Arial" w:cs="Arial"/>
          <w:color w:val="202020"/>
        </w:rPr>
        <w:t xml:space="preserve"> sin perjuicio de las especialidades establecidas en la normativa se subvenciones.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66. Inicio del procedimiento. </w:t>
      </w:r>
    </w:p>
    <w:p w:rsidR="00FF384B" w:rsidRDefault="003E3BA9">
      <w:pPr>
        <w:spacing w:after="142" w:line="248" w:lineRule="auto"/>
        <w:ind w:left="278" w:right="244" w:hanging="10"/>
        <w:jc w:val="both"/>
      </w:pPr>
      <w:r>
        <w:rPr>
          <w:rFonts w:ascii="Arial" w:eastAsia="Arial" w:hAnsi="Arial" w:cs="Arial"/>
          <w:color w:val="202020"/>
        </w:rPr>
        <w:t>El procedimiento de reintegro de subvenciones se iniciará de oficio por acuerdo del órgano competente, bien por propia iniciativa,</w:t>
      </w:r>
      <w:r>
        <w:rPr>
          <w:rFonts w:ascii="Arial" w:eastAsia="Arial" w:hAnsi="Arial" w:cs="Arial"/>
          <w:color w:val="202020"/>
        </w:rPr>
        <w:t xml:space="preserve"> bien como consecuencia de orden superior, a petición razonada de otros órganos o por denuncia. También se iniciará a consecuencia del informe de control financiero emitido por la Intervención Municipal.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67. Retención de pagos. </w:t>
      </w:r>
    </w:p>
    <w:p w:rsidR="00FF384B" w:rsidRDefault="003E3BA9">
      <w:pPr>
        <w:numPr>
          <w:ilvl w:val="0"/>
          <w:numId w:val="169"/>
        </w:numPr>
        <w:spacing w:after="142" w:line="248" w:lineRule="auto"/>
        <w:ind w:right="244" w:hanging="10"/>
        <w:jc w:val="both"/>
      </w:pPr>
      <w:r>
        <w:rPr>
          <w:rFonts w:ascii="Arial" w:eastAsia="Arial" w:hAnsi="Arial" w:cs="Arial"/>
          <w:color w:val="202020"/>
        </w:rPr>
        <w:t>Como medida cautelar, el órgano concedente de la subvención, una vez acordado el inicio del procedimiento de reintegro, o bien la autoridad pagadora, o a propuesta de la Intervención General, podrá acordar la suspensión de los libramientos de pago al benef</w:t>
      </w:r>
      <w:r>
        <w:rPr>
          <w:rFonts w:ascii="Arial" w:eastAsia="Arial" w:hAnsi="Arial" w:cs="Arial"/>
          <w:color w:val="202020"/>
        </w:rPr>
        <w:t>iciario o entidad colaboradora, por el importe que fije la resolución de inicio del expediente de reintegro y con los intereses de demora devengados hasta la fecha, lo cual debe efectuarse de forma motivada y con notificación al beneficiario con independen</w:t>
      </w:r>
      <w:r>
        <w:rPr>
          <w:rFonts w:ascii="Arial" w:eastAsia="Arial" w:hAnsi="Arial" w:cs="Arial"/>
          <w:color w:val="202020"/>
        </w:rPr>
        <w:t xml:space="preserve">cia de los recursos pertinentes. </w:t>
      </w:r>
    </w:p>
    <w:p w:rsidR="00FF384B" w:rsidRDefault="003E3BA9">
      <w:pPr>
        <w:numPr>
          <w:ilvl w:val="0"/>
          <w:numId w:val="169"/>
        </w:numPr>
        <w:spacing w:after="142" w:line="248" w:lineRule="auto"/>
        <w:ind w:right="244" w:hanging="10"/>
        <w:jc w:val="both"/>
      </w:pPr>
      <w:r>
        <w:rPr>
          <w:noProof/>
        </w:rPr>
        <mc:AlternateContent>
          <mc:Choice Requires="wpg">
            <w:drawing>
              <wp:anchor distT="0" distB="0" distL="114300" distR="114300" simplePos="0" relativeHeight="2518036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4195" name="Group 46419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712" name="Picture 27712"/>
                          <pic:cNvPicPr/>
                        </pic:nvPicPr>
                        <pic:blipFill>
                          <a:blip r:embed="rId62"/>
                          <a:stretch>
                            <a:fillRect/>
                          </a:stretch>
                        </pic:blipFill>
                        <pic:spPr>
                          <a:xfrm rot="-5399999">
                            <a:off x="-1720849" y="1720849"/>
                            <a:ext cx="3797300" cy="355601"/>
                          </a:xfrm>
                          <a:prstGeom prst="rect">
                            <a:avLst/>
                          </a:prstGeom>
                        </pic:spPr>
                      </pic:pic>
                      <wps:wsp>
                        <wps:cNvPr id="27713" name="Rectangle 2771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714" name="Rectangle 2771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4195" style="width:41.2715pt;height:299pt;position:absolute;mso-position-horizontal-relative:page;mso-position-horizontal:absolute;margin-left:653.71pt;mso-position-vertical-relative:page;margin-top:512.92pt;" coordsize="5241,37973">
                <v:shape id="Picture 27712" style="position:absolute;width:37973;height:3556;left:-17208;top:17208;rotation:-89;" filled="f">
                  <v:imagedata r:id="rId63"/>
                </v:shape>
                <v:rect id="Rectangle 277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71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353 </w:t>
                        </w:r>
                      </w:p>
                    </w:txbxContent>
                  </v:textbox>
                </v:rect>
                <w10:wrap type="square"/>
              </v:group>
            </w:pict>
          </mc:Fallback>
        </mc:AlternateContent>
      </w:r>
      <w:r>
        <w:rPr>
          <w:rFonts w:ascii="Arial" w:eastAsia="Arial" w:hAnsi="Arial" w:cs="Arial"/>
          <w:color w:val="202020"/>
        </w:rPr>
        <w:t>Dicha retención deberá s</w:t>
      </w:r>
      <w:r>
        <w:rPr>
          <w:rFonts w:ascii="Arial" w:eastAsia="Arial" w:hAnsi="Arial" w:cs="Arial"/>
          <w:color w:val="202020"/>
        </w:rPr>
        <w:t>er proporcional, mantenerse hasta que se dicte resolución sin superar el período que se fija para su trámite, deberá levantarse cuando desaparezcan las causas que en su caso las justificaban, pudiendo ser sustituida a solicitud del beneficiario por la cons</w:t>
      </w:r>
      <w:r>
        <w:rPr>
          <w:rFonts w:ascii="Arial" w:eastAsia="Arial" w:hAnsi="Arial" w:cs="Arial"/>
          <w:color w:val="202020"/>
        </w:rPr>
        <w:t xml:space="preserve">titución de una garantía suficiente. </w:t>
      </w:r>
    </w:p>
    <w:p w:rsidR="00FF384B" w:rsidRDefault="003E3BA9">
      <w:pPr>
        <w:numPr>
          <w:ilvl w:val="0"/>
          <w:numId w:val="169"/>
        </w:numPr>
        <w:spacing w:after="142" w:line="248" w:lineRule="auto"/>
        <w:ind w:right="244" w:hanging="10"/>
        <w:jc w:val="both"/>
      </w:pPr>
      <w:r>
        <w:rPr>
          <w:rFonts w:ascii="Arial" w:eastAsia="Arial" w:hAnsi="Arial" w:cs="Arial"/>
          <w:color w:val="202020"/>
        </w:rPr>
        <w:t>En todo caso, procederá la suspensión si existen indicios racionales que permitan prever la imposibilidad de obtener el resarcimiento, o si este puede verse frustrado o gravemente dificultado y, en especial, si el perc</w:t>
      </w:r>
      <w:r>
        <w:rPr>
          <w:rFonts w:ascii="Arial" w:eastAsia="Arial" w:hAnsi="Arial" w:cs="Arial"/>
          <w:color w:val="202020"/>
        </w:rPr>
        <w:t xml:space="preserve">eptor hace actos de ocultación, gravamen o disposición de sus bienes.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68 Audiencia del interesado. </w:t>
      </w:r>
    </w:p>
    <w:p w:rsidR="00FF384B" w:rsidRDefault="003E3BA9">
      <w:pPr>
        <w:spacing w:after="78" w:line="310" w:lineRule="auto"/>
        <w:ind w:left="278" w:right="244" w:hanging="10"/>
        <w:jc w:val="both"/>
      </w:pPr>
      <w:r>
        <w:rPr>
          <w:rFonts w:ascii="Arial" w:eastAsia="Arial" w:hAnsi="Arial" w:cs="Arial"/>
          <w:color w:val="202020"/>
        </w:rPr>
        <w:t xml:space="preserve">En la tramitación del procedimiento se garantizará en todo caso el derecho del interesado a la audiencia. </w:t>
      </w:r>
      <w:r>
        <w:rPr>
          <w:rFonts w:ascii="Arial" w:eastAsia="Arial" w:hAnsi="Arial" w:cs="Arial"/>
          <w:i/>
          <w:color w:val="202020"/>
        </w:rPr>
        <w:t xml:space="preserve">Artículo 69. Resolución. </w:t>
      </w:r>
    </w:p>
    <w:p w:rsidR="00FF384B" w:rsidRDefault="003E3BA9">
      <w:pPr>
        <w:numPr>
          <w:ilvl w:val="0"/>
          <w:numId w:val="170"/>
        </w:numPr>
        <w:spacing w:after="142" w:line="248" w:lineRule="auto"/>
        <w:ind w:right="244" w:hanging="247"/>
        <w:jc w:val="both"/>
      </w:pPr>
      <w:r>
        <w:rPr>
          <w:rFonts w:ascii="Arial" w:eastAsia="Arial" w:hAnsi="Arial" w:cs="Arial"/>
          <w:color w:val="202020"/>
        </w:rPr>
        <w:t>El plazo máx</w:t>
      </w:r>
      <w:r>
        <w:rPr>
          <w:rFonts w:ascii="Arial" w:eastAsia="Arial" w:hAnsi="Arial" w:cs="Arial"/>
          <w:color w:val="202020"/>
        </w:rPr>
        <w:t>imo para resolver y notificar la resolución del procedimiento de reintegro será de doce meses desde la fecha del acuerdo de iniciación. Dicho plazo podrá suspenderse o ampliarse de acuerdo con lo previsto en la legislación vigente en materia de Régimen Jur</w:t>
      </w:r>
      <w:r>
        <w:rPr>
          <w:rFonts w:ascii="Arial" w:eastAsia="Arial" w:hAnsi="Arial" w:cs="Arial"/>
          <w:color w:val="202020"/>
        </w:rPr>
        <w:t xml:space="preserve">ídico de las Administraciones Públicas y Procedimiento Administrativo. </w:t>
      </w:r>
    </w:p>
    <w:p w:rsidR="00FF384B" w:rsidRDefault="003E3BA9">
      <w:pPr>
        <w:numPr>
          <w:ilvl w:val="0"/>
          <w:numId w:val="170"/>
        </w:numPr>
        <w:spacing w:after="142" w:line="248" w:lineRule="auto"/>
        <w:ind w:right="244" w:hanging="247"/>
        <w:jc w:val="both"/>
      </w:pPr>
      <w:r>
        <w:rPr>
          <w:rFonts w:ascii="Arial" w:eastAsia="Arial" w:hAnsi="Arial" w:cs="Arial"/>
          <w:color w:val="202020"/>
        </w:rPr>
        <w:t>Si transcurriese ese plazo máximo para resolver sin que se haya notificado la resolución expresa, se producirá la caducidad del procedimiento, sin perjuicio de continuar las actuacione</w:t>
      </w:r>
      <w:r>
        <w:rPr>
          <w:rFonts w:ascii="Arial" w:eastAsia="Arial" w:hAnsi="Arial" w:cs="Arial"/>
          <w:color w:val="202020"/>
        </w:rPr>
        <w:t xml:space="preserve">s hasta su terminación y sin que se considere interrumpida la prescripción por las actuaciones realizadas hasta la finalización del citado plazo. </w:t>
      </w:r>
    </w:p>
    <w:p w:rsidR="00FF384B" w:rsidRDefault="003E3BA9">
      <w:pPr>
        <w:numPr>
          <w:ilvl w:val="0"/>
          <w:numId w:val="170"/>
        </w:numPr>
        <w:spacing w:after="142" w:line="248" w:lineRule="auto"/>
        <w:ind w:right="244" w:hanging="247"/>
        <w:jc w:val="both"/>
      </w:pPr>
      <w:r>
        <w:rPr>
          <w:rFonts w:ascii="Arial" w:eastAsia="Arial" w:hAnsi="Arial" w:cs="Arial"/>
          <w:color w:val="202020"/>
        </w:rPr>
        <w:t xml:space="preserve">La resolución del procedimiento de reintegro pondrá fin a la vía administrativa. </w:t>
      </w:r>
    </w:p>
    <w:p w:rsidR="00FF384B" w:rsidRDefault="003E3BA9">
      <w:pPr>
        <w:spacing w:after="290" w:line="249" w:lineRule="auto"/>
        <w:ind w:left="278" w:hanging="10"/>
      </w:pPr>
      <w:r>
        <w:rPr>
          <w:rFonts w:ascii="Arial" w:eastAsia="Arial" w:hAnsi="Arial" w:cs="Arial"/>
          <w:b/>
          <w:color w:val="202020"/>
        </w:rPr>
        <w:t xml:space="preserve">TÍTULO V. CONTROL DE SUBVENCIONES </w:t>
      </w:r>
    </w:p>
    <w:p w:rsidR="00FF384B" w:rsidRDefault="003E3BA9">
      <w:pPr>
        <w:spacing w:after="94" w:line="249" w:lineRule="auto"/>
        <w:ind w:left="278" w:hanging="10"/>
      </w:pPr>
      <w:r>
        <w:rPr>
          <w:rFonts w:ascii="Arial" w:eastAsia="Arial" w:hAnsi="Arial" w:cs="Arial"/>
          <w:b/>
          <w:color w:val="202020"/>
        </w:rPr>
        <w:t>CAPÍTULO I. Disposiciones comunes.</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70. Objeto y competencia. </w:t>
      </w:r>
    </w:p>
    <w:p w:rsidR="00FF384B" w:rsidRDefault="003E3BA9">
      <w:pPr>
        <w:numPr>
          <w:ilvl w:val="0"/>
          <w:numId w:val="171"/>
        </w:numPr>
        <w:spacing w:after="142" w:line="248" w:lineRule="auto"/>
        <w:ind w:right="244" w:hanging="247"/>
        <w:jc w:val="both"/>
      </w:pPr>
      <w:r>
        <w:rPr>
          <w:rFonts w:ascii="Arial" w:eastAsia="Arial" w:hAnsi="Arial" w:cs="Arial"/>
          <w:color w:val="202020"/>
        </w:rPr>
        <w:t>El control de subvenciones se ejercerá sobre los beneficiarios y, en su caso, entidades colaboradoras, por las subvenciones concedidas con cargo Pres</w:t>
      </w:r>
      <w:r>
        <w:rPr>
          <w:rFonts w:ascii="Arial" w:eastAsia="Arial" w:hAnsi="Arial" w:cs="Arial"/>
          <w:color w:val="202020"/>
        </w:rPr>
        <w:t xml:space="preserve">upuesto General municipal, en la modalidad dispuesta por el Texto Refundido de la Ley de Haciendas Locales y de acuerdo a lo previsto en la legislación vigente en materia de Régimen Jurídico de las Administraciones Públicas y Procedimiento Administrativo. </w:t>
      </w:r>
    </w:p>
    <w:p w:rsidR="00FF384B" w:rsidRDefault="003E3BA9">
      <w:pPr>
        <w:numPr>
          <w:ilvl w:val="0"/>
          <w:numId w:val="171"/>
        </w:numPr>
        <w:spacing w:after="351" w:line="248" w:lineRule="auto"/>
        <w:ind w:right="244" w:hanging="247"/>
        <w:jc w:val="both"/>
      </w:pPr>
      <w:r>
        <w:rPr>
          <w:rFonts w:ascii="Arial" w:eastAsia="Arial" w:hAnsi="Arial" w:cs="Arial"/>
          <w:color w:val="202020"/>
        </w:rPr>
        <w:t xml:space="preserve">En todo caso, el control de las subvenciones tendrá como objeto verificar: </w:t>
      </w:r>
    </w:p>
    <w:p w:rsidR="00FF384B" w:rsidRDefault="003E3BA9">
      <w:pPr>
        <w:numPr>
          <w:ilvl w:val="1"/>
          <w:numId w:val="171"/>
        </w:numPr>
        <w:ind w:right="245" w:firstLine="360"/>
        <w:jc w:val="both"/>
      </w:pPr>
      <w:r>
        <w:rPr>
          <w:rFonts w:ascii="Arial" w:eastAsia="Arial" w:hAnsi="Arial" w:cs="Arial"/>
        </w:rPr>
        <w:t xml:space="preserve">La adecuada y correcta obtención de la subvención por parte del beneficiario. </w:t>
      </w:r>
    </w:p>
    <w:p w:rsidR="00FF384B" w:rsidRDefault="003E3BA9">
      <w:pPr>
        <w:numPr>
          <w:ilvl w:val="1"/>
          <w:numId w:val="171"/>
        </w:numPr>
        <w:spacing w:after="12" w:line="249" w:lineRule="auto"/>
        <w:ind w:right="245" w:firstLine="360"/>
        <w:jc w:val="both"/>
      </w:pPr>
      <w:r>
        <w:rPr>
          <w:rFonts w:ascii="Arial" w:eastAsia="Arial" w:hAnsi="Arial" w:cs="Arial"/>
        </w:rPr>
        <w:t xml:space="preserve">El cumplimiento por parte de beneficiarios y entidades colaboradoras de sus </w:t>
      </w:r>
    </w:p>
    <w:p w:rsidR="00FF384B" w:rsidRDefault="003E3BA9">
      <w:pPr>
        <w:spacing w:after="169" w:line="247" w:lineRule="auto"/>
        <w:ind w:left="278" w:right="244" w:hanging="10"/>
        <w:jc w:val="both"/>
      </w:pPr>
      <w:r>
        <w:rPr>
          <w:rFonts w:ascii="Arial" w:eastAsia="Arial" w:hAnsi="Arial" w:cs="Arial"/>
        </w:rPr>
        <w:t xml:space="preserve">obligaciones en la gestión y aplicación de la subvención. </w:t>
      </w:r>
    </w:p>
    <w:p w:rsidR="00FF384B" w:rsidRDefault="003E3BA9">
      <w:pPr>
        <w:numPr>
          <w:ilvl w:val="1"/>
          <w:numId w:val="171"/>
        </w:numPr>
        <w:spacing w:after="12" w:line="249" w:lineRule="auto"/>
        <w:ind w:right="245" w:firstLine="360"/>
        <w:jc w:val="both"/>
      </w:pPr>
      <w:r>
        <w:rPr>
          <w:rFonts w:ascii="Arial" w:eastAsia="Arial" w:hAnsi="Arial" w:cs="Arial"/>
        </w:rPr>
        <w:t xml:space="preserve">La adecuada y correcta justificación de la subvención por parte de beneficiarios y </w:t>
      </w:r>
    </w:p>
    <w:p w:rsidR="00FF384B" w:rsidRDefault="003E3BA9">
      <w:pPr>
        <w:spacing w:after="171" w:line="247" w:lineRule="auto"/>
        <w:ind w:left="278" w:right="244" w:hanging="10"/>
        <w:jc w:val="both"/>
      </w:pPr>
      <w:r>
        <w:rPr>
          <w:rFonts w:ascii="Arial" w:eastAsia="Arial" w:hAnsi="Arial" w:cs="Arial"/>
        </w:rPr>
        <w:t xml:space="preserve">entidades colaboradoras. </w:t>
      </w:r>
    </w:p>
    <w:p w:rsidR="00FF384B" w:rsidRDefault="003E3BA9">
      <w:pPr>
        <w:numPr>
          <w:ilvl w:val="1"/>
          <w:numId w:val="171"/>
        </w:numPr>
        <w:spacing w:after="172" w:line="247" w:lineRule="auto"/>
        <w:ind w:right="245" w:firstLine="360"/>
        <w:jc w:val="both"/>
      </w:pPr>
      <w:r>
        <w:rPr>
          <w:noProof/>
        </w:rPr>
        <mc:AlternateContent>
          <mc:Choice Requires="wpg">
            <w:drawing>
              <wp:anchor distT="0" distB="0" distL="114300" distR="114300" simplePos="0" relativeHeight="2518046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4563" name="Group 46456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820" name="Picture 27820"/>
                          <pic:cNvPicPr/>
                        </pic:nvPicPr>
                        <pic:blipFill>
                          <a:blip r:embed="rId62"/>
                          <a:stretch>
                            <a:fillRect/>
                          </a:stretch>
                        </pic:blipFill>
                        <pic:spPr>
                          <a:xfrm rot="-5399999">
                            <a:off x="-1720849" y="1720849"/>
                            <a:ext cx="3797300" cy="355601"/>
                          </a:xfrm>
                          <a:prstGeom prst="rect">
                            <a:avLst/>
                          </a:prstGeom>
                        </pic:spPr>
                      </pic:pic>
                      <wps:wsp>
                        <wps:cNvPr id="27821" name="Rectangle 2782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822" name="Rectangle 2782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4563" style="width:41.2715pt;height:299pt;position:absolute;mso-position-horizontal-relative:page;mso-position-horizontal:absolute;margin-left:653.71pt;mso-position-vertical-relative:page;margin-top:512.92pt;" coordsize="5241,37973">
                <v:shape id="Picture 27820" style="position:absolute;width:37973;height:3556;left:-17208;top:17208;rotation:-89;" filled="f">
                  <v:imagedata r:id="rId63"/>
                </v:shape>
                <v:rect id="Rectangle 278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82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353 </w:t>
                        </w:r>
                      </w:p>
                    </w:txbxContent>
                  </v:textbox>
                </v:rect>
                <w10:wrap type="square"/>
              </v:group>
            </w:pict>
          </mc:Fallback>
        </mc:AlternateContent>
      </w:r>
      <w:r>
        <w:rPr>
          <w:rFonts w:ascii="Arial" w:eastAsia="Arial" w:hAnsi="Arial" w:cs="Arial"/>
        </w:rPr>
        <w:t>La realidad y la regularidad de las operaciones que, de acuer</w:t>
      </w:r>
      <w:r>
        <w:rPr>
          <w:rFonts w:ascii="Arial" w:eastAsia="Arial" w:hAnsi="Arial" w:cs="Arial"/>
        </w:rPr>
        <w:t xml:space="preserve">do con la justificación presentada por beneficiarios y entidades colaboradoras, han sido financiadas con la subvención. </w:t>
      </w:r>
    </w:p>
    <w:p w:rsidR="00FF384B" w:rsidRDefault="003E3BA9">
      <w:pPr>
        <w:numPr>
          <w:ilvl w:val="1"/>
          <w:numId w:val="171"/>
        </w:numPr>
        <w:spacing w:after="174" w:line="247" w:lineRule="auto"/>
        <w:ind w:right="245" w:firstLine="360"/>
        <w:jc w:val="both"/>
      </w:pPr>
      <w:r>
        <w:rPr>
          <w:rFonts w:ascii="Arial" w:eastAsia="Arial" w:hAnsi="Arial" w:cs="Arial"/>
        </w:rPr>
        <w:t>La adecuada y correcta financiación de las actividades subvencionadas, para comprobar que el importe de la subvención abonada o de la s</w:t>
      </w:r>
      <w:r>
        <w:rPr>
          <w:rFonts w:ascii="Arial" w:eastAsia="Arial" w:hAnsi="Arial" w:cs="Arial"/>
        </w:rPr>
        <w:t xml:space="preserve">uma de ellas con otras subvenciones, ayudas, ingresos o recursos, no supere el coste de la actividad subvencionada. </w:t>
      </w:r>
    </w:p>
    <w:p w:rsidR="00FF384B" w:rsidRDefault="003E3BA9">
      <w:pPr>
        <w:numPr>
          <w:ilvl w:val="1"/>
          <w:numId w:val="171"/>
        </w:numPr>
        <w:spacing w:after="172" w:line="247" w:lineRule="auto"/>
        <w:ind w:right="245" w:firstLine="360"/>
        <w:jc w:val="both"/>
      </w:pPr>
      <w:r>
        <w:rPr>
          <w:rFonts w:ascii="Arial" w:eastAsia="Arial" w:hAnsi="Arial" w:cs="Arial"/>
        </w:rPr>
        <w:t>La existencia de hechos, circunstancias o situaciones no declaradas a la Administración por beneficiarios y entidades colaboradoras y que p</w:t>
      </w:r>
      <w:r>
        <w:rPr>
          <w:rFonts w:ascii="Arial" w:eastAsia="Arial" w:hAnsi="Arial" w:cs="Arial"/>
        </w:rPr>
        <w:t xml:space="preserve">udieran afectar a la financiación de las actividades subvencionadas, a la adecuada y correcta obtención, utilización, disfrute o justificación de la subvención, así como a la realidad y regularidad de las operaciones con ella financiadas. </w:t>
      </w:r>
    </w:p>
    <w:p w:rsidR="00FF384B" w:rsidRDefault="003E3BA9">
      <w:pPr>
        <w:spacing w:after="131"/>
        <w:ind w:left="283"/>
      </w:pPr>
      <w:r>
        <w:rPr>
          <w:rFonts w:ascii="Arial" w:eastAsia="Arial" w:hAnsi="Arial" w:cs="Arial"/>
          <w:color w:val="202020"/>
        </w:rPr>
        <w:t xml:space="preserve"> </w:t>
      </w:r>
    </w:p>
    <w:p w:rsidR="00FF384B" w:rsidRDefault="003E3BA9">
      <w:pPr>
        <w:numPr>
          <w:ilvl w:val="0"/>
          <w:numId w:val="171"/>
        </w:numPr>
        <w:spacing w:after="142" w:line="248" w:lineRule="auto"/>
        <w:ind w:right="244" w:hanging="247"/>
        <w:jc w:val="both"/>
      </w:pPr>
      <w:r>
        <w:rPr>
          <w:rFonts w:ascii="Arial" w:eastAsia="Arial" w:hAnsi="Arial" w:cs="Arial"/>
          <w:color w:val="202020"/>
        </w:rPr>
        <w:t>La competencia</w:t>
      </w:r>
      <w:r>
        <w:rPr>
          <w:rFonts w:ascii="Arial" w:eastAsia="Arial" w:hAnsi="Arial" w:cs="Arial"/>
          <w:color w:val="202020"/>
        </w:rPr>
        <w:t xml:space="preserve"> para el ejercicio del control de subvenciones corresponde a la Intervención, a través del Control financiero permanente. </w:t>
      </w:r>
    </w:p>
    <w:p w:rsidR="00FF384B" w:rsidRDefault="003E3BA9">
      <w:pPr>
        <w:numPr>
          <w:ilvl w:val="0"/>
          <w:numId w:val="171"/>
        </w:numPr>
        <w:spacing w:after="142" w:line="248" w:lineRule="auto"/>
        <w:ind w:right="244" w:hanging="247"/>
        <w:jc w:val="both"/>
      </w:pPr>
      <w:r>
        <w:rPr>
          <w:rFonts w:ascii="Arial" w:eastAsia="Arial" w:hAnsi="Arial" w:cs="Arial"/>
          <w:color w:val="202020"/>
        </w:rPr>
        <w:t>El control podrá extenderse a las personas físicas o jurídicas a las que se encuentren asociados los beneficiarios, así como a cualqu</w:t>
      </w:r>
      <w:r>
        <w:rPr>
          <w:rFonts w:ascii="Arial" w:eastAsia="Arial" w:hAnsi="Arial" w:cs="Arial"/>
          <w:color w:val="202020"/>
        </w:rPr>
        <w:t xml:space="preserve">ier otra persona susceptible de presentar un interés en la consecución de los objetivos, en la realización de las actividades, en la ejecución de los proyectos o en la adopción de los comportamientos.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71. Obligación de colaboración. </w:t>
      </w:r>
    </w:p>
    <w:p w:rsidR="00FF384B" w:rsidRDefault="003E3BA9">
      <w:pPr>
        <w:numPr>
          <w:ilvl w:val="0"/>
          <w:numId w:val="172"/>
        </w:numPr>
        <w:spacing w:after="142" w:line="248" w:lineRule="auto"/>
        <w:ind w:right="244" w:hanging="10"/>
        <w:jc w:val="both"/>
      </w:pPr>
      <w:r>
        <w:rPr>
          <w:rFonts w:ascii="Arial" w:eastAsia="Arial" w:hAnsi="Arial" w:cs="Arial"/>
          <w:color w:val="202020"/>
        </w:rPr>
        <w:t>Los solicitantes, beneficiarios, las entidades colaboradoras y los terceros relacionados con el objeto de la subvención o su justificación, estarán obligados a prestar colaboración y facilitar cuanta documentación sea requerida en el ejercicio de las funci</w:t>
      </w:r>
      <w:r>
        <w:rPr>
          <w:rFonts w:ascii="Arial" w:eastAsia="Arial" w:hAnsi="Arial" w:cs="Arial"/>
          <w:color w:val="202020"/>
        </w:rPr>
        <w:t xml:space="preserve">ones de control financiero por la Intervención Municipal, así como a los órganos que, de acuerdo con la normativa comunitaria, tengan atribuidas funciones de control financiero, a cuyo fin tendrán las siguientes facultades y derechos: </w:t>
      </w:r>
    </w:p>
    <w:p w:rsidR="00FF384B" w:rsidRDefault="003E3BA9">
      <w:pPr>
        <w:numPr>
          <w:ilvl w:val="1"/>
          <w:numId w:val="172"/>
        </w:numPr>
        <w:spacing w:after="92" w:line="248" w:lineRule="auto"/>
        <w:ind w:right="244" w:hanging="10"/>
        <w:jc w:val="both"/>
      </w:pPr>
      <w:r>
        <w:rPr>
          <w:rFonts w:ascii="Arial" w:eastAsia="Arial" w:hAnsi="Arial" w:cs="Arial"/>
          <w:color w:val="202020"/>
        </w:rPr>
        <w:t>El libre acceso a to</w:t>
      </w:r>
      <w:r>
        <w:rPr>
          <w:rFonts w:ascii="Arial" w:eastAsia="Arial" w:hAnsi="Arial" w:cs="Arial"/>
          <w:color w:val="202020"/>
        </w:rPr>
        <w:t xml:space="preserve">da la documentación objeto de comprobación, incluidos libros y registros contables, programas y archivos en soportes informáticos. </w:t>
      </w:r>
    </w:p>
    <w:p w:rsidR="00FF384B" w:rsidRDefault="003E3BA9">
      <w:pPr>
        <w:numPr>
          <w:ilvl w:val="1"/>
          <w:numId w:val="172"/>
        </w:numPr>
        <w:spacing w:after="92" w:line="248" w:lineRule="auto"/>
        <w:ind w:right="244" w:hanging="10"/>
        <w:jc w:val="both"/>
      </w:pPr>
      <w:r>
        <w:rPr>
          <w:rFonts w:ascii="Arial" w:eastAsia="Arial" w:hAnsi="Arial" w:cs="Arial"/>
          <w:color w:val="202020"/>
        </w:rPr>
        <w:t xml:space="preserve">El libre acceso a los locales de negocio y demás establecimientos o lugares en que se desarrolle la actividad subvencionada </w:t>
      </w:r>
      <w:r>
        <w:rPr>
          <w:rFonts w:ascii="Arial" w:eastAsia="Arial" w:hAnsi="Arial" w:cs="Arial"/>
          <w:color w:val="202020"/>
        </w:rPr>
        <w:t xml:space="preserve">o se permita verificar la realidad y regularidad de las operaciones financiadas con cargo a la subvención. </w:t>
      </w:r>
    </w:p>
    <w:p w:rsidR="00FF384B" w:rsidRDefault="003E3BA9">
      <w:pPr>
        <w:numPr>
          <w:ilvl w:val="1"/>
          <w:numId w:val="172"/>
        </w:numPr>
        <w:spacing w:after="92" w:line="248" w:lineRule="auto"/>
        <w:ind w:right="244" w:hanging="10"/>
        <w:jc w:val="both"/>
      </w:pPr>
      <w:r>
        <w:rPr>
          <w:rFonts w:ascii="Arial" w:eastAsia="Arial" w:hAnsi="Arial" w:cs="Arial"/>
          <w:color w:val="202020"/>
        </w:rPr>
        <w:t>La obtención de copia o la retención de las facturas, documentos equivalentes o sustitutivos y de cualquier otro documento relativo a las operacione</w:t>
      </w:r>
      <w:r>
        <w:rPr>
          <w:rFonts w:ascii="Arial" w:eastAsia="Arial" w:hAnsi="Arial" w:cs="Arial"/>
          <w:color w:val="202020"/>
        </w:rPr>
        <w:t xml:space="preserve">s en las que se deduzcan indicios de la incorrecta obtención, disfrute o destino de la subvención. </w:t>
      </w:r>
    </w:p>
    <w:p w:rsidR="00FF384B" w:rsidRDefault="003E3BA9">
      <w:pPr>
        <w:numPr>
          <w:ilvl w:val="1"/>
          <w:numId w:val="172"/>
        </w:numPr>
        <w:spacing w:after="95" w:line="248" w:lineRule="auto"/>
        <w:ind w:right="244" w:hanging="10"/>
        <w:jc w:val="both"/>
      </w:pPr>
      <w:r>
        <w:rPr>
          <w:rFonts w:ascii="Arial" w:eastAsia="Arial" w:hAnsi="Arial" w:cs="Arial"/>
          <w:color w:val="202020"/>
        </w:rPr>
        <w:t xml:space="preserve">El libre acceso a información de las cuentas bancarias en las entidades financieras donde se pueda haber efectuado el cobro de las subvenciones o con cargo </w:t>
      </w:r>
      <w:r>
        <w:rPr>
          <w:rFonts w:ascii="Arial" w:eastAsia="Arial" w:hAnsi="Arial" w:cs="Arial"/>
          <w:color w:val="202020"/>
        </w:rPr>
        <w:t xml:space="preserve">a las cuales se puedan haber realizado las disposiciones de los fondos. </w:t>
      </w:r>
    </w:p>
    <w:p w:rsidR="00FF384B" w:rsidRDefault="003E3BA9">
      <w:pPr>
        <w:numPr>
          <w:ilvl w:val="0"/>
          <w:numId w:val="172"/>
        </w:numPr>
        <w:spacing w:after="142" w:line="248" w:lineRule="auto"/>
        <w:ind w:right="244" w:hanging="10"/>
        <w:jc w:val="both"/>
      </w:pPr>
      <w:r>
        <w:rPr>
          <w:noProof/>
        </w:rPr>
        <mc:AlternateContent>
          <mc:Choice Requires="wpg">
            <w:drawing>
              <wp:anchor distT="0" distB="0" distL="114300" distR="114300" simplePos="0" relativeHeight="2518056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4809" name="Group 46480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7965" name="Picture 27965"/>
                          <pic:cNvPicPr/>
                        </pic:nvPicPr>
                        <pic:blipFill>
                          <a:blip r:embed="rId62"/>
                          <a:stretch>
                            <a:fillRect/>
                          </a:stretch>
                        </pic:blipFill>
                        <pic:spPr>
                          <a:xfrm rot="-5399999">
                            <a:off x="-1720849" y="1720849"/>
                            <a:ext cx="3797300" cy="355601"/>
                          </a:xfrm>
                          <a:prstGeom prst="rect">
                            <a:avLst/>
                          </a:prstGeom>
                        </pic:spPr>
                      </pic:pic>
                      <wps:wsp>
                        <wps:cNvPr id="27966" name="Rectangle 2796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7967" name="Rectangle 2796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Pági</w:t>
                              </w:r>
                              <w:r>
                                <w:rPr>
                                  <w:rFonts w:ascii="Arial" w:eastAsia="Arial" w:hAnsi="Arial" w:cs="Arial"/>
                                  <w:sz w:val="12"/>
                                </w:rPr>
                                <w:t xml:space="preserve">na 143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4809" style="width:41.2715pt;height:299pt;position:absolute;mso-position-horizontal-relative:page;mso-position-horizontal:absolute;margin-left:653.71pt;mso-position-vertical-relative:page;margin-top:512.92pt;" coordsize="5241,37973">
                <v:shape id="Picture 27965" style="position:absolute;width:37973;height:3556;left:-17208;top:17208;rotation:-89;" filled="f">
                  <v:imagedata r:id="rId63"/>
                </v:shape>
                <v:rect id="Rectangle 2796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796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353 </w:t>
                        </w:r>
                      </w:p>
                    </w:txbxContent>
                  </v:textbox>
                </v:rect>
                <w10:wrap type="square"/>
              </v:group>
            </w:pict>
          </mc:Fallback>
        </mc:AlternateContent>
      </w:r>
      <w:r>
        <w:rPr>
          <w:rFonts w:ascii="Arial" w:eastAsia="Arial" w:hAnsi="Arial" w:cs="Arial"/>
          <w:color w:val="202020"/>
        </w:rPr>
        <w:t xml:space="preserve">La negativa al cumplimiento de esta obligación se considerará resistencia, excusa, obstrucción o negativa a los efectos del artículo 59 de esta ordenanza, sin perjuicio de las sanciones que, en su caso, pudieran corresponder. </w:t>
      </w:r>
      <w:r>
        <w:rPr>
          <w:rFonts w:ascii="Arial" w:eastAsia="Arial" w:hAnsi="Arial" w:cs="Arial"/>
          <w:i/>
          <w:color w:val="202020"/>
        </w:rPr>
        <w:t>Artículo 72. De</w:t>
      </w:r>
      <w:r>
        <w:rPr>
          <w:rFonts w:ascii="Arial" w:eastAsia="Arial" w:hAnsi="Arial" w:cs="Arial"/>
          <w:i/>
          <w:color w:val="202020"/>
        </w:rPr>
        <w:t xml:space="preserve">rechos y deberes del personal controlador. </w:t>
      </w:r>
    </w:p>
    <w:p w:rsidR="00FF384B" w:rsidRDefault="003E3BA9">
      <w:pPr>
        <w:numPr>
          <w:ilvl w:val="0"/>
          <w:numId w:val="173"/>
        </w:numPr>
        <w:spacing w:after="153" w:line="239" w:lineRule="auto"/>
        <w:ind w:right="244" w:hanging="10"/>
        <w:jc w:val="both"/>
      </w:pPr>
      <w:r>
        <w:rPr>
          <w:rFonts w:ascii="Arial" w:eastAsia="Arial" w:hAnsi="Arial" w:cs="Arial"/>
          <w:color w:val="202020"/>
        </w:rPr>
        <w:t xml:space="preserve">En el ejercicio de sus funciones, los funcionarios de la Intervención Municipal y a los que específicamente se les pueda asignar este cometido, de acuerdo con la normativa comunitaria, serán considerados agentes </w:t>
      </w:r>
      <w:r>
        <w:rPr>
          <w:rFonts w:ascii="Arial" w:eastAsia="Arial" w:hAnsi="Arial" w:cs="Arial"/>
          <w:color w:val="202020"/>
        </w:rPr>
        <w:t xml:space="preserve">de la autoridad. </w:t>
      </w:r>
    </w:p>
    <w:p w:rsidR="00FF384B" w:rsidRDefault="003E3BA9">
      <w:pPr>
        <w:numPr>
          <w:ilvl w:val="0"/>
          <w:numId w:val="173"/>
        </w:numPr>
        <w:spacing w:after="142" w:line="248" w:lineRule="auto"/>
        <w:ind w:right="244" w:hanging="10"/>
        <w:jc w:val="both"/>
      </w:pPr>
      <w:r>
        <w:rPr>
          <w:rFonts w:ascii="Arial" w:eastAsia="Arial" w:hAnsi="Arial" w:cs="Arial"/>
          <w:color w:val="202020"/>
        </w:rPr>
        <w:t>Los funcionarios y auditores que ejecuten los trabajos, bien individualmente o formando parte de equipos de auditoría, deben poseer la cualificación profesional necesaria, mantener una posición de independencia y objetividad, actuar con l</w:t>
      </w:r>
      <w:r>
        <w:rPr>
          <w:rFonts w:ascii="Arial" w:eastAsia="Arial" w:hAnsi="Arial" w:cs="Arial"/>
          <w:color w:val="202020"/>
        </w:rPr>
        <w:t xml:space="preserve">a debida diligencia profesional, responder de su trabajo y observar la confidencialidad y el secreto respecto de la información obtenida en el curso de las actuaciones. </w:t>
      </w:r>
    </w:p>
    <w:p w:rsidR="00FF384B" w:rsidRDefault="003E3BA9">
      <w:pPr>
        <w:numPr>
          <w:ilvl w:val="0"/>
          <w:numId w:val="173"/>
        </w:numPr>
        <w:spacing w:after="142" w:line="248" w:lineRule="auto"/>
        <w:ind w:right="244" w:hanging="10"/>
        <w:jc w:val="both"/>
      </w:pPr>
      <w:r>
        <w:rPr>
          <w:rFonts w:ascii="Arial" w:eastAsia="Arial" w:hAnsi="Arial" w:cs="Arial"/>
          <w:color w:val="202020"/>
        </w:rPr>
        <w:t>Los datos, informes o antecedentes obtenidos en el ejercicio de dicho control solament</w:t>
      </w:r>
      <w:r>
        <w:rPr>
          <w:rFonts w:ascii="Arial" w:eastAsia="Arial" w:hAnsi="Arial" w:cs="Arial"/>
          <w:color w:val="202020"/>
        </w:rPr>
        <w:t>e podrán utilizarse para los fines asignados al mismo, servir de fundamento para la exigencia de reintegro y, en su caso, para poner en conocimiento de los órganos competentes los hechos que puedan ser constitutivos de infracción administrativa, responsabi</w:t>
      </w:r>
      <w:r>
        <w:rPr>
          <w:rFonts w:ascii="Arial" w:eastAsia="Arial" w:hAnsi="Arial" w:cs="Arial"/>
          <w:color w:val="202020"/>
        </w:rPr>
        <w:t xml:space="preserve">lidad contable o penal. </w:t>
      </w:r>
    </w:p>
    <w:p w:rsidR="00FF384B" w:rsidRDefault="003E3BA9">
      <w:pPr>
        <w:numPr>
          <w:ilvl w:val="0"/>
          <w:numId w:val="173"/>
        </w:numPr>
        <w:spacing w:after="142" w:line="248" w:lineRule="auto"/>
        <w:ind w:right="244" w:hanging="10"/>
        <w:jc w:val="both"/>
      </w:pPr>
      <w:r>
        <w:rPr>
          <w:rFonts w:ascii="Arial" w:eastAsia="Arial" w:hAnsi="Arial" w:cs="Arial"/>
          <w:color w:val="202020"/>
        </w:rPr>
        <w:t>Cuando en la práctica de un control sobre subvenciones el funcionario encargado aprecie que los hechos acreditados en el expediente pudieran ser susceptibles de constituir una infracción administrativa o de responsabilidades contab</w:t>
      </w:r>
      <w:r>
        <w:rPr>
          <w:rFonts w:ascii="Arial" w:eastAsia="Arial" w:hAnsi="Arial" w:cs="Arial"/>
          <w:color w:val="202020"/>
        </w:rPr>
        <w:t xml:space="preserve">les o penales lo deberá poner en conocimiento de la Intervención Municipal para que, si procede, remita lo actuado al órgano competente para la iniciación de los oportunos procedimientos. </w:t>
      </w:r>
    </w:p>
    <w:p w:rsidR="00FF384B" w:rsidRDefault="003E3BA9">
      <w:pPr>
        <w:spacing w:after="140" w:line="249" w:lineRule="auto"/>
        <w:ind w:left="278" w:hanging="10"/>
      </w:pPr>
      <w:r>
        <w:rPr>
          <w:rFonts w:ascii="Arial" w:eastAsia="Arial" w:hAnsi="Arial" w:cs="Arial"/>
          <w:b/>
          <w:color w:val="202020"/>
        </w:rPr>
        <w:t xml:space="preserve">CAPÍTULO II. Procedimientos de control de subvenciones </w:t>
      </w:r>
    </w:p>
    <w:p w:rsidR="00FF384B" w:rsidRDefault="003E3BA9">
      <w:pPr>
        <w:spacing w:after="127"/>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73. Procedimientos de control de subvenciones. </w:t>
      </w:r>
    </w:p>
    <w:p w:rsidR="00FF384B" w:rsidRDefault="003E3BA9">
      <w:pPr>
        <w:spacing w:after="142" w:line="248" w:lineRule="auto"/>
        <w:ind w:left="268" w:right="244" w:firstLine="708"/>
        <w:jc w:val="both"/>
      </w:pPr>
      <w:r>
        <w:rPr>
          <w:rFonts w:ascii="Arial" w:eastAsia="Arial" w:hAnsi="Arial" w:cs="Arial"/>
          <w:color w:val="202020"/>
        </w:rPr>
        <w:t xml:space="preserve">El ejercicio del control de subvenciones se adecuará a la modalidad a aplicar, sea función interventora o control financiero, conforme establezca el interventor municipal, de conformidad con el Real </w:t>
      </w:r>
      <w:r>
        <w:rPr>
          <w:rFonts w:ascii="Arial" w:eastAsia="Arial" w:hAnsi="Arial" w:cs="Arial"/>
          <w:color w:val="202020"/>
        </w:rPr>
        <w:t xml:space="preserve">Decreto 424/2017 de abril.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74. Función interventora. </w:t>
      </w:r>
    </w:p>
    <w:p w:rsidR="00FF384B" w:rsidRDefault="003E3BA9">
      <w:pPr>
        <w:spacing w:after="142" w:line="248" w:lineRule="auto"/>
        <w:ind w:left="268" w:right="244" w:firstLine="708"/>
        <w:jc w:val="both"/>
      </w:pPr>
      <w:r>
        <w:rPr>
          <w:rFonts w:ascii="Arial" w:eastAsia="Arial" w:hAnsi="Arial" w:cs="Arial"/>
          <w:color w:val="202020"/>
        </w:rPr>
        <w:t>El ejercicio de la función interventora sobre las subvenciones reguladas en esta ordenanza, podrá consistir en la intervención previa plena, de los expedientes en la tramitación de las diferentes fases de autorización y disposición del gasto y reconocimien</w:t>
      </w:r>
      <w:r>
        <w:rPr>
          <w:rFonts w:ascii="Arial" w:eastAsia="Arial" w:hAnsi="Arial" w:cs="Arial"/>
          <w:color w:val="202020"/>
        </w:rPr>
        <w:t>to de la obligación, o en la intervención previa de requisitos esenciales, que se completará con el control posterior, bien a través de la fiscalización plena posterior, bien mediante técnicas de auditoría, de acuerdo con lo dispuesto en el Texto Refundido</w:t>
      </w:r>
      <w:r>
        <w:rPr>
          <w:rFonts w:ascii="Arial" w:eastAsia="Arial" w:hAnsi="Arial" w:cs="Arial"/>
          <w:color w:val="202020"/>
        </w:rPr>
        <w:t xml:space="preserve"> de la Ley de Haciendas Locales </w:t>
      </w:r>
    </w:p>
    <w:p w:rsidR="00FF384B" w:rsidRDefault="003E3BA9">
      <w:pPr>
        <w:spacing w:after="142" w:line="248" w:lineRule="auto"/>
        <w:ind w:left="268" w:right="244" w:firstLine="708"/>
        <w:jc w:val="both"/>
      </w:pPr>
      <w:r>
        <w:rPr>
          <w:rFonts w:ascii="Arial" w:eastAsia="Arial" w:hAnsi="Arial" w:cs="Arial"/>
          <w:color w:val="202020"/>
        </w:rPr>
        <w:t xml:space="preserve">El control posterior efectuado a través de técnicas de auditoría se someterá, en lo correspondiente a su procedimiento y formalización, a lo determinado en los artículos siguientes. </w:t>
      </w:r>
    </w:p>
    <w:p w:rsidR="00FF384B" w:rsidRDefault="003E3BA9">
      <w:pPr>
        <w:spacing w:after="129"/>
        <w:ind w:left="991"/>
      </w:pPr>
      <w:r>
        <w:rPr>
          <w:noProof/>
        </w:rPr>
        <mc:AlternateContent>
          <mc:Choice Requires="wpg">
            <w:drawing>
              <wp:anchor distT="0" distB="0" distL="114300" distR="114300" simplePos="0" relativeHeight="2518067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5200" name="Group 46520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098" name="Picture 28098"/>
                          <pic:cNvPicPr/>
                        </pic:nvPicPr>
                        <pic:blipFill>
                          <a:blip r:embed="rId62"/>
                          <a:stretch>
                            <a:fillRect/>
                          </a:stretch>
                        </pic:blipFill>
                        <pic:spPr>
                          <a:xfrm rot="-5399999">
                            <a:off x="-1720849" y="1720849"/>
                            <a:ext cx="3797300" cy="355601"/>
                          </a:xfrm>
                          <a:prstGeom prst="rect">
                            <a:avLst/>
                          </a:prstGeom>
                        </pic:spPr>
                      </pic:pic>
                      <wps:wsp>
                        <wps:cNvPr id="28099" name="Rectangle 2809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w:t>
                              </w:r>
                              <w:r>
                                <w:rPr>
                                  <w:rFonts w:ascii="Arial" w:eastAsia="Arial" w:hAnsi="Arial" w:cs="Arial"/>
                                  <w:sz w:val="12"/>
                                </w:rPr>
                                <w:t xml:space="preserve">CHL7K | Verificación: https://candelaria.sedelectronica.es/ </w:t>
                              </w:r>
                            </w:p>
                          </w:txbxContent>
                        </wps:txbx>
                        <wps:bodyPr horzOverflow="overflow" vert="horz" lIns="0" tIns="0" rIns="0" bIns="0" rtlCol="0">
                          <a:noAutofit/>
                        </wps:bodyPr>
                      </wps:wsp>
                      <wps:wsp>
                        <wps:cNvPr id="28100" name="Rectangle 2810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5200" style="width:41.2715pt;height:299pt;position:absolute;mso-position-horizontal-relative:page;mso-position-horizontal:absolute;margin-left:653.71pt;mso-position-vertical-relative:page;margin-top:512.92pt;" coordsize="5241,37973">
                <v:shape id="Picture 28098" style="position:absolute;width:37973;height:3556;left:-17208;top:17208;rotation:-89;" filled="f">
                  <v:imagedata r:id="rId63"/>
                </v:shape>
                <v:rect id="Rectangle 2809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10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353 </w:t>
                        </w:r>
                      </w:p>
                    </w:txbxContent>
                  </v:textbox>
                </v:rect>
                <w10:wrap type="square"/>
              </v:group>
            </w:pict>
          </mc:Fallback>
        </mc:AlternateContent>
      </w:r>
      <w:r>
        <w:rPr>
          <w:rFonts w:ascii="Arial" w:eastAsia="Arial" w:hAnsi="Arial" w:cs="Arial"/>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75. Control financiero. </w:t>
      </w:r>
    </w:p>
    <w:p w:rsidR="00FF384B" w:rsidRDefault="003E3BA9">
      <w:pPr>
        <w:numPr>
          <w:ilvl w:val="0"/>
          <w:numId w:val="174"/>
        </w:numPr>
        <w:spacing w:after="142" w:line="248" w:lineRule="auto"/>
        <w:ind w:right="244" w:hanging="247"/>
        <w:jc w:val="both"/>
      </w:pPr>
      <w:r>
        <w:rPr>
          <w:rFonts w:ascii="Arial" w:eastAsia="Arial" w:hAnsi="Arial" w:cs="Arial"/>
          <w:color w:val="202020"/>
        </w:rPr>
        <w:t>Cuando se realicen los controles mediante técnicas de auditorí</w:t>
      </w:r>
      <w:r>
        <w:rPr>
          <w:rFonts w:ascii="Arial" w:eastAsia="Arial" w:hAnsi="Arial" w:cs="Arial"/>
          <w:color w:val="202020"/>
        </w:rPr>
        <w:t>a, el inicio de las actuaciones se notificará a los órganos, organismos o entidades objeto de control y a los beneficiarios y, en su caso, entidades colaboradoras y al resto de los interesados, con indicación de la naturaleza y alcance de las actuaciones a</w:t>
      </w:r>
      <w:r>
        <w:rPr>
          <w:rFonts w:ascii="Arial" w:eastAsia="Arial" w:hAnsi="Arial" w:cs="Arial"/>
          <w:color w:val="202020"/>
        </w:rPr>
        <w:t xml:space="preserve"> desarrollar, la fecha de personación del equipo de control que va a realizarlas, la documentación que en un principio debe ponerse a disposición del mismo y los demás elementos que se consideren necesarios. Estas actuaciones serán comunicadas, igualmente,</w:t>
      </w:r>
      <w:r>
        <w:rPr>
          <w:rFonts w:ascii="Arial" w:eastAsia="Arial" w:hAnsi="Arial" w:cs="Arial"/>
          <w:color w:val="202020"/>
        </w:rPr>
        <w:t xml:space="preserve"> a los órganos gestores de las subvenciones. </w:t>
      </w:r>
    </w:p>
    <w:p w:rsidR="00FF384B" w:rsidRDefault="003E3BA9">
      <w:pPr>
        <w:numPr>
          <w:ilvl w:val="0"/>
          <w:numId w:val="174"/>
        </w:numPr>
        <w:spacing w:after="142" w:line="248" w:lineRule="auto"/>
        <w:ind w:right="244" w:hanging="247"/>
        <w:jc w:val="both"/>
      </w:pPr>
      <w:r>
        <w:rPr>
          <w:rFonts w:ascii="Arial" w:eastAsia="Arial" w:hAnsi="Arial" w:cs="Arial"/>
          <w:color w:val="202020"/>
        </w:rPr>
        <w:t xml:space="preserve">El informe definitivo se remitirá a los órganos previstos en la normativa vigente.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76. Plan anual de control financiero. </w:t>
      </w:r>
    </w:p>
    <w:p w:rsidR="00FF384B" w:rsidRDefault="003E3BA9">
      <w:pPr>
        <w:numPr>
          <w:ilvl w:val="0"/>
          <w:numId w:val="175"/>
        </w:numPr>
        <w:spacing w:after="142" w:line="248" w:lineRule="auto"/>
        <w:ind w:right="244" w:hanging="10"/>
        <w:jc w:val="both"/>
      </w:pPr>
      <w:r>
        <w:rPr>
          <w:rFonts w:ascii="Arial" w:eastAsia="Arial" w:hAnsi="Arial" w:cs="Arial"/>
          <w:color w:val="202020"/>
        </w:rPr>
        <w:t xml:space="preserve">La Intervención Municipal elaborará un Plan anual de control financiero, que incluirá la programación de los controles financieros a realizar en el ejercicio. Dicho Plan será elevado al Pleno para su conocimiento durante el primer semestre del año. </w:t>
      </w:r>
    </w:p>
    <w:p w:rsidR="00FF384B" w:rsidRDefault="003E3BA9">
      <w:pPr>
        <w:numPr>
          <w:ilvl w:val="0"/>
          <w:numId w:val="175"/>
        </w:numPr>
        <w:spacing w:after="142" w:line="248" w:lineRule="auto"/>
        <w:ind w:right="244" w:hanging="10"/>
        <w:jc w:val="both"/>
      </w:pPr>
      <w:r>
        <w:rPr>
          <w:rFonts w:ascii="Arial" w:eastAsia="Arial" w:hAnsi="Arial" w:cs="Arial"/>
          <w:color w:val="202020"/>
        </w:rPr>
        <w:t>El Pla</w:t>
      </w:r>
      <w:r>
        <w:rPr>
          <w:rFonts w:ascii="Arial" w:eastAsia="Arial" w:hAnsi="Arial" w:cs="Arial"/>
          <w:color w:val="202020"/>
        </w:rPr>
        <w:t xml:space="preserve">n podrá ser modificado en función de los medios disponibles, de las necesidades de control detectadas en el ejercicio del mismo o de las solicitudes para la realización de auditorías específicas que efectúe el Pleno de la Corporación. </w:t>
      </w:r>
    </w:p>
    <w:p w:rsidR="00FF384B" w:rsidRDefault="003E3BA9">
      <w:pPr>
        <w:numPr>
          <w:ilvl w:val="0"/>
          <w:numId w:val="175"/>
        </w:numPr>
        <w:spacing w:after="142" w:line="248" w:lineRule="auto"/>
        <w:ind w:right="244" w:hanging="10"/>
        <w:jc w:val="both"/>
      </w:pPr>
      <w:r>
        <w:rPr>
          <w:rFonts w:ascii="Arial" w:eastAsia="Arial" w:hAnsi="Arial" w:cs="Arial"/>
          <w:color w:val="202020"/>
        </w:rPr>
        <w:t xml:space="preserve">A tales efectos, se </w:t>
      </w:r>
      <w:r>
        <w:rPr>
          <w:rFonts w:ascii="Arial" w:eastAsia="Arial" w:hAnsi="Arial" w:cs="Arial"/>
          <w:color w:val="202020"/>
        </w:rPr>
        <w:t>elevará propuesta o petición razonada a la Intervención Municipal que, previa valoración, resolverá, según proceda, acerca de la inclusión de un control no contemplado inicialmente en el Plan anual o su supresión, y la extensión del mismo a otra persona fí</w:t>
      </w:r>
      <w:r>
        <w:rPr>
          <w:rFonts w:ascii="Arial" w:eastAsia="Arial" w:hAnsi="Arial" w:cs="Arial"/>
          <w:color w:val="202020"/>
        </w:rPr>
        <w:t xml:space="preserve">sica o jurídica, debiendo dar cuenta, en todo caso, al Pleno de la Corporación. </w:t>
      </w:r>
    </w:p>
    <w:p w:rsidR="00FF384B" w:rsidRDefault="003E3BA9">
      <w:pPr>
        <w:spacing w:after="278"/>
        <w:ind w:left="283"/>
      </w:pPr>
      <w:r>
        <w:rPr>
          <w:rFonts w:ascii="Arial" w:eastAsia="Arial" w:hAnsi="Arial" w:cs="Arial"/>
          <w:color w:val="202020"/>
        </w:rPr>
        <w:t xml:space="preserve"> </w:t>
      </w:r>
    </w:p>
    <w:p w:rsidR="00FF384B" w:rsidRDefault="003E3BA9">
      <w:pPr>
        <w:spacing w:after="293" w:line="249" w:lineRule="auto"/>
        <w:ind w:left="278" w:hanging="10"/>
      </w:pPr>
      <w:r>
        <w:rPr>
          <w:rFonts w:ascii="Arial" w:eastAsia="Arial" w:hAnsi="Arial" w:cs="Arial"/>
          <w:b/>
          <w:color w:val="202020"/>
        </w:rPr>
        <w:t xml:space="preserve">TÍTULO VI. INFRACCIONES Y SANCIONES ADMINISTRATIVAS EN MATERIA DE SUBVENCIONES. PROCEDIMIENTO SANCIONADOR. </w:t>
      </w:r>
    </w:p>
    <w:p w:rsidR="00FF384B" w:rsidRDefault="003E3BA9">
      <w:pPr>
        <w:spacing w:after="94" w:line="249" w:lineRule="auto"/>
        <w:ind w:left="278" w:hanging="10"/>
      </w:pPr>
      <w:r>
        <w:rPr>
          <w:rFonts w:ascii="Arial" w:eastAsia="Arial" w:hAnsi="Arial" w:cs="Arial"/>
          <w:b/>
          <w:color w:val="202020"/>
        </w:rPr>
        <w:t>CAPÍTULO I. Infracciones en materia de subvenciones.</w:t>
      </w:r>
      <w:r>
        <w:rPr>
          <w:sz w:val="26"/>
        </w:rPr>
        <w:t xml:space="preserve"> </w:t>
      </w:r>
    </w:p>
    <w:p w:rsidR="00FF384B" w:rsidRDefault="003E3BA9">
      <w:pPr>
        <w:spacing w:after="129"/>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w:t>
      </w:r>
      <w:r>
        <w:rPr>
          <w:rFonts w:ascii="Arial" w:eastAsia="Arial" w:hAnsi="Arial" w:cs="Arial"/>
          <w:i/>
          <w:color w:val="202020"/>
        </w:rPr>
        <w:t xml:space="preserve">77. Concepto de infracción. </w:t>
      </w:r>
    </w:p>
    <w:p w:rsidR="00FF384B" w:rsidRDefault="003E3BA9">
      <w:pPr>
        <w:numPr>
          <w:ilvl w:val="0"/>
          <w:numId w:val="176"/>
        </w:numPr>
        <w:spacing w:after="142" w:line="248" w:lineRule="auto"/>
        <w:ind w:right="244" w:hanging="10"/>
        <w:jc w:val="both"/>
      </w:pPr>
      <w:r>
        <w:rPr>
          <w:rFonts w:ascii="Arial" w:eastAsia="Arial" w:hAnsi="Arial" w:cs="Arial"/>
          <w:color w:val="202020"/>
        </w:rPr>
        <w:t xml:space="preserve">Constituyen infracciones administrativas en materia de subvenciones las acciones y omisiones tipificadas en la normativa de subvenciones, así como en la presente Ordenanza municipal. </w:t>
      </w:r>
    </w:p>
    <w:p w:rsidR="00FF384B" w:rsidRDefault="003E3BA9">
      <w:pPr>
        <w:numPr>
          <w:ilvl w:val="0"/>
          <w:numId w:val="176"/>
        </w:numPr>
        <w:spacing w:after="142" w:line="248" w:lineRule="auto"/>
        <w:ind w:right="244" w:hanging="10"/>
        <w:jc w:val="both"/>
      </w:pPr>
      <w:r>
        <w:rPr>
          <w:rFonts w:ascii="Arial" w:eastAsia="Arial" w:hAnsi="Arial" w:cs="Arial"/>
          <w:color w:val="202020"/>
        </w:rPr>
        <w:t>Las infracciones administrativas en materia</w:t>
      </w:r>
      <w:r>
        <w:rPr>
          <w:rFonts w:ascii="Arial" w:eastAsia="Arial" w:hAnsi="Arial" w:cs="Arial"/>
          <w:color w:val="202020"/>
        </w:rPr>
        <w:t xml:space="preserve"> de subvenciones serán sancionables incluso a título de simple negligencia. </w:t>
      </w:r>
    </w:p>
    <w:p w:rsidR="00FF384B" w:rsidRDefault="003E3BA9">
      <w:pPr>
        <w:numPr>
          <w:ilvl w:val="0"/>
          <w:numId w:val="176"/>
        </w:numPr>
        <w:spacing w:after="142" w:line="248" w:lineRule="auto"/>
        <w:ind w:right="244" w:hanging="10"/>
        <w:jc w:val="both"/>
      </w:pPr>
      <w:r>
        <w:rPr>
          <w:noProof/>
        </w:rPr>
        <mc:AlternateContent>
          <mc:Choice Requires="wpg">
            <w:drawing>
              <wp:anchor distT="0" distB="0" distL="114300" distR="114300" simplePos="0" relativeHeight="2518077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5338" name="Group 46533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225" name="Picture 28225"/>
                          <pic:cNvPicPr/>
                        </pic:nvPicPr>
                        <pic:blipFill>
                          <a:blip r:embed="rId62"/>
                          <a:stretch>
                            <a:fillRect/>
                          </a:stretch>
                        </pic:blipFill>
                        <pic:spPr>
                          <a:xfrm rot="-5399999">
                            <a:off x="-1720849" y="1720849"/>
                            <a:ext cx="3797300" cy="355601"/>
                          </a:xfrm>
                          <a:prstGeom prst="rect">
                            <a:avLst/>
                          </a:prstGeom>
                        </pic:spPr>
                      </pic:pic>
                      <wps:wsp>
                        <wps:cNvPr id="28226" name="Rectangle 282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227" name="Rectangle 2822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5338" style="width:41.2715pt;height:299pt;position:absolute;mso-position-horizontal-relative:page;mso-position-horizontal:absolute;margin-left:653.71pt;mso-position-vertical-relative:page;margin-top:512.92pt;" coordsize="5241,37973">
                <v:shape id="Picture 28225" style="position:absolute;width:37973;height:3556;left:-17208;top:17208;rotation:-89;" filled="f">
                  <v:imagedata r:id="rId63"/>
                </v:shape>
                <v:rect id="Rectangle 282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2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353 </w:t>
                        </w:r>
                      </w:p>
                    </w:txbxContent>
                  </v:textbox>
                </v:rect>
                <w10:wrap type="square"/>
              </v:group>
            </w:pict>
          </mc:Fallback>
        </mc:AlternateContent>
      </w:r>
      <w:r>
        <w:rPr>
          <w:rFonts w:ascii="Arial" w:eastAsia="Arial" w:hAnsi="Arial" w:cs="Arial"/>
          <w:color w:val="202020"/>
        </w:rPr>
        <w:t xml:space="preserve">Los sujetos responsables y supuestos de exención de responsabilidad serán los previstos en la Ley General de Subvenciones. </w:t>
      </w:r>
    </w:p>
    <w:p w:rsidR="00FF384B" w:rsidRDefault="003E3BA9">
      <w:pPr>
        <w:spacing w:after="143" w:line="248" w:lineRule="auto"/>
        <w:ind w:left="278" w:right="244" w:hanging="10"/>
        <w:jc w:val="both"/>
      </w:pPr>
      <w:r>
        <w:rPr>
          <w:rFonts w:ascii="Arial" w:eastAsia="Arial" w:hAnsi="Arial" w:cs="Arial"/>
          <w:i/>
          <w:color w:val="202020"/>
        </w:rPr>
        <w:t>Artículo 78. Concurrencia de actuacio</w:t>
      </w:r>
      <w:r>
        <w:rPr>
          <w:rFonts w:ascii="Arial" w:eastAsia="Arial" w:hAnsi="Arial" w:cs="Arial"/>
          <w:i/>
          <w:color w:val="202020"/>
        </w:rPr>
        <w:t xml:space="preserve">nes con el orden jurisdiccional penal. </w:t>
      </w:r>
    </w:p>
    <w:p w:rsidR="00FF384B" w:rsidRDefault="003E3BA9">
      <w:pPr>
        <w:numPr>
          <w:ilvl w:val="0"/>
          <w:numId w:val="177"/>
        </w:numPr>
        <w:spacing w:after="142" w:line="248" w:lineRule="auto"/>
        <w:ind w:right="244" w:hanging="10"/>
        <w:jc w:val="both"/>
      </w:pPr>
      <w:r>
        <w:rPr>
          <w:rFonts w:ascii="Arial" w:eastAsia="Arial" w:hAnsi="Arial" w:cs="Arial"/>
          <w:color w:val="202020"/>
        </w:rPr>
        <w:t>En los supuestos en que la conducta pudiera ser constitutiva de delito, se pasará el tanto de culpa a la jurisdicción competente y se abstendrá de seguir el procedimiento sancionador mientras la autoridad judicial no dicte sentencia firme, tenga lugar el s</w:t>
      </w:r>
      <w:r>
        <w:rPr>
          <w:rFonts w:ascii="Arial" w:eastAsia="Arial" w:hAnsi="Arial" w:cs="Arial"/>
          <w:color w:val="202020"/>
        </w:rPr>
        <w:t xml:space="preserve">obreseimiento o el archivo de las actuaciones o se produzca la devolución del expediente por el Ministerio Fiscal. </w:t>
      </w:r>
    </w:p>
    <w:p w:rsidR="00FF384B" w:rsidRDefault="003E3BA9">
      <w:pPr>
        <w:numPr>
          <w:ilvl w:val="0"/>
          <w:numId w:val="177"/>
        </w:numPr>
        <w:spacing w:after="142" w:line="248" w:lineRule="auto"/>
        <w:ind w:right="244" w:hanging="10"/>
        <w:jc w:val="both"/>
      </w:pPr>
      <w:r>
        <w:rPr>
          <w:rFonts w:ascii="Arial" w:eastAsia="Arial" w:hAnsi="Arial" w:cs="Arial"/>
          <w:color w:val="202020"/>
        </w:rPr>
        <w:t>La pena impuesta por la autoridad judicial excluirá la imposición de sanción administrativa, si ya se le impuso al mismo sujeto por los mism</w:t>
      </w:r>
      <w:r>
        <w:rPr>
          <w:rFonts w:ascii="Arial" w:eastAsia="Arial" w:hAnsi="Arial" w:cs="Arial"/>
          <w:color w:val="202020"/>
        </w:rPr>
        <w:t xml:space="preserve">os hechos e idéntico fundamento a los tenidos en cuenta en el procedimiento sancionador. </w:t>
      </w:r>
    </w:p>
    <w:p w:rsidR="00FF384B" w:rsidRDefault="003E3BA9">
      <w:pPr>
        <w:numPr>
          <w:ilvl w:val="0"/>
          <w:numId w:val="177"/>
        </w:numPr>
        <w:spacing w:after="142" w:line="248" w:lineRule="auto"/>
        <w:ind w:right="244" w:hanging="10"/>
        <w:jc w:val="both"/>
      </w:pPr>
      <w:r>
        <w:rPr>
          <w:rFonts w:ascii="Arial" w:eastAsia="Arial" w:hAnsi="Arial" w:cs="Arial"/>
          <w:color w:val="202020"/>
        </w:rPr>
        <w:t>De no haberse estimado la existencia de delito, se iniciará o continuará el expediente sancionador, con base en los hechos que los tribunales hayan considerado probad</w:t>
      </w:r>
      <w:r>
        <w:rPr>
          <w:rFonts w:ascii="Arial" w:eastAsia="Arial" w:hAnsi="Arial" w:cs="Arial"/>
          <w:color w:val="202020"/>
        </w:rPr>
        <w:t xml:space="preserve">os. </w:t>
      </w:r>
    </w:p>
    <w:p w:rsidR="00FF384B" w:rsidRDefault="003E3BA9">
      <w:pPr>
        <w:spacing w:after="127"/>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79. Clases de Infracciones. </w:t>
      </w:r>
    </w:p>
    <w:p w:rsidR="00FF384B" w:rsidRDefault="003E3BA9">
      <w:pPr>
        <w:numPr>
          <w:ilvl w:val="0"/>
          <w:numId w:val="178"/>
        </w:numPr>
        <w:spacing w:after="142" w:line="248" w:lineRule="auto"/>
        <w:ind w:right="244" w:hanging="247"/>
        <w:jc w:val="both"/>
      </w:pPr>
      <w:r>
        <w:rPr>
          <w:rFonts w:ascii="Arial" w:eastAsia="Arial" w:hAnsi="Arial" w:cs="Arial"/>
          <w:color w:val="202020"/>
        </w:rPr>
        <w:t xml:space="preserve">Las infracciones se clasificarán en leves, graves y muy graves </w:t>
      </w:r>
    </w:p>
    <w:p w:rsidR="00FF384B" w:rsidRDefault="003E3BA9">
      <w:pPr>
        <w:numPr>
          <w:ilvl w:val="0"/>
          <w:numId w:val="178"/>
        </w:numPr>
        <w:spacing w:after="142" w:line="248" w:lineRule="auto"/>
        <w:ind w:right="244" w:hanging="247"/>
        <w:jc w:val="both"/>
      </w:pPr>
      <w:r>
        <w:rPr>
          <w:rFonts w:ascii="Arial" w:eastAsia="Arial" w:hAnsi="Arial" w:cs="Arial"/>
          <w:color w:val="202020"/>
        </w:rPr>
        <w:t xml:space="preserve">Constituyen infracciones los incumplimientos de las obligaciones recogidas en la presente Ordenanza, en las cláusulas de los convenios suscritos y </w:t>
      </w:r>
      <w:r>
        <w:rPr>
          <w:rFonts w:ascii="Arial" w:eastAsia="Arial" w:hAnsi="Arial" w:cs="Arial"/>
          <w:color w:val="202020"/>
        </w:rPr>
        <w:t xml:space="preserve">las convocatorias de subvenciones, así como las previstas en la Ley General de Subvenciones. </w:t>
      </w:r>
    </w:p>
    <w:p w:rsidR="00FF384B" w:rsidRDefault="003E3BA9">
      <w:pPr>
        <w:spacing w:after="140" w:line="249" w:lineRule="auto"/>
        <w:ind w:left="278" w:hanging="10"/>
      </w:pPr>
      <w:r>
        <w:rPr>
          <w:rFonts w:ascii="Arial" w:eastAsia="Arial" w:hAnsi="Arial" w:cs="Arial"/>
          <w:b/>
          <w:color w:val="202020"/>
        </w:rPr>
        <w:t xml:space="preserve">CAPÍTULO II. Sanciones administrativas en materia de subvenciones. </w:t>
      </w:r>
    </w:p>
    <w:p w:rsidR="00FF384B" w:rsidRDefault="003E3BA9">
      <w:pPr>
        <w:spacing w:after="127"/>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80. Clases de sanciones. </w:t>
      </w:r>
    </w:p>
    <w:p w:rsidR="00FF384B" w:rsidRDefault="003E3BA9">
      <w:pPr>
        <w:numPr>
          <w:ilvl w:val="0"/>
          <w:numId w:val="179"/>
        </w:numPr>
        <w:spacing w:after="142" w:line="248" w:lineRule="auto"/>
        <w:ind w:right="244" w:hanging="10"/>
        <w:jc w:val="both"/>
      </w:pPr>
      <w:r>
        <w:rPr>
          <w:rFonts w:ascii="Arial" w:eastAsia="Arial" w:hAnsi="Arial" w:cs="Arial"/>
          <w:color w:val="202020"/>
        </w:rPr>
        <w:t xml:space="preserve">Las infracciones en materia de subvenciones se sancionarán mediante la imposición de sanciones pecuniarias y, cuando proceda, de sanciones no pecuniarias. </w:t>
      </w:r>
    </w:p>
    <w:p w:rsidR="00FF384B" w:rsidRDefault="003E3BA9">
      <w:pPr>
        <w:numPr>
          <w:ilvl w:val="0"/>
          <w:numId w:val="179"/>
        </w:numPr>
        <w:spacing w:after="142" w:line="248" w:lineRule="auto"/>
        <w:ind w:right="244" w:hanging="10"/>
        <w:jc w:val="both"/>
      </w:pPr>
      <w:r>
        <w:rPr>
          <w:rFonts w:ascii="Arial" w:eastAsia="Arial" w:hAnsi="Arial" w:cs="Arial"/>
          <w:color w:val="202020"/>
        </w:rPr>
        <w:t>Las sanciones, su graduación y cuantías se establecerán de acuerdo con lo previsto en la Ley General</w:t>
      </w:r>
      <w:r>
        <w:rPr>
          <w:rFonts w:ascii="Arial" w:eastAsia="Arial" w:hAnsi="Arial" w:cs="Arial"/>
          <w:color w:val="202020"/>
        </w:rPr>
        <w:t xml:space="preserve"> de Subvenciones. </w:t>
      </w:r>
    </w:p>
    <w:p w:rsidR="00FF384B" w:rsidRDefault="003E3BA9">
      <w:pPr>
        <w:spacing w:after="129"/>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81. Procedimiento sancionador. </w:t>
      </w:r>
    </w:p>
    <w:p w:rsidR="00FF384B" w:rsidRDefault="003E3BA9">
      <w:pPr>
        <w:numPr>
          <w:ilvl w:val="0"/>
          <w:numId w:val="180"/>
        </w:numPr>
        <w:spacing w:after="142" w:line="248" w:lineRule="auto"/>
        <w:ind w:right="244" w:hanging="247"/>
        <w:jc w:val="both"/>
      </w:pPr>
      <w:r>
        <w:rPr>
          <w:rFonts w:ascii="Arial" w:eastAsia="Arial" w:hAnsi="Arial" w:cs="Arial"/>
          <w:color w:val="202020"/>
        </w:rPr>
        <w:t>La instrucción de los procedimientos sancionadores corresponderá al funcionario, unidad administrativa u órgano que se determine en el acuerdo de iniciación, de conformidad con lo dispuesto en l</w:t>
      </w:r>
      <w:r>
        <w:rPr>
          <w:rFonts w:ascii="Arial" w:eastAsia="Arial" w:hAnsi="Arial" w:cs="Arial"/>
          <w:color w:val="202020"/>
        </w:rPr>
        <w:t xml:space="preserve">a regulación del procedimiento sancionador. </w:t>
      </w:r>
    </w:p>
    <w:p w:rsidR="00FF384B" w:rsidRDefault="003E3BA9">
      <w:pPr>
        <w:numPr>
          <w:ilvl w:val="0"/>
          <w:numId w:val="180"/>
        </w:numPr>
        <w:spacing w:after="142" w:line="248" w:lineRule="auto"/>
        <w:ind w:right="244" w:hanging="247"/>
        <w:jc w:val="both"/>
      </w:pPr>
      <w:r>
        <w:rPr>
          <w:noProof/>
        </w:rPr>
        <mc:AlternateContent>
          <mc:Choice Requires="wpg">
            <w:drawing>
              <wp:anchor distT="0" distB="0" distL="114300" distR="114300" simplePos="0" relativeHeight="2518087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5978" name="Group 46597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363" name="Picture 28363"/>
                          <pic:cNvPicPr/>
                        </pic:nvPicPr>
                        <pic:blipFill>
                          <a:blip r:embed="rId62"/>
                          <a:stretch>
                            <a:fillRect/>
                          </a:stretch>
                        </pic:blipFill>
                        <pic:spPr>
                          <a:xfrm rot="-5399999">
                            <a:off x="-1720849" y="1720849"/>
                            <a:ext cx="3797300" cy="355601"/>
                          </a:xfrm>
                          <a:prstGeom prst="rect">
                            <a:avLst/>
                          </a:prstGeom>
                        </pic:spPr>
                      </pic:pic>
                      <wps:wsp>
                        <wps:cNvPr id="28364" name="Rectangle 2836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365" name="Rectangle 2836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5978" style="width:41.2715pt;height:299pt;position:absolute;mso-position-horizontal-relative:page;mso-position-horizontal:absolute;margin-left:653.71pt;mso-position-vertical-relative:page;margin-top:512.92pt;" coordsize="5241,37973">
                <v:shape id="Picture 28363" style="position:absolute;width:37973;height:3556;left:-17208;top:17208;rotation:-89;" filled="f">
                  <v:imagedata r:id="rId63"/>
                </v:shape>
                <v:rect id="Rectangle 2836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36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353 </w:t>
                        </w:r>
                      </w:p>
                    </w:txbxContent>
                  </v:textbox>
                </v:rect>
                <w10:wrap type="square"/>
              </v:group>
            </w:pict>
          </mc:Fallback>
        </mc:AlternateContent>
      </w:r>
      <w:r>
        <w:rPr>
          <w:rFonts w:ascii="Arial" w:eastAsia="Arial" w:hAnsi="Arial" w:cs="Arial"/>
          <w:color w:val="202020"/>
        </w:rPr>
        <w:t>La imposición</w:t>
      </w:r>
      <w:r>
        <w:rPr>
          <w:rFonts w:ascii="Arial" w:eastAsia="Arial" w:hAnsi="Arial" w:cs="Arial"/>
          <w:color w:val="202020"/>
        </w:rPr>
        <w:t xml:space="preserve"> de las sanciones en materia de subvenciones se efectuará mediante expediente administrativo en el que, en todo caso, se dará audiencia al interesado antes de dictarse el acuerdo correspondiente y que será tramitado conforme lo previsto en la legislación v</w:t>
      </w:r>
      <w:r>
        <w:rPr>
          <w:rFonts w:ascii="Arial" w:eastAsia="Arial" w:hAnsi="Arial" w:cs="Arial"/>
          <w:color w:val="202020"/>
        </w:rPr>
        <w:t xml:space="preserve">igente en materia de procedimiento administrativo y en el procedimiento para el ejercicio de la potestad sancionadora vigente en la Comunidad Autónoma de Canarias. </w:t>
      </w:r>
    </w:p>
    <w:p w:rsidR="00FF384B" w:rsidRDefault="003E3BA9">
      <w:pPr>
        <w:numPr>
          <w:ilvl w:val="0"/>
          <w:numId w:val="180"/>
        </w:numPr>
        <w:spacing w:after="142" w:line="248" w:lineRule="auto"/>
        <w:ind w:right="244" w:hanging="247"/>
        <w:jc w:val="both"/>
      </w:pPr>
      <w:r>
        <w:rPr>
          <w:rFonts w:ascii="Arial" w:eastAsia="Arial" w:hAnsi="Arial" w:cs="Arial"/>
          <w:color w:val="202020"/>
        </w:rPr>
        <w:t>El procedimiento se iniciará de oficio, como consecuencia de la actuación de comprobación d</w:t>
      </w:r>
      <w:r>
        <w:rPr>
          <w:rFonts w:ascii="Arial" w:eastAsia="Arial" w:hAnsi="Arial" w:cs="Arial"/>
          <w:color w:val="202020"/>
        </w:rPr>
        <w:t xml:space="preserve">esarrollada por el órgano concedente o por la entidad colaboradora, así como de las actuaciones de control financiero. </w:t>
      </w:r>
    </w:p>
    <w:p w:rsidR="00FF384B" w:rsidRDefault="003E3BA9">
      <w:pPr>
        <w:numPr>
          <w:ilvl w:val="0"/>
          <w:numId w:val="180"/>
        </w:numPr>
        <w:spacing w:after="142" w:line="248" w:lineRule="auto"/>
        <w:ind w:right="244" w:hanging="247"/>
        <w:jc w:val="both"/>
      </w:pPr>
      <w:r>
        <w:rPr>
          <w:rFonts w:ascii="Arial" w:eastAsia="Arial" w:hAnsi="Arial" w:cs="Arial"/>
          <w:color w:val="202020"/>
        </w:rPr>
        <w:t xml:space="preserve">Los acuerdos de imposición de sanciones pondrán fin a la vía administrativa. </w:t>
      </w:r>
    </w:p>
    <w:p w:rsidR="00FF384B" w:rsidRDefault="003E3BA9">
      <w:pPr>
        <w:spacing w:after="143" w:line="248" w:lineRule="auto"/>
        <w:ind w:left="278" w:right="244" w:hanging="10"/>
        <w:jc w:val="both"/>
      </w:pPr>
      <w:r>
        <w:rPr>
          <w:rFonts w:ascii="Arial" w:eastAsia="Arial" w:hAnsi="Arial" w:cs="Arial"/>
          <w:i/>
          <w:color w:val="202020"/>
        </w:rPr>
        <w:t xml:space="preserve">Artículo 82. Competencia para la imposición de sanciones. </w:t>
      </w:r>
    </w:p>
    <w:p w:rsidR="00FF384B" w:rsidRDefault="003E3BA9">
      <w:pPr>
        <w:spacing w:after="289" w:line="248" w:lineRule="auto"/>
        <w:ind w:left="278" w:right="244" w:hanging="10"/>
        <w:jc w:val="both"/>
      </w:pPr>
      <w:r>
        <w:rPr>
          <w:rFonts w:ascii="Arial" w:eastAsia="Arial" w:hAnsi="Arial" w:cs="Arial"/>
          <w:color w:val="202020"/>
        </w:rPr>
        <w:t xml:space="preserve">Para la imposición de las sanciones serán competentes, la Alcaldía. </w:t>
      </w:r>
    </w:p>
    <w:p w:rsidR="00FF384B" w:rsidRDefault="003E3BA9">
      <w:pPr>
        <w:spacing w:after="278"/>
        <w:ind w:left="283"/>
      </w:pPr>
      <w:r>
        <w:rPr>
          <w:rFonts w:ascii="Arial" w:eastAsia="Arial" w:hAnsi="Arial" w:cs="Arial"/>
          <w:b/>
          <w:color w:val="202020"/>
        </w:rPr>
        <w:t xml:space="preserve"> </w:t>
      </w:r>
    </w:p>
    <w:p w:rsidR="00FF384B" w:rsidRDefault="003E3BA9">
      <w:pPr>
        <w:spacing w:after="140" w:line="249" w:lineRule="auto"/>
        <w:ind w:left="278" w:hanging="10"/>
      </w:pPr>
      <w:r>
        <w:rPr>
          <w:rFonts w:ascii="Arial" w:eastAsia="Arial" w:hAnsi="Arial" w:cs="Arial"/>
          <w:b/>
          <w:color w:val="202020"/>
        </w:rPr>
        <w:t xml:space="preserve">CAPÍTULO III. Prescripción y responsabilidad. </w:t>
      </w:r>
    </w:p>
    <w:p w:rsidR="00FF384B" w:rsidRDefault="003E3BA9">
      <w:pPr>
        <w:spacing w:after="143" w:line="248" w:lineRule="auto"/>
        <w:ind w:left="278" w:right="244" w:hanging="10"/>
        <w:jc w:val="both"/>
      </w:pPr>
      <w:r>
        <w:rPr>
          <w:rFonts w:ascii="Arial" w:eastAsia="Arial" w:hAnsi="Arial" w:cs="Arial"/>
          <w:i/>
          <w:color w:val="202020"/>
        </w:rPr>
        <w:t xml:space="preserve">Artículo 83. Prescripción de infracciones y sanciones. </w:t>
      </w:r>
    </w:p>
    <w:p w:rsidR="00FF384B" w:rsidRDefault="003E3BA9">
      <w:pPr>
        <w:numPr>
          <w:ilvl w:val="0"/>
          <w:numId w:val="181"/>
        </w:numPr>
        <w:spacing w:after="142" w:line="248" w:lineRule="auto"/>
        <w:ind w:right="244" w:hanging="10"/>
        <w:jc w:val="both"/>
      </w:pPr>
      <w:r>
        <w:rPr>
          <w:rFonts w:ascii="Arial" w:eastAsia="Arial" w:hAnsi="Arial" w:cs="Arial"/>
          <w:color w:val="202020"/>
        </w:rPr>
        <w:t xml:space="preserve">Las infracciones prescribirán en el plazo de </w:t>
      </w:r>
      <w:r>
        <w:rPr>
          <w:rFonts w:ascii="Arial" w:eastAsia="Arial" w:hAnsi="Arial" w:cs="Arial"/>
          <w:color w:val="202020"/>
        </w:rPr>
        <w:t xml:space="preserve">cuatro años a contar desde el día en que la infracción se hubiera cometido. </w:t>
      </w:r>
    </w:p>
    <w:p w:rsidR="00FF384B" w:rsidRDefault="003E3BA9">
      <w:pPr>
        <w:numPr>
          <w:ilvl w:val="0"/>
          <w:numId w:val="181"/>
        </w:numPr>
        <w:spacing w:after="142" w:line="248" w:lineRule="auto"/>
        <w:ind w:right="244" w:hanging="10"/>
        <w:jc w:val="both"/>
      </w:pPr>
      <w:r>
        <w:rPr>
          <w:rFonts w:ascii="Arial" w:eastAsia="Arial" w:hAnsi="Arial" w:cs="Arial"/>
          <w:color w:val="202020"/>
        </w:rPr>
        <w:t xml:space="preserve">Las sanciones prescribirán en el plazo de cuatro años a contar desde el día siguiente a aquel en que hubiera adquirido firmeza la resolución por la que se impuso la sanción. </w:t>
      </w:r>
    </w:p>
    <w:p w:rsidR="00FF384B" w:rsidRDefault="003E3BA9">
      <w:pPr>
        <w:numPr>
          <w:ilvl w:val="0"/>
          <w:numId w:val="181"/>
        </w:numPr>
        <w:spacing w:after="142" w:line="248" w:lineRule="auto"/>
        <w:ind w:right="244" w:hanging="10"/>
        <w:jc w:val="both"/>
      </w:pPr>
      <w:r>
        <w:rPr>
          <w:rFonts w:ascii="Arial" w:eastAsia="Arial" w:hAnsi="Arial" w:cs="Arial"/>
          <w:color w:val="202020"/>
        </w:rPr>
        <w:t>El p</w:t>
      </w:r>
      <w:r>
        <w:rPr>
          <w:rFonts w:ascii="Arial" w:eastAsia="Arial" w:hAnsi="Arial" w:cs="Arial"/>
          <w:color w:val="202020"/>
        </w:rPr>
        <w:t xml:space="preserve">lazo de prescripción se interrumpirá conforme lo previsto en la legislación vigente en materia de Procedimiento Administrativo. </w:t>
      </w:r>
    </w:p>
    <w:p w:rsidR="00FF384B" w:rsidRDefault="003E3BA9">
      <w:pPr>
        <w:numPr>
          <w:ilvl w:val="0"/>
          <w:numId w:val="181"/>
        </w:numPr>
        <w:spacing w:after="142" w:line="248" w:lineRule="auto"/>
        <w:ind w:right="244" w:hanging="10"/>
        <w:jc w:val="both"/>
      </w:pPr>
      <w:r>
        <w:rPr>
          <w:rFonts w:ascii="Arial" w:eastAsia="Arial" w:hAnsi="Arial" w:cs="Arial"/>
          <w:color w:val="202020"/>
        </w:rPr>
        <w:t xml:space="preserve">La prescripción se aplicará de oficio, sin perjuicio de que pueda ser solicitada su declaración por el interesado. </w:t>
      </w:r>
    </w:p>
    <w:p w:rsidR="00FF384B" w:rsidRDefault="003E3BA9">
      <w:pPr>
        <w:spacing w:after="127"/>
        <w:ind w:left="283"/>
      </w:pPr>
      <w:r>
        <w:rPr>
          <w:rFonts w:ascii="Arial" w:eastAsia="Arial" w:hAnsi="Arial" w:cs="Arial"/>
          <w:b/>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Artículo 84. Extinción de la responsabilidad derivada de la comisión de infracciones. </w:t>
      </w:r>
    </w:p>
    <w:p w:rsidR="00FF384B" w:rsidRDefault="003E3BA9">
      <w:pPr>
        <w:spacing w:after="232" w:line="248" w:lineRule="auto"/>
        <w:ind w:left="278" w:right="244" w:hanging="10"/>
        <w:jc w:val="both"/>
      </w:pPr>
      <w:r>
        <w:rPr>
          <w:rFonts w:ascii="Arial" w:eastAsia="Arial" w:hAnsi="Arial" w:cs="Arial"/>
          <w:color w:val="202020"/>
        </w:rPr>
        <w:t xml:space="preserve">1. La responsabilidad derivada de las infracciones se extingue por el pago o cumplimiento de la sanción o por prescripción o por fallecimiento. </w:t>
      </w:r>
    </w:p>
    <w:p w:rsidR="00FF384B" w:rsidRDefault="003E3BA9">
      <w:pPr>
        <w:spacing w:after="115" w:line="249" w:lineRule="auto"/>
        <w:ind w:left="278" w:right="6031" w:hanging="10"/>
      </w:pPr>
      <w:r>
        <w:rPr>
          <w:rFonts w:ascii="Arial" w:eastAsia="Arial" w:hAnsi="Arial" w:cs="Arial"/>
          <w:b/>
          <w:color w:val="202020"/>
        </w:rPr>
        <w:t>DISPOSICIÓN TRANSITORIA.</w:t>
      </w:r>
      <w:r>
        <w:rPr>
          <w:rFonts w:ascii="Arial" w:eastAsia="Arial" w:hAnsi="Arial" w:cs="Arial"/>
          <w:b/>
          <w:color w:val="202020"/>
        </w:rPr>
        <w:t xml:space="preserve"> Procedimientos iniciados. </w:t>
      </w:r>
    </w:p>
    <w:p w:rsidR="00FF384B" w:rsidRDefault="003E3BA9">
      <w:pPr>
        <w:spacing w:after="142" w:line="248" w:lineRule="auto"/>
        <w:ind w:left="278" w:right="244" w:hanging="10"/>
        <w:jc w:val="both"/>
      </w:pPr>
      <w:r>
        <w:rPr>
          <w:rFonts w:ascii="Arial" w:eastAsia="Arial" w:hAnsi="Arial" w:cs="Arial"/>
          <w:color w:val="202020"/>
        </w:rPr>
        <w:t>1. No se aplicará el contenido de la presente Ordenanza municipal a las cuestiones relacionadas con la justificación de las subvenciones cuyo otorgamiento se hubiera aprobado con anterioridad a la entrada en vigor de dicha norma</w:t>
      </w:r>
      <w:r>
        <w:rPr>
          <w:rFonts w:ascii="Arial" w:eastAsia="Arial" w:hAnsi="Arial" w:cs="Arial"/>
          <w:color w:val="202020"/>
        </w:rPr>
        <w:t xml:space="preserve">tiva. </w:t>
      </w:r>
    </w:p>
    <w:p w:rsidR="00FF384B" w:rsidRDefault="003E3BA9">
      <w:pPr>
        <w:spacing w:after="292" w:line="248" w:lineRule="auto"/>
        <w:ind w:left="278" w:right="244" w:hanging="10"/>
        <w:jc w:val="both"/>
      </w:pPr>
      <w:r>
        <w:rPr>
          <w:rFonts w:ascii="Arial" w:eastAsia="Arial" w:hAnsi="Arial" w:cs="Arial"/>
          <w:color w:val="202020"/>
        </w:rPr>
        <w:t xml:space="preserve">En todo caso, sí serán de aplicación los artículos relativos al procedimiento de reintegro regulado en el capítulo V del título IV de la presente Ordenanza. </w:t>
      </w:r>
    </w:p>
    <w:p w:rsidR="00FF384B" w:rsidRDefault="003E3BA9">
      <w:pPr>
        <w:spacing w:after="0" w:line="249" w:lineRule="auto"/>
        <w:ind w:left="278" w:right="5388" w:hanging="10"/>
      </w:pPr>
      <w:r>
        <w:rPr>
          <w:rFonts w:ascii="Arial" w:eastAsia="Arial" w:hAnsi="Arial" w:cs="Arial"/>
          <w:b/>
          <w:color w:val="202020"/>
        </w:rPr>
        <w:t xml:space="preserve">DISPOSICIÓN FINAL SEGUNDA. </w:t>
      </w:r>
    </w:p>
    <w:p w:rsidR="00FF384B" w:rsidRDefault="003E3BA9">
      <w:pPr>
        <w:spacing w:after="140" w:line="249" w:lineRule="auto"/>
        <w:ind w:left="278" w:hanging="10"/>
      </w:pPr>
      <w:r>
        <w:rPr>
          <w:rFonts w:ascii="Arial" w:eastAsia="Arial" w:hAnsi="Arial" w:cs="Arial"/>
          <w:b/>
          <w:color w:val="202020"/>
        </w:rPr>
        <w:t xml:space="preserve">Entrada en vigor. </w:t>
      </w:r>
    </w:p>
    <w:p w:rsidR="00FF384B" w:rsidRDefault="003E3BA9">
      <w:pPr>
        <w:spacing w:after="292" w:line="248" w:lineRule="auto"/>
        <w:ind w:left="278" w:right="244" w:hanging="10"/>
        <w:jc w:val="both"/>
      </w:pPr>
      <w:r>
        <w:rPr>
          <w:noProof/>
        </w:rPr>
        <mc:AlternateContent>
          <mc:Choice Requires="wpg">
            <w:drawing>
              <wp:anchor distT="0" distB="0" distL="114300" distR="114300" simplePos="0" relativeHeight="2518097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6206" name="Group 4662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525" name="Picture 28525"/>
                          <pic:cNvPicPr/>
                        </pic:nvPicPr>
                        <pic:blipFill>
                          <a:blip r:embed="rId62"/>
                          <a:stretch>
                            <a:fillRect/>
                          </a:stretch>
                        </pic:blipFill>
                        <pic:spPr>
                          <a:xfrm rot="-5399999">
                            <a:off x="-1720849" y="1720849"/>
                            <a:ext cx="3797300" cy="355601"/>
                          </a:xfrm>
                          <a:prstGeom prst="rect">
                            <a:avLst/>
                          </a:prstGeom>
                        </pic:spPr>
                      </pic:pic>
                      <wps:wsp>
                        <wps:cNvPr id="28526" name="Rectangle 285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527" name="Rectangle 2852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6206" style="width:41.2715pt;height:299pt;position:absolute;mso-position-horizontal-relative:page;mso-position-horizontal:absolute;margin-left:653.71pt;mso-position-vertical-relative:page;margin-top:512.92pt;" coordsize="5241,37973">
                <v:shape id="Picture 28525" style="position:absolute;width:37973;height:3556;left:-17208;top:17208;rotation:-89;" filled="f">
                  <v:imagedata r:id="rId63"/>
                </v:shape>
                <v:rect id="Rectangle 285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5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353 </w:t>
                        </w:r>
                      </w:p>
                    </w:txbxContent>
                  </v:textbox>
                </v:rect>
                <w10:wrap type="square"/>
              </v:group>
            </w:pict>
          </mc:Fallback>
        </mc:AlternateContent>
      </w:r>
      <w:r>
        <w:rPr>
          <w:rFonts w:ascii="Arial" w:eastAsia="Arial" w:hAnsi="Arial" w:cs="Arial"/>
          <w:color w:val="202020"/>
        </w:rPr>
        <w:t>La presente Ordenanza entrará en vigor en los términos previs</w:t>
      </w:r>
      <w:r>
        <w:rPr>
          <w:rFonts w:ascii="Arial" w:eastAsia="Arial" w:hAnsi="Arial" w:cs="Arial"/>
          <w:color w:val="202020"/>
        </w:rPr>
        <w:t xml:space="preserve">to en la legislación de Régimen Local. </w:t>
      </w:r>
    </w:p>
    <w:p w:rsidR="00FF384B" w:rsidRDefault="003E3BA9">
      <w:pPr>
        <w:spacing w:after="10" w:line="249" w:lineRule="auto"/>
        <w:ind w:left="278" w:hanging="10"/>
      </w:pPr>
      <w:r>
        <w:rPr>
          <w:rFonts w:ascii="Arial" w:eastAsia="Arial" w:hAnsi="Arial" w:cs="Arial"/>
          <w:b/>
          <w:color w:val="202020"/>
        </w:rPr>
        <w:t xml:space="preserve">ANEXO  </w:t>
      </w:r>
    </w:p>
    <w:p w:rsidR="00FF384B" w:rsidRDefault="003E3BA9">
      <w:pPr>
        <w:spacing w:after="140" w:line="249" w:lineRule="auto"/>
        <w:ind w:left="278" w:hanging="10"/>
      </w:pPr>
      <w:r>
        <w:rPr>
          <w:rFonts w:ascii="Arial" w:eastAsia="Arial" w:hAnsi="Arial" w:cs="Arial"/>
          <w:b/>
          <w:color w:val="202020"/>
        </w:rPr>
        <w:t xml:space="preserve">CONTENIDO MÍNIMO DE LAS CONVOCATORIAS DE SUBVENCIONES </w:t>
      </w:r>
    </w:p>
    <w:p w:rsidR="00FF384B" w:rsidRDefault="003E3BA9">
      <w:pPr>
        <w:spacing w:after="142" w:line="248" w:lineRule="auto"/>
        <w:ind w:left="653" w:right="244" w:hanging="10"/>
        <w:jc w:val="both"/>
      </w:pPr>
      <w:r>
        <w:rPr>
          <w:rFonts w:ascii="Arial" w:eastAsia="Arial" w:hAnsi="Arial" w:cs="Arial"/>
          <w:color w:val="202020"/>
        </w:rPr>
        <w:t xml:space="preserve">Las convocatorias de subvenciones contendrán al menos los siguientes aspectos: </w:t>
      </w:r>
    </w:p>
    <w:p w:rsidR="00FF384B" w:rsidRDefault="003E3BA9">
      <w:pPr>
        <w:numPr>
          <w:ilvl w:val="0"/>
          <w:numId w:val="182"/>
        </w:numPr>
        <w:spacing w:after="89" w:line="248" w:lineRule="auto"/>
        <w:ind w:right="244" w:hanging="360"/>
        <w:jc w:val="both"/>
      </w:pPr>
      <w:r>
        <w:rPr>
          <w:rFonts w:ascii="Arial" w:eastAsia="Arial" w:hAnsi="Arial" w:cs="Arial"/>
          <w:color w:val="202020"/>
        </w:rPr>
        <w:t xml:space="preserve">Objeto de la subvención.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Indicación del acuerdo plenario donde se aprueba definitivamente la Ordenanza municipal de Subvenciones del Ayuntamiento de Candelaria y de la fecha y número del "Boletín Oficial de la Provincia" donde esté publicado la misma. </w:t>
      </w:r>
    </w:p>
    <w:p w:rsidR="00FF384B" w:rsidRDefault="003E3BA9">
      <w:pPr>
        <w:numPr>
          <w:ilvl w:val="0"/>
          <w:numId w:val="182"/>
        </w:numPr>
        <w:spacing w:after="95" w:line="248" w:lineRule="auto"/>
        <w:ind w:right="244" w:hanging="360"/>
        <w:jc w:val="both"/>
      </w:pPr>
      <w:r>
        <w:rPr>
          <w:rFonts w:ascii="Arial" w:eastAsia="Arial" w:hAnsi="Arial" w:cs="Arial"/>
          <w:color w:val="202020"/>
        </w:rPr>
        <w:t xml:space="preserve">Requisitos que deben reunir </w:t>
      </w:r>
      <w:r>
        <w:rPr>
          <w:rFonts w:ascii="Arial" w:eastAsia="Arial" w:hAnsi="Arial" w:cs="Arial"/>
          <w:color w:val="202020"/>
        </w:rPr>
        <w:t xml:space="preserve">los beneficiarios para la obtención de la subvención y condiciones de solvencia y eficacia que deben reunir los mismos. </w:t>
      </w:r>
    </w:p>
    <w:p w:rsidR="00FF384B" w:rsidRDefault="003E3BA9">
      <w:pPr>
        <w:numPr>
          <w:ilvl w:val="0"/>
          <w:numId w:val="182"/>
        </w:numPr>
        <w:spacing w:after="89" w:line="248" w:lineRule="auto"/>
        <w:ind w:right="244" w:hanging="360"/>
        <w:jc w:val="both"/>
      </w:pPr>
      <w:r>
        <w:rPr>
          <w:rFonts w:ascii="Arial" w:eastAsia="Arial" w:hAnsi="Arial" w:cs="Arial"/>
          <w:color w:val="202020"/>
        </w:rPr>
        <w:t xml:space="preserve">Forma y plazo en los que deben presentarse las solicitudes. </w:t>
      </w:r>
    </w:p>
    <w:p w:rsidR="00FF384B" w:rsidRDefault="003E3BA9">
      <w:pPr>
        <w:numPr>
          <w:ilvl w:val="0"/>
          <w:numId w:val="182"/>
        </w:numPr>
        <w:spacing w:after="92" w:line="248" w:lineRule="auto"/>
        <w:ind w:right="244" w:hanging="360"/>
        <w:jc w:val="both"/>
      </w:pPr>
      <w:r>
        <w:rPr>
          <w:rFonts w:ascii="Arial" w:eastAsia="Arial" w:hAnsi="Arial" w:cs="Arial"/>
          <w:color w:val="202020"/>
        </w:rPr>
        <w:t>Línea estratégica y específica del Plan estratégico de subvenciones a la q</w:t>
      </w:r>
      <w:r>
        <w:rPr>
          <w:rFonts w:ascii="Arial" w:eastAsia="Arial" w:hAnsi="Arial" w:cs="Arial"/>
          <w:color w:val="202020"/>
        </w:rPr>
        <w:t xml:space="preserve">ue corresponde la convocatoria. </w:t>
      </w:r>
    </w:p>
    <w:p w:rsidR="00FF384B" w:rsidRDefault="003E3BA9">
      <w:pPr>
        <w:numPr>
          <w:ilvl w:val="0"/>
          <w:numId w:val="182"/>
        </w:numPr>
        <w:spacing w:after="92" w:line="248" w:lineRule="auto"/>
        <w:ind w:right="244" w:hanging="360"/>
        <w:jc w:val="both"/>
      </w:pPr>
      <w:r>
        <w:rPr>
          <w:rFonts w:ascii="Arial" w:eastAsia="Arial" w:hAnsi="Arial" w:cs="Arial"/>
          <w:color w:val="202020"/>
        </w:rPr>
        <w:t>Aplicación presupuestaria a la que se imputa la subvención, cuantía total máxima de las subvenciones convocadas dentro de los créditos disponibles así como la posibilidad de incrementar ésta, si las disponibilidades presupu</w:t>
      </w:r>
      <w:r>
        <w:rPr>
          <w:rFonts w:ascii="Arial" w:eastAsia="Arial" w:hAnsi="Arial" w:cs="Arial"/>
          <w:color w:val="202020"/>
        </w:rPr>
        <w:t xml:space="preserve">estarias lo permiten, e importe máximo a conceder, en su caso.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Procedimiento de concesión </w:t>
      </w:r>
    </w:p>
    <w:p w:rsidR="00FF384B" w:rsidRDefault="003E3BA9">
      <w:pPr>
        <w:numPr>
          <w:ilvl w:val="0"/>
          <w:numId w:val="182"/>
        </w:numPr>
        <w:spacing w:after="142" w:line="248" w:lineRule="auto"/>
        <w:ind w:right="244" w:hanging="360"/>
        <w:jc w:val="both"/>
      </w:pPr>
      <w:r>
        <w:rPr>
          <w:rFonts w:ascii="Arial" w:eastAsia="Arial" w:hAnsi="Arial" w:cs="Arial"/>
          <w:color w:val="202020"/>
        </w:rPr>
        <w:t xml:space="preserve">Criterios objetivos de otorgamiento de subvención. </w:t>
      </w:r>
    </w:p>
    <w:p w:rsidR="00FF384B" w:rsidRDefault="003E3BA9">
      <w:pPr>
        <w:numPr>
          <w:ilvl w:val="0"/>
          <w:numId w:val="182"/>
        </w:numPr>
        <w:spacing w:after="92" w:line="248" w:lineRule="auto"/>
        <w:ind w:right="244" w:hanging="360"/>
        <w:jc w:val="both"/>
      </w:pPr>
      <w:r>
        <w:rPr>
          <w:rFonts w:ascii="Arial" w:eastAsia="Arial" w:hAnsi="Arial" w:cs="Arial"/>
          <w:color w:val="202020"/>
        </w:rPr>
        <w:t>Criterios para establecer la cuantía individualizada de la subvención, así como la exigencia, en su caso, de det</w:t>
      </w:r>
      <w:r>
        <w:rPr>
          <w:rFonts w:ascii="Arial" w:eastAsia="Arial" w:hAnsi="Arial" w:cs="Arial"/>
          <w:color w:val="202020"/>
        </w:rPr>
        <w:t xml:space="preserve">erminar un porcentaje de financiación propia y forma de acreditarla.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Órganos competentes para la ordenación, instrucción y resolución del procedimiento de concesión de subvención, así como determinación de los componentes de la comisión de valoración. </w:t>
      </w:r>
    </w:p>
    <w:p w:rsidR="00FF384B" w:rsidRDefault="003E3BA9">
      <w:pPr>
        <w:numPr>
          <w:ilvl w:val="0"/>
          <w:numId w:val="182"/>
        </w:numPr>
        <w:spacing w:after="90" w:line="248" w:lineRule="auto"/>
        <w:ind w:right="244" w:hanging="360"/>
        <w:jc w:val="both"/>
      </w:pPr>
      <w:r>
        <w:rPr>
          <w:rFonts w:ascii="Arial" w:eastAsia="Arial" w:hAnsi="Arial" w:cs="Arial"/>
          <w:color w:val="202020"/>
        </w:rPr>
        <w:t>Pl</w:t>
      </w:r>
      <w:r>
        <w:rPr>
          <w:rFonts w:ascii="Arial" w:eastAsia="Arial" w:hAnsi="Arial" w:cs="Arial"/>
          <w:color w:val="202020"/>
        </w:rPr>
        <w:t xml:space="preserve">azo de resolución. </w:t>
      </w:r>
    </w:p>
    <w:p w:rsidR="00FF384B" w:rsidRDefault="003E3BA9">
      <w:pPr>
        <w:numPr>
          <w:ilvl w:val="0"/>
          <w:numId w:val="182"/>
        </w:numPr>
        <w:spacing w:after="89" w:line="248" w:lineRule="auto"/>
        <w:ind w:right="244" w:hanging="360"/>
        <w:jc w:val="both"/>
      </w:pPr>
      <w:r>
        <w:rPr>
          <w:rFonts w:ascii="Arial" w:eastAsia="Arial" w:hAnsi="Arial" w:cs="Arial"/>
          <w:color w:val="202020"/>
        </w:rPr>
        <w:t xml:space="preserve">Posibilidad de reformular la solicitud. </w:t>
      </w:r>
    </w:p>
    <w:p w:rsidR="00FF384B" w:rsidRDefault="003E3BA9">
      <w:pPr>
        <w:numPr>
          <w:ilvl w:val="0"/>
          <w:numId w:val="182"/>
        </w:numPr>
        <w:spacing w:after="89" w:line="248" w:lineRule="auto"/>
        <w:ind w:right="244" w:hanging="360"/>
        <w:jc w:val="both"/>
      </w:pPr>
      <w:r>
        <w:rPr>
          <w:rFonts w:ascii="Arial" w:eastAsia="Arial" w:hAnsi="Arial" w:cs="Arial"/>
          <w:color w:val="202020"/>
        </w:rPr>
        <w:t xml:space="preserve">Forma de acreditar la aceptación.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Determinación en su caso de los libros y registros contables específicos para garantizar la adecuada justificación de la subvención. </w:t>
      </w:r>
    </w:p>
    <w:p w:rsidR="00FF384B" w:rsidRDefault="003E3BA9">
      <w:pPr>
        <w:numPr>
          <w:ilvl w:val="0"/>
          <w:numId w:val="182"/>
        </w:numPr>
        <w:spacing w:after="89" w:line="248" w:lineRule="auto"/>
        <w:ind w:right="244" w:hanging="360"/>
        <w:jc w:val="both"/>
      </w:pPr>
      <w:r>
        <w:rPr>
          <w:rFonts w:ascii="Arial" w:eastAsia="Arial" w:hAnsi="Arial" w:cs="Arial"/>
          <w:color w:val="202020"/>
        </w:rPr>
        <w:t>Forma y plazo de justifica</w:t>
      </w:r>
      <w:r>
        <w:rPr>
          <w:rFonts w:ascii="Arial" w:eastAsia="Arial" w:hAnsi="Arial" w:cs="Arial"/>
          <w:color w:val="202020"/>
        </w:rPr>
        <w:t xml:space="preserve">ción, indicando la documentación concreta a aportar.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Forma de acreditar la realización de las actividades incluidas en otras subvenciones concedidas al beneficiario con anterioridad, para el mismo destino y finalidad. </w:t>
      </w:r>
    </w:p>
    <w:p w:rsidR="00FF384B" w:rsidRDefault="003E3BA9">
      <w:pPr>
        <w:numPr>
          <w:ilvl w:val="0"/>
          <w:numId w:val="182"/>
        </w:numPr>
        <w:spacing w:after="93" w:line="248" w:lineRule="auto"/>
        <w:ind w:right="244" w:hanging="360"/>
        <w:jc w:val="both"/>
      </w:pPr>
      <w:r>
        <w:rPr>
          <w:rFonts w:ascii="Arial" w:eastAsia="Arial" w:hAnsi="Arial" w:cs="Arial"/>
          <w:color w:val="202020"/>
        </w:rPr>
        <w:t xml:space="preserve">Posibilidad de efectuar pagos anticipados y abonos a cuenta, así como el régimen de garantías que, en su caso, deben aportar los beneficiarios.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Posibilidad de subvencionar, y en su caso porcentaje, los gastos indirectos de gestión y de garantía bancaria. </w:t>
      </w:r>
    </w:p>
    <w:p w:rsidR="00FF384B" w:rsidRDefault="003E3BA9">
      <w:pPr>
        <w:numPr>
          <w:ilvl w:val="0"/>
          <w:numId w:val="182"/>
        </w:numPr>
        <w:spacing w:after="89" w:line="248" w:lineRule="auto"/>
        <w:ind w:right="244" w:hanging="360"/>
        <w:jc w:val="both"/>
      </w:pPr>
      <w:r>
        <w:rPr>
          <w:noProof/>
        </w:rPr>
        <mc:AlternateContent>
          <mc:Choice Requires="wpg">
            <w:drawing>
              <wp:anchor distT="0" distB="0" distL="114300" distR="114300" simplePos="0" relativeHeight="2518108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6394" name="Group 46639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685" name="Picture 28685"/>
                          <pic:cNvPicPr/>
                        </pic:nvPicPr>
                        <pic:blipFill>
                          <a:blip r:embed="rId62"/>
                          <a:stretch>
                            <a:fillRect/>
                          </a:stretch>
                        </pic:blipFill>
                        <pic:spPr>
                          <a:xfrm rot="-5399999">
                            <a:off x="-1720849" y="1720849"/>
                            <a:ext cx="3797300" cy="355601"/>
                          </a:xfrm>
                          <a:prstGeom prst="rect">
                            <a:avLst/>
                          </a:prstGeom>
                        </pic:spPr>
                      </pic:pic>
                      <wps:wsp>
                        <wps:cNvPr id="28686" name="Rectangle 2868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687" name="Rectangle 2868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6394" style="width:41.2715pt;height:299pt;position:absolute;mso-position-horizontal-relative:page;mso-position-horizontal:absolute;margin-left:653.71pt;mso-position-vertical-relative:page;margin-top:512.92pt;" coordsize="5241,37973">
                <v:shape id="Picture 28685" style="position:absolute;width:37973;height:3556;left:-17208;top:17208;rotation:-89;" filled="f">
                  <v:imagedata r:id="rId63"/>
                </v:shape>
                <v:rect id="Rectangle 2868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68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353 </w:t>
                        </w:r>
                      </w:p>
                    </w:txbxContent>
                  </v:textbox>
                </v:rect>
                <w10:wrap type="square"/>
              </v:group>
            </w:pict>
          </mc:Fallback>
        </mc:AlternateContent>
      </w:r>
      <w:r>
        <w:rPr>
          <w:rFonts w:ascii="Arial" w:eastAsia="Arial" w:hAnsi="Arial" w:cs="Arial"/>
          <w:color w:val="202020"/>
        </w:rPr>
        <w:t xml:space="preserve">Circunstancias que pueden dar lugar a la modificación de la resolución. </w:t>
      </w:r>
    </w:p>
    <w:p w:rsidR="00FF384B" w:rsidRDefault="003E3BA9">
      <w:pPr>
        <w:numPr>
          <w:ilvl w:val="0"/>
          <w:numId w:val="182"/>
        </w:numPr>
        <w:spacing w:after="92" w:line="248" w:lineRule="auto"/>
        <w:ind w:right="244" w:hanging="360"/>
        <w:jc w:val="both"/>
      </w:pPr>
      <w:r>
        <w:rPr>
          <w:rFonts w:ascii="Arial" w:eastAsia="Arial" w:hAnsi="Arial" w:cs="Arial"/>
          <w:color w:val="202020"/>
        </w:rPr>
        <w:t xml:space="preserve">Compatibilidad o incompatibilidad con otras subvenciones, ayudas o ingresos recursos para la misma finalidad. </w:t>
      </w:r>
    </w:p>
    <w:p w:rsidR="00FF384B" w:rsidRDefault="003E3BA9">
      <w:pPr>
        <w:numPr>
          <w:ilvl w:val="0"/>
          <w:numId w:val="182"/>
        </w:numPr>
        <w:spacing w:after="89" w:line="248" w:lineRule="auto"/>
        <w:ind w:right="244" w:hanging="360"/>
        <w:jc w:val="both"/>
      </w:pPr>
      <w:r>
        <w:rPr>
          <w:rFonts w:ascii="Arial" w:eastAsia="Arial" w:hAnsi="Arial" w:cs="Arial"/>
          <w:color w:val="202020"/>
        </w:rPr>
        <w:t xml:space="preserve">Criterios de graduación de posibles incumplimientos. </w:t>
      </w:r>
    </w:p>
    <w:p w:rsidR="00FF384B" w:rsidRDefault="003E3BA9">
      <w:pPr>
        <w:numPr>
          <w:ilvl w:val="0"/>
          <w:numId w:val="182"/>
        </w:numPr>
        <w:spacing w:after="89" w:line="248" w:lineRule="auto"/>
        <w:ind w:right="244" w:hanging="360"/>
        <w:jc w:val="both"/>
      </w:pPr>
      <w:r>
        <w:rPr>
          <w:rFonts w:ascii="Arial" w:eastAsia="Arial" w:hAnsi="Arial" w:cs="Arial"/>
          <w:color w:val="202020"/>
        </w:rPr>
        <w:t>Posibilidad y lími</w:t>
      </w:r>
      <w:r>
        <w:rPr>
          <w:rFonts w:ascii="Arial" w:eastAsia="Arial" w:hAnsi="Arial" w:cs="Arial"/>
          <w:color w:val="202020"/>
        </w:rPr>
        <w:t xml:space="preserve">tes de la subcontratación. </w:t>
      </w:r>
    </w:p>
    <w:p w:rsidR="00FF384B" w:rsidRDefault="003E3BA9">
      <w:pPr>
        <w:numPr>
          <w:ilvl w:val="0"/>
          <w:numId w:val="182"/>
        </w:numPr>
        <w:spacing w:after="90" w:line="248" w:lineRule="auto"/>
        <w:ind w:right="244" w:hanging="360"/>
        <w:jc w:val="both"/>
      </w:pPr>
      <w:r>
        <w:rPr>
          <w:rFonts w:ascii="Arial" w:eastAsia="Arial" w:hAnsi="Arial" w:cs="Arial"/>
          <w:color w:val="202020"/>
        </w:rPr>
        <w:t xml:space="preserve">Periodo durante el cual el beneficiario, en el supuesto de adquisición, construcción rehabilitación y mejora de bienes inventariables, debe destinar dichos bienes al fin concreto para el que se le concedió la subvención, que no </w:t>
      </w:r>
      <w:r>
        <w:rPr>
          <w:rFonts w:ascii="Arial" w:eastAsia="Arial" w:hAnsi="Arial" w:cs="Arial"/>
          <w:color w:val="202020"/>
        </w:rPr>
        <w:t xml:space="preserve">puede ser inferior a cinco años en el caso de bienes inscribibles e un registro público, ni a dos para el resto de bienes. </w:t>
      </w:r>
    </w:p>
    <w:p w:rsidR="00FF384B" w:rsidRDefault="003E3BA9">
      <w:pPr>
        <w:spacing w:after="131"/>
        <w:ind w:left="283"/>
      </w:pPr>
      <w:r>
        <w:rPr>
          <w:rFonts w:ascii="Arial" w:eastAsia="Arial" w:hAnsi="Arial" w:cs="Arial"/>
          <w:color w:val="202020"/>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b/>
        </w:rPr>
        <w:t>SEGUNDO.</w:t>
      </w:r>
      <w:r>
        <w:rPr>
          <w:rFonts w:ascii="Arial" w:eastAsia="Arial" w:hAnsi="Arial" w:cs="Arial"/>
        </w:rPr>
        <w:t xml:space="preserve"> </w:t>
      </w:r>
      <w:r>
        <w:rPr>
          <w:rFonts w:ascii="Arial" w:eastAsia="Arial" w:hAnsi="Arial" w:cs="Arial"/>
        </w:rPr>
        <w:t>Publicar el texto íntegro de la Ordenanza General y Bases Reguladoras de Subvenciones en el Boletín Oficial de la Provincia, entrando en vigor el día de su publicación.”</w:t>
      </w:r>
      <w:r>
        <w:rPr>
          <w:rFonts w:ascii="Times New Roman" w:eastAsia="Times New Roman" w:hAnsi="Times New Roman" w:cs="Times New Roman"/>
          <w:sz w:val="24"/>
        </w:rPr>
        <w:t xml:space="preserve"> </w:t>
      </w:r>
    </w:p>
    <w:p w:rsidR="00FF384B" w:rsidRDefault="003E3BA9">
      <w:pPr>
        <w:spacing w:after="98"/>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hanging="3"/>
        <w:jc w:val="both"/>
      </w:pPr>
      <w:r>
        <w:rPr>
          <w:rFonts w:ascii="Arial" w:eastAsia="Arial" w:hAnsi="Arial" w:cs="Arial"/>
          <w:b/>
        </w:rPr>
        <w:t xml:space="preserve">DICTAMEN FAVORABLE DE LA COMISIÓN INFORMATIVA DE HACIENDA, </w:t>
      </w:r>
    </w:p>
    <w:p w:rsidR="00FF384B" w:rsidRDefault="003E3BA9">
      <w:pPr>
        <w:spacing w:after="15" w:line="247" w:lineRule="auto"/>
        <w:ind w:left="286" w:hanging="3"/>
        <w:jc w:val="both"/>
      </w:pPr>
      <w:r>
        <w:rPr>
          <w:rFonts w:ascii="Arial" w:eastAsia="Arial" w:hAnsi="Arial" w:cs="Arial"/>
          <w:b/>
        </w:rPr>
        <w:t>RECURSO</w:t>
      </w:r>
      <w:r>
        <w:rPr>
          <w:rFonts w:ascii="Arial" w:eastAsia="Arial" w:hAnsi="Arial" w:cs="Arial"/>
          <w:b/>
        </w:rPr>
        <w:t xml:space="preserve">S HUMANOS Y SERVICIOS GENERALES DE FECHA 26 DE ABRIL DE </w:t>
      </w:r>
    </w:p>
    <w:p w:rsidR="00FF384B" w:rsidRDefault="003E3BA9">
      <w:pPr>
        <w:spacing w:after="15" w:line="247" w:lineRule="auto"/>
        <w:ind w:left="286" w:hanging="3"/>
        <w:jc w:val="both"/>
      </w:pPr>
      <w:r>
        <w:rPr>
          <w:rFonts w:ascii="Arial" w:eastAsia="Arial" w:hAnsi="Arial" w:cs="Arial"/>
          <w:b/>
        </w:rPr>
        <w:t xml:space="preserve">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Votos a favor: 4. </w:t>
      </w:r>
    </w:p>
    <w:p w:rsidR="00FF384B" w:rsidRDefault="003E3BA9">
      <w:pPr>
        <w:spacing w:after="5" w:line="247" w:lineRule="auto"/>
        <w:ind w:left="278" w:right="244" w:hanging="10"/>
        <w:jc w:val="both"/>
      </w:pPr>
      <w:r>
        <w:rPr>
          <w:rFonts w:ascii="Arial" w:eastAsia="Arial" w:hAnsi="Arial" w:cs="Arial"/>
        </w:rPr>
        <w:t xml:space="preserve">4 concejales del Grupo Socialista: Don Airam Pérez Chinea, Don José Francisco Pinto Ramos, Don Olegario Francisco Alonso Bello y Don Jorge Baute Delgado.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Votos en cont</w:t>
      </w:r>
      <w:r>
        <w:rPr>
          <w:rFonts w:ascii="Arial" w:eastAsia="Arial" w:hAnsi="Arial" w:cs="Arial"/>
        </w:rPr>
        <w:t xml:space="preserve">ra: 1. </w:t>
      </w:r>
    </w:p>
    <w:p w:rsidR="00FF384B" w:rsidRDefault="003E3BA9">
      <w:pPr>
        <w:spacing w:after="5" w:line="247" w:lineRule="auto"/>
        <w:ind w:left="278" w:right="244" w:hanging="10"/>
        <w:jc w:val="both"/>
      </w:pPr>
      <w:r>
        <w:rPr>
          <w:rFonts w:ascii="Arial" w:eastAsia="Arial" w:hAnsi="Arial" w:cs="Arial"/>
        </w:rPr>
        <w:t xml:space="preserve">1 de la concejal del Grupo Mixto: Lourdes del Carmen Mondéjar Rondón.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Abstenciones: 2. </w:t>
      </w:r>
    </w:p>
    <w:p w:rsidR="00FF384B" w:rsidRDefault="003E3BA9">
      <w:pPr>
        <w:spacing w:after="5" w:line="247" w:lineRule="auto"/>
        <w:ind w:left="278" w:right="244" w:hanging="10"/>
        <w:jc w:val="both"/>
      </w:pPr>
      <w:r>
        <w:rPr>
          <w:rFonts w:ascii="Arial" w:eastAsia="Arial" w:hAnsi="Arial" w:cs="Arial"/>
        </w:rPr>
        <w:t xml:space="preserve">1 de la concejal del Grupo Popular, Doña Raquel Martín Castro. </w:t>
      </w:r>
    </w:p>
    <w:p w:rsidR="00FF384B" w:rsidRDefault="003E3BA9">
      <w:pPr>
        <w:spacing w:after="5" w:line="247" w:lineRule="auto"/>
        <w:ind w:left="278" w:right="244" w:hanging="10"/>
        <w:jc w:val="both"/>
      </w:pPr>
      <w:r>
        <w:rPr>
          <w:rFonts w:ascii="Arial" w:eastAsia="Arial" w:hAnsi="Arial" w:cs="Arial"/>
        </w:rPr>
        <w:t xml:space="preserve">1 de la concejal del Grupo Mixto, Doña Ángela Cruz Perera.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11" w:line="247" w:lineRule="auto"/>
        <w:ind w:left="286" w:hanging="3"/>
        <w:jc w:val="both"/>
      </w:pPr>
      <w:r>
        <w:rPr>
          <w:rFonts w:ascii="Arial" w:eastAsia="Arial" w:hAnsi="Arial" w:cs="Arial"/>
          <w:b/>
        </w:rPr>
        <w:t xml:space="preserve">JUNTA DE PORTAVOCES DE </w:t>
      </w:r>
      <w:r>
        <w:rPr>
          <w:rFonts w:ascii="Arial" w:eastAsia="Arial" w:hAnsi="Arial" w:cs="Arial"/>
          <w:b/>
        </w:rPr>
        <w:t xml:space="preserve">26 DE ABRIL DE 2021. </w:t>
      </w:r>
    </w:p>
    <w:p w:rsidR="00FF384B" w:rsidRDefault="003E3BA9">
      <w:pPr>
        <w:spacing w:after="107" w:line="247" w:lineRule="auto"/>
        <w:ind w:left="278" w:right="244" w:hanging="10"/>
        <w:jc w:val="both"/>
      </w:pPr>
      <w:r>
        <w:rPr>
          <w:rFonts w:ascii="Arial" w:eastAsia="Arial" w:hAnsi="Arial" w:cs="Arial"/>
        </w:rPr>
        <w:t xml:space="preserve">Quedó oída. </w:t>
      </w:r>
    </w:p>
    <w:p w:rsidR="00FF384B" w:rsidRDefault="003E3BA9">
      <w:pPr>
        <w:spacing w:after="100"/>
        <w:ind w:left="283"/>
      </w:pPr>
      <w:r>
        <w:rPr>
          <w:rFonts w:ascii="Arial" w:eastAsia="Arial" w:hAnsi="Arial" w:cs="Arial"/>
          <w:b/>
        </w:rPr>
        <w:t xml:space="preserve"> </w:t>
      </w:r>
    </w:p>
    <w:p w:rsidR="00FF384B" w:rsidRDefault="003E3BA9">
      <w:pPr>
        <w:spacing w:after="111" w:line="247" w:lineRule="auto"/>
        <w:ind w:left="286" w:hanging="3"/>
        <w:jc w:val="both"/>
      </w:pPr>
      <w:r>
        <w:rPr>
          <w:rFonts w:ascii="Arial" w:eastAsia="Arial" w:hAnsi="Arial" w:cs="Arial"/>
          <w:b/>
        </w:rPr>
        <w:t xml:space="preserve">VOTACIÓN DEL PLENO DE 29 DE ABRIL DE 2021. </w:t>
      </w:r>
    </w:p>
    <w:p w:rsidR="00FF384B" w:rsidRDefault="003E3BA9">
      <w:pPr>
        <w:spacing w:after="111" w:line="247" w:lineRule="auto"/>
        <w:ind w:left="1001" w:right="244" w:hanging="10"/>
        <w:jc w:val="both"/>
      </w:pPr>
      <w:r>
        <w:rPr>
          <w:noProof/>
        </w:rPr>
        <mc:AlternateContent>
          <mc:Choice Requires="wpg">
            <w:drawing>
              <wp:anchor distT="0" distB="0" distL="114300" distR="114300" simplePos="0" relativeHeight="2518118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6389" name="Group 46638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791" name="Picture 28791"/>
                          <pic:cNvPicPr/>
                        </pic:nvPicPr>
                        <pic:blipFill>
                          <a:blip r:embed="rId62"/>
                          <a:stretch>
                            <a:fillRect/>
                          </a:stretch>
                        </pic:blipFill>
                        <pic:spPr>
                          <a:xfrm rot="-5399999">
                            <a:off x="-1720849" y="1720849"/>
                            <a:ext cx="3797300" cy="355601"/>
                          </a:xfrm>
                          <a:prstGeom prst="rect">
                            <a:avLst/>
                          </a:prstGeom>
                        </pic:spPr>
                      </pic:pic>
                      <wps:wsp>
                        <wps:cNvPr id="28792" name="Rectangle 287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793" name="Rectangle 2879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149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6389" style="width:41.2715pt;height:299pt;position:absolute;mso-position-horizontal-relative:page;mso-position-horizontal:absolute;margin-left:653.71pt;mso-position-vertical-relative:page;margin-top:512.92pt;" coordsize="5241,37973">
                <v:shape id="Picture 28791" style="position:absolute;width:37973;height:3556;left:-17208;top:17208;rotation:-89;" filled="f">
                  <v:imagedata r:id="rId63"/>
                </v:shape>
                <v:rect id="Rectangle 287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7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353 </w:t>
                        </w:r>
                      </w:p>
                    </w:txbxContent>
                  </v:textbox>
                </v:rect>
                <w10:wrap type="square"/>
              </v:group>
            </w:pict>
          </mc:Fallback>
        </mc:AlternateContent>
      </w:r>
      <w:r>
        <w:rPr>
          <w:rFonts w:ascii="Arial" w:eastAsia="Arial" w:hAnsi="Arial" w:cs="Arial"/>
        </w:rPr>
        <w:t xml:space="preserve">Votos a favor: 12. </w:t>
      </w:r>
    </w:p>
    <w:p w:rsidR="00FF384B" w:rsidRDefault="003E3BA9">
      <w:pPr>
        <w:spacing w:after="112" w:line="247" w:lineRule="auto"/>
        <w:ind w:left="268" w:right="244" w:firstLine="708"/>
        <w:jc w:val="both"/>
      </w:pPr>
      <w:r>
        <w:rPr>
          <w:rFonts w:ascii="Arial" w:eastAsia="Arial" w:hAnsi="Arial" w:cs="Arial"/>
        </w:rPr>
        <w:t>11 concejales del Grupo Socialista: Doña María Concepción Brito Núñez, Don Jorge Baute Delgado, Doña Olivia Concepción Pérez Díaz, Don José F</w:t>
      </w:r>
      <w:r>
        <w:rPr>
          <w:rFonts w:ascii="Arial" w:eastAsia="Arial" w:hAnsi="Arial" w:cs="Arial"/>
        </w:rPr>
        <w:t>rancisco Pinto Ramos, Doña Hilaria Cecilia Otazo González, Don Airam Pérez Chinea, Doña Margarita Eva Tendero Barroso, Don Manuel Alberto González Pestano, Doña María del Carmen Clemente Díaz, Don Olegario Francisco Alonso Bello y Don Reinaldo José Triviño</w:t>
      </w:r>
      <w:r>
        <w:rPr>
          <w:rFonts w:ascii="Arial" w:eastAsia="Arial" w:hAnsi="Arial" w:cs="Arial"/>
        </w:rPr>
        <w:t xml:space="preserve"> Blanco. </w:t>
      </w:r>
    </w:p>
    <w:p w:rsidR="00FF384B" w:rsidRDefault="003E3BA9">
      <w:pPr>
        <w:numPr>
          <w:ilvl w:val="0"/>
          <w:numId w:val="183"/>
        </w:numPr>
        <w:spacing w:after="109" w:line="247" w:lineRule="auto"/>
        <w:ind w:right="244" w:firstLine="708"/>
        <w:jc w:val="both"/>
      </w:pPr>
      <w:r>
        <w:rPr>
          <w:rFonts w:ascii="Arial" w:eastAsia="Arial" w:hAnsi="Arial" w:cs="Arial"/>
        </w:rPr>
        <w:t xml:space="preserve">de la concejal del Grupo Mixto, Doña Ángela Cruz Perera (CC-PNC). </w:t>
      </w:r>
    </w:p>
    <w:p w:rsidR="00FF384B" w:rsidRDefault="003E3BA9">
      <w:pPr>
        <w:spacing w:after="100"/>
        <w:ind w:left="991"/>
      </w:pPr>
      <w:r>
        <w:rPr>
          <w:rFonts w:ascii="Arial" w:eastAsia="Arial" w:hAnsi="Arial" w:cs="Arial"/>
        </w:rPr>
        <w:t xml:space="preserve"> </w:t>
      </w:r>
    </w:p>
    <w:p w:rsidR="00FF384B" w:rsidRDefault="003E3BA9">
      <w:pPr>
        <w:spacing w:after="109" w:line="247" w:lineRule="auto"/>
        <w:ind w:left="1001" w:right="244" w:hanging="10"/>
        <w:jc w:val="both"/>
      </w:pPr>
      <w:r>
        <w:rPr>
          <w:rFonts w:ascii="Arial" w:eastAsia="Arial" w:hAnsi="Arial" w:cs="Arial"/>
        </w:rPr>
        <w:t xml:space="preserve">Votos en contra: 2. </w:t>
      </w:r>
    </w:p>
    <w:p w:rsidR="00FF384B" w:rsidRDefault="003E3BA9">
      <w:pPr>
        <w:numPr>
          <w:ilvl w:val="0"/>
          <w:numId w:val="183"/>
        </w:numPr>
        <w:spacing w:after="111" w:line="247" w:lineRule="auto"/>
        <w:ind w:right="244" w:firstLine="708"/>
        <w:jc w:val="both"/>
      </w:pPr>
      <w:r>
        <w:rPr>
          <w:rFonts w:ascii="Arial" w:eastAsia="Arial" w:hAnsi="Arial" w:cs="Arial"/>
        </w:rPr>
        <w:t xml:space="preserve">concejales del Grupo Mixto (SSP), Don Antonio Delgado García y Lourdes del Carmen Mondéjar Rondón. </w:t>
      </w:r>
    </w:p>
    <w:p w:rsidR="00FF384B" w:rsidRDefault="003E3BA9">
      <w:pPr>
        <w:spacing w:after="100"/>
        <w:ind w:left="991"/>
      </w:pPr>
      <w:r>
        <w:rPr>
          <w:rFonts w:ascii="Arial" w:eastAsia="Arial" w:hAnsi="Arial" w:cs="Arial"/>
        </w:rPr>
        <w:t xml:space="preserve"> </w:t>
      </w:r>
    </w:p>
    <w:p w:rsidR="00FF384B" w:rsidRDefault="003E3BA9">
      <w:pPr>
        <w:spacing w:after="109" w:line="247" w:lineRule="auto"/>
        <w:ind w:left="1001" w:right="244" w:hanging="10"/>
        <w:jc w:val="both"/>
      </w:pPr>
      <w:r>
        <w:rPr>
          <w:rFonts w:ascii="Arial" w:eastAsia="Arial" w:hAnsi="Arial" w:cs="Arial"/>
        </w:rPr>
        <w:t xml:space="preserve">Abstenciones: 4. </w:t>
      </w:r>
    </w:p>
    <w:p w:rsidR="00FF384B" w:rsidRDefault="003E3BA9">
      <w:pPr>
        <w:numPr>
          <w:ilvl w:val="0"/>
          <w:numId w:val="183"/>
        </w:numPr>
        <w:spacing w:after="114" w:line="247" w:lineRule="auto"/>
        <w:ind w:right="244" w:firstLine="708"/>
        <w:jc w:val="both"/>
      </w:pPr>
      <w:r>
        <w:rPr>
          <w:rFonts w:ascii="Arial" w:eastAsia="Arial" w:hAnsi="Arial" w:cs="Arial"/>
        </w:rPr>
        <w:t xml:space="preserve">concejales del Grupo Popular, Don Andrés Rodríguez Delgado, Doña Raquel Martín Castro y Don Jacobo López Fariña. </w:t>
      </w:r>
    </w:p>
    <w:p w:rsidR="00FF384B" w:rsidRDefault="003E3BA9">
      <w:pPr>
        <w:spacing w:after="109" w:line="247" w:lineRule="auto"/>
        <w:ind w:left="1001" w:right="244" w:hanging="10"/>
        <w:jc w:val="both"/>
      </w:pPr>
      <w:r>
        <w:rPr>
          <w:rFonts w:ascii="Arial" w:eastAsia="Arial" w:hAnsi="Arial" w:cs="Arial"/>
        </w:rPr>
        <w:t xml:space="preserve">1 concejal del Grupo Mixto (VxC) Don José Fernando Gómez Martín. </w:t>
      </w:r>
    </w:p>
    <w:p w:rsidR="00FF384B" w:rsidRDefault="003E3BA9">
      <w:pPr>
        <w:spacing w:after="100"/>
        <w:ind w:left="991"/>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11" w:line="247" w:lineRule="auto"/>
        <w:ind w:left="1705" w:hanging="3"/>
        <w:jc w:val="both"/>
      </w:pPr>
      <w:r>
        <w:rPr>
          <w:rFonts w:ascii="Arial" w:eastAsia="Arial" w:hAnsi="Arial" w:cs="Arial"/>
          <w:b/>
        </w:rPr>
        <w:t xml:space="preserve">ACUERDO DEL PLENO DE FECHA 29 DE ABRIL DE 2021. </w:t>
      </w:r>
    </w:p>
    <w:p w:rsidR="00FF384B" w:rsidRDefault="003E3BA9">
      <w:pPr>
        <w:spacing w:after="98"/>
        <w:ind w:left="1702"/>
      </w:pPr>
      <w:r>
        <w:rPr>
          <w:rFonts w:ascii="Arial" w:eastAsia="Arial" w:hAnsi="Arial" w:cs="Arial"/>
          <w:b/>
        </w:rPr>
        <w:t xml:space="preserve"> </w:t>
      </w:r>
    </w:p>
    <w:p w:rsidR="00FF384B" w:rsidRDefault="003E3BA9">
      <w:pPr>
        <w:spacing w:after="15" w:line="247" w:lineRule="auto"/>
        <w:ind w:left="283" w:right="254" w:firstLine="708"/>
        <w:jc w:val="both"/>
      </w:pPr>
      <w:r>
        <w:rPr>
          <w:rFonts w:ascii="Arial" w:eastAsia="Arial" w:hAnsi="Arial" w:cs="Arial"/>
          <w:b/>
        </w:rPr>
        <w:t xml:space="preserve">PRIMERO. - </w:t>
      </w:r>
      <w:r>
        <w:rPr>
          <w:rFonts w:ascii="Arial" w:eastAsia="Arial" w:hAnsi="Arial" w:cs="Arial"/>
          <w:b/>
        </w:rPr>
        <w:t>Desestimar las alegaciones presentadas por el Grupo Mixto contra la Ordenanza General Municipal de Subvenciones según los informes emitidos por el Interventor de fecha 17 de febrero de 2021 y en el presente informe de Secretaría General de fecha 21 de abri</w:t>
      </w:r>
      <w:r>
        <w:rPr>
          <w:rFonts w:ascii="Arial" w:eastAsia="Arial" w:hAnsi="Arial" w:cs="Arial"/>
          <w:b/>
        </w:rPr>
        <w:t xml:space="preserve">l de 2021. </w:t>
      </w:r>
    </w:p>
    <w:p w:rsidR="00FF384B" w:rsidRDefault="003E3BA9">
      <w:pPr>
        <w:spacing w:after="4"/>
        <w:ind w:left="991"/>
      </w:pPr>
      <w:r>
        <w:rPr>
          <w:rFonts w:ascii="Arial" w:eastAsia="Arial" w:hAnsi="Arial" w:cs="Arial"/>
          <w:b/>
        </w:rPr>
        <w:t xml:space="preserve"> </w:t>
      </w:r>
    </w:p>
    <w:p w:rsidR="00FF384B" w:rsidRDefault="003E3BA9">
      <w:pPr>
        <w:spacing w:after="15" w:line="247" w:lineRule="auto"/>
        <w:ind w:left="283" w:right="254" w:firstLine="708"/>
        <w:jc w:val="both"/>
      </w:pPr>
      <w:r>
        <w:rPr>
          <w:rFonts w:ascii="Arial" w:eastAsia="Arial" w:hAnsi="Arial" w:cs="Arial"/>
          <w:b/>
        </w:rPr>
        <w:t xml:space="preserve">SEGUNDO. -  La aprobación definitiva de la “Ordenanza General Municipal y Bases Reguladoras de Subvenciones del Ayuntamiento de Candelaria” cuyo tenor literal se inserta a continuación: </w:t>
      </w:r>
    </w:p>
    <w:p w:rsidR="00FF384B" w:rsidRDefault="003E3BA9">
      <w:pPr>
        <w:spacing w:after="0"/>
        <w:ind w:left="991"/>
      </w:pPr>
      <w:r>
        <w:rPr>
          <w:rFonts w:ascii="Arial" w:eastAsia="Arial" w:hAnsi="Arial" w:cs="Arial"/>
        </w:rPr>
        <w:t xml:space="preserve"> </w:t>
      </w:r>
    </w:p>
    <w:p w:rsidR="00FF384B" w:rsidRDefault="003E3BA9">
      <w:pPr>
        <w:tabs>
          <w:tab w:val="center" w:pos="1041"/>
          <w:tab w:val="center" w:pos="2626"/>
          <w:tab w:val="center" w:pos="4060"/>
          <w:tab w:val="center" w:pos="5032"/>
          <w:tab w:val="center" w:pos="5778"/>
          <w:tab w:val="center" w:pos="7317"/>
          <w:tab w:val="center" w:pos="8631"/>
        </w:tabs>
        <w:spacing w:after="13" w:line="247" w:lineRule="auto"/>
      </w:pPr>
      <w:r>
        <w:tab/>
      </w:r>
      <w:r>
        <w:rPr>
          <w:rFonts w:ascii="Arial" w:eastAsia="Arial" w:hAnsi="Arial" w:cs="Arial"/>
          <w:b/>
          <w:i/>
        </w:rPr>
        <w:t xml:space="preserve">“ORDENANZA </w:t>
      </w:r>
      <w:r>
        <w:rPr>
          <w:rFonts w:ascii="Arial" w:eastAsia="Arial" w:hAnsi="Arial" w:cs="Arial"/>
          <w:b/>
          <w:i/>
        </w:rPr>
        <w:tab/>
        <w:t xml:space="preserve">GENERAL </w:t>
      </w:r>
      <w:r>
        <w:rPr>
          <w:rFonts w:ascii="Arial" w:eastAsia="Arial" w:hAnsi="Arial" w:cs="Arial"/>
          <w:b/>
          <w:i/>
        </w:rPr>
        <w:tab/>
        <w:t xml:space="preserve">MUNICIPAL </w:t>
      </w:r>
      <w:r>
        <w:rPr>
          <w:rFonts w:ascii="Arial" w:eastAsia="Arial" w:hAnsi="Arial" w:cs="Arial"/>
          <w:b/>
          <w:i/>
        </w:rPr>
        <w:tab/>
        <w:t xml:space="preserve">Y </w:t>
      </w:r>
      <w:r>
        <w:rPr>
          <w:rFonts w:ascii="Arial" w:eastAsia="Arial" w:hAnsi="Arial" w:cs="Arial"/>
          <w:b/>
          <w:i/>
        </w:rPr>
        <w:tab/>
        <w:t xml:space="preserve">BASES </w:t>
      </w:r>
      <w:r>
        <w:rPr>
          <w:rFonts w:ascii="Arial" w:eastAsia="Arial" w:hAnsi="Arial" w:cs="Arial"/>
          <w:b/>
          <w:i/>
        </w:rPr>
        <w:tab/>
        <w:t>REGULADORA</w:t>
      </w:r>
      <w:r>
        <w:rPr>
          <w:rFonts w:ascii="Arial" w:eastAsia="Arial" w:hAnsi="Arial" w:cs="Arial"/>
          <w:b/>
          <w:i/>
        </w:rPr>
        <w:t xml:space="preserve">S </w:t>
      </w:r>
      <w:r>
        <w:rPr>
          <w:rFonts w:ascii="Arial" w:eastAsia="Arial" w:hAnsi="Arial" w:cs="Arial"/>
          <w:b/>
          <w:i/>
        </w:rPr>
        <w:tab/>
        <w:t xml:space="preserve">DE </w:t>
      </w:r>
    </w:p>
    <w:p w:rsidR="00FF384B" w:rsidRDefault="003E3BA9">
      <w:pPr>
        <w:spacing w:after="289" w:line="247" w:lineRule="auto"/>
        <w:ind w:left="268" w:right="239"/>
        <w:jc w:val="both"/>
      </w:pPr>
      <w:r>
        <w:rPr>
          <w:rFonts w:ascii="Arial" w:eastAsia="Arial" w:hAnsi="Arial" w:cs="Arial"/>
          <w:b/>
          <w:i/>
        </w:rPr>
        <w:t xml:space="preserve">SUBVENCIONES DEL AYUNTAMIENTO DE CANDELARIA </w:t>
      </w:r>
    </w:p>
    <w:p w:rsidR="00FF384B" w:rsidRDefault="003E3BA9">
      <w:pPr>
        <w:spacing w:after="140" w:line="249" w:lineRule="auto"/>
        <w:ind w:left="278" w:right="240" w:hanging="10"/>
        <w:jc w:val="both"/>
      </w:pPr>
      <w:r>
        <w:rPr>
          <w:rFonts w:ascii="Arial" w:eastAsia="Arial" w:hAnsi="Arial" w:cs="Arial"/>
          <w:b/>
          <w:i/>
          <w:color w:val="202020"/>
        </w:rPr>
        <w:t xml:space="preserve">EXPOSICIÓN DE MOTIVOS </w:t>
      </w:r>
    </w:p>
    <w:p w:rsidR="00FF384B" w:rsidRDefault="003E3BA9">
      <w:pPr>
        <w:spacing w:after="143" w:line="248" w:lineRule="auto"/>
        <w:ind w:left="268" w:right="244" w:firstLine="708"/>
        <w:jc w:val="both"/>
      </w:pPr>
      <w:r>
        <w:rPr>
          <w:noProof/>
        </w:rPr>
        <mc:AlternateContent>
          <mc:Choice Requires="wpg">
            <w:drawing>
              <wp:anchor distT="0" distB="0" distL="114300" distR="114300" simplePos="0" relativeHeight="2518128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6721" name="Group 46672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8942" name="Picture 28942"/>
                          <pic:cNvPicPr/>
                        </pic:nvPicPr>
                        <pic:blipFill>
                          <a:blip r:embed="rId62"/>
                          <a:stretch>
                            <a:fillRect/>
                          </a:stretch>
                        </pic:blipFill>
                        <pic:spPr>
                          <a:xfrm rot="-5399999">
                            <a:off x="-1720849" y="1720849"/>
                            <a:ext cx="3797300" cy="355601"/>
                          </a:xfrm>
                          <a:prstGeom prst="rect">
                            <a:avLst/>
                          </a:prstGeom>
                        </pic:spPr>
                      </pic:pic>
                      <wps:wsp>
                        <wps:cNvPr id="28943" name="Rectangle 2894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8944" name="Rectangle 2894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w:t>
                              </w:r>
                              <w:r>
                                <w:rPr>
                                  <w:rFonts w:ascii="Arial" w:eastAsia="Arial" w:hAnsi="Arial" w:cs="Arial"/>
                                  <w:sz w:val="12"/>
                                </w:rPr>
                                <w:t xml:space="preserve">gina 150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6721" style="width:41.2715pt;height:299pt;position:absolute;mso-position-horizontal-relative:page;mso-position-horizontal:absolute;margin-left:653.71pt;mso-position-vertical-relative:page;margin-top:512.92pt;" coordsize="5241,37973">
                <v:shape id="Picture 28942" style="position:absolute;width:37973;height:3556;left:-17208;top:17208;rotation:-89;" filled="f">
                  <v:imagedata r:id="rId63"/>
                </v:shape>
                <v:rect id="Rectangle 2894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894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353 </w:t>
                        </w:r>
                      </w:p>
                    </w:txbxContent>
                  </v:textbox>
                </v:rect>
                <w10:wrap type="square"/>
              </v:group>
            </w:pict>
          </mc:Fallback>
        </mc:AlternateContent>
      </w:r>
      <w:r>
        <w:rPr>
          <w:rFonts w:ascii="Arial" w:eastAsia="Arial" w:hAnsi="Arial" w:cs="Arial"/>
          <w:i/>
          <w:color w:val="202020"/>
        </w:rPr>
        <w:t xml:space="preserve">Una parte importante de la actividad económica del sector público y de su labor de fomento y promoción se canaliza a través de subvenciones, con el objeto de dar respuesta, con medidas de apoyo financiero, a demandas sociales y económicas </w:t>
      </w:r>
      <w:r>
        <w:rPr>
          <w:rFonts w:ascii="Arial" w:eastAsia="Arial" w:hAnsi="Arial" w:cs="Arial"/>
          <w:i/>
          <w:color w:val="202020"/>
        </w:rPr>
        <w:t>de personas y entidades públicas o privadas. De forma que, de manera regular y con una tendencia casi siempre al alza, las Administraciones Públicas -y entre ellas no ha sido una excepción el Ayuntamiento de Candelaria-, vienen destinando importantes recur</w:t>
      </w:r>
      <w:r>
        <w:rPr>
          <w:rFonts w:ascii="Arial" w:eastAsia="Arial" w:hAnsi="Arial" w:cs="Arial"/>
          <w:i/>
          <w:color w:val="202020"/>
        </w:rPr>
        <w:t>sos a la acción de fomento, entendida en algunos casos como una manifestación del Estado del bienestar, a través de ayudas de carácter asistencial o como expresión de la solidaridad entre la ciudadanía, en otros como promoción de determinadas actividades p</w:t>
      </w:r>
      <w:r>
        <w:rPr>
          <w:rFonts w:ascii="Arial" w:eastAsia="Arial" w:hAnsi="Arial" w:cs="Arial"/>
          <w:i/>
          <w:color w:val="202020"/>
        </w:rPr>
        <w:t xml:space="preserve">rivadas a las que se atribuye un interés público, y finalmente como forma de favorecer la participación ciudadana, una exigencia del Estado social y democrático de derecho. </w:t>
      </w:r>
    </w:p>
    <w:p w:rsidR="00FF384B" w:rsidRDefault="003E3BA9">
      <w:pPr>
        <w:spacing w:after="143" w:line="248" w:lineRule="auto"/>
        <w:ind w:left="268" w:right="244" w:firstLine="708"/>
        <w:jc w:val="both"/>
      </w:pPr>
      <w:r>
        <w:rPr>
          <w:rFonts w:ascii="Arial" w:eastAsia="Arial" w:hAnsi="Arial" w:cs="Arial"/>
          <w:i/>
          <w:color w:val="202020"/>
        </w:rPr>
        <w:t>Los beneficiarios de esta acción pública, que en su modalidad más conocida se manifiesta a través de la técnica de la subvención, pueden ser personas individuales o, más frecuentemente, grupos organizados en asociaciones, colectivos, entidades sin ánimo de</w:t>
      </w:r>
      <w:r>
        <w:rPr>
          <w:rFonts w:ascii="Arial" w:eastAsia="Arial" w:hAnsi="Arial" w:cs="Arial"/>
          <w:i/>
          <w:color w:val="202020"/>
        </w:rPr>
        <w:t xml:space="preserve"> lucro, organizaciones no gubernamentales, fundaciones o incluso empresas. Los ámbitos de actuación son muy diversos y van desde la acción social al deporte, desde la educación y la cultura, del medio ambiente, además de actividades puntuales que los poder</w:t>
      </w:r>
      <w:r>
        <w:rPr>
          <w:rFonts w:ascii="Arial" w:eastAsia="Arial" w:hAnsi="Arial" w:cs="Arial"/>
          <w:i/>
          <w:color w:val="202020"/>
        </w:rPr>
        <w:t xml:space="preserve">es públicos consideran conveniente promover en desarrollo de políticas generales o sectoriales concretas. </w:t>
      </w:r>
    </w:p>
    <w:p w:rsidR="00FF384B" w:rsidRDefault="003E3BA9">
      <w:pPr>
        <w:spacing w:after="143" w:line="248" w:lineRule="auto"/>
        <w:ind w:left="268" w:right="244" w:firstLine="708"/>
        <w:jc w:val="both"/>
      </w:pPr>
      <w:r>
        <w:rPr>
          <w:rFonts w:ascii="Arial" w:eastAsia="Arial" w:hAnsi="Arial" w:cs="Arial"/>
          <w:i/>
          <w:color w:val="202020"/>
        </w:rPr>
        <w:t xml:space="preserve">Para </w:t>
      </w:r>
      <w:r>
        <w:rPr>
          <w:rFonts w:ascii="Arial" w:eastAsia="Arial" w:hAnsi="Arial" w:cs="Arial"/>
          <w:i/>
          <w:color w:val="202020"/>
        </w:rPr>
        <w:t xml:space="preserve">regular esta situación, adaptada a la ley general de subvenciones, se elabora la presente Ordenanza General Municipal de Subvenciones, que se ampara, entre otras, en la siguiente normativa: </w:t>
      </w:r>
    </w:p>
    <w:p w:rsidR="00FF384B" w:rsidRDefault="003E3BA9">
      <w:pPr>
        <w:numPr>
          <w:ilvl w:val="0"/>
          <w:numId w:val="184"/>
        </w:numPr>
        <w:spacing w:after="92" w:line="248" w:lineRule="auto"/>
        <w:ind w:right="244" w:hanging="257"/>
        <w:jc w:val="both"/>
      </w:pPr>
      <w:r>
        <w:rPr>
          <w:rFonts w:ascii="Arial" w:eastAsia="Arial" w:hAnsi="Arial" w:cs="Arial"/>
          <w:i/>
          <w:color w:val="202020"/>
        </w:rPr>
        <w:t>Ley 38/2003, de 17 de noviembre, General de Subvenciones, como no</w:t>
      </w:r>
      <w:r>
        <w:rPr>
          <w:rFonts w:ascii="Arial" w:eastAsia="Arial" w:hAnsi="Arial" w:cs="Arial"/>
          <w:i/>
          <w:color w:val="202020"/>
        </w:rPr>
        <w:t xml:space="preserve">rmativa básica estatal. </w:t>
      </w:r>
    </w:p>
    <w:p w:rsidR="00FF384B" w:rsidRDefault="003E3BA9">
      <w:pPr>
        <w:numPr>
          <w:ilvl w:val="0"/>
          <w:numId w:val="184"/>
        </w:numPr>
        <w:spacing w:after="292" w:line="247" w:lineRule="auto"/>
        <w:ind w:right="244" w:hanging="257"/>
        <w:jc w:val="both"/>
      </w:pPr>
      <w:r>
        <w:rPr>
          <w:rFonts w:ascii="Arial" w:eastAsia="Arial" w:hAnsi="Arial" w:cs="Arial"/>
          <w:i/>
        </w:rPr>
        <w:t>Decreto 36/2009, de 31 de marzo, por el que se establece el régimen general de subvenciones de la Comunidad Autónoma de Canarias.</w:t>
      </w:r>
      <w:r>
        <w:rPr>
          <w:rFonts w:ascii="Times New Roman" w:eastAsia="Times New Roman" w:hAnsi="Times New Roman" w:cs="Times New Roman"/>
          <w:sz w:val="24"/>
        </w:rPr>
        <w:t xml:space="preserve"> </w:t>
      </w:r>
    </w:p>
    <w:p w:rsidR="00FF384B" w:rsidRDefault="003E3BA9">
      <w:pPr>
        <w:numPr>
          <w:ilvl w:val="0"/>
          <w:numId w:val="184"/>
        </w:numPr>
        <w:spacing w:after="13" w:line="247" w:lineRule="auto"/>
        <w:ind w:right="244" w:hanging="257"/>
        <w:jc w:val="both"/>
      </w:pPr>
      <w:r>
        <w:rPr>
          <w:rFonts w:ascii="Arial" w:eastAsia="Arial" w:hAnsi="Arial" w:cs="Arial"/>
          <w:b/>
          <w:i/>
          <w:color w:val="202020"/>
        </w:rPr>
        <w:t xml:space="preserve">Real </w:t>
      </w:r>
      <w:r>
        <w:rPr>
          <w:rFonts w:ascii="Arial" w:eastAsia="Arial" w:hAnsi="Arial" w:cs="Arial"/>
          <w:b/>
          <w:i/>
        </w:rPr>
        <w:t xml:space="preserve">Decreto 887/2006 de 21 de julio, por el que se aprueba el Reglamento de </w:t>
      </w:r>
    </w:p>
    <w:p w:rsidR="00FF384B" w:rsidRDefault="003E3BA9">
      <w:pPr>
        <w:spacing w:after="172" w:line="247" w:lineRule="auto"/>
        <w:ind w:left="268" w:right="239"/>
        <w:jc w:val="both"/>
      </w:pPr>
      <w:r>
        <w:rPr>
          <w:rFonts w:ascii="Arial" w:eastAsia="Arial" w:hAnsi="Arial" w:cs="Arial"/>
          <w:b/>
          <w:i/>
        </w:rPr>
        <w:t xml:space="preserve">la Ley 38/2003, de 17 </w:t>
      </w:r>
      <w:r>
        <w:rPr>
          <w:rFonts w:ascii="Arial" w:eastAsia="Arial" w:hAnsi="Arial" w:cs="Arial"/>
          <w:b/>
          <w:i/>
        </w:rPr>
        <w:t>de noviembre, General de Subvenciones</w:t>
      </w:r>
      <w:r>
        <w:rPr>
          <w:sz w:val="26"/>
        </w:rPr>
        <w:t xml:space="preserve"> </w:t>
      </w:r>
    </w:p>
    <w:p w:rsidR="00FF384B" w:rsidRDefault="003E3BA9">
      <w:pPr>
        <w:spacing w:after="143" w:line="248" w:lineRule="auto"/>
        <w:ind w:left="268" w:right="244" w:firstLine="360"/>
        <w:jc w:val="both"/>
      </w:pPr>
      <w:r>
        <w:rPr>
          <w:rFonts w:ascii="Arial" w:eastAsia="Arial" w:hAnsi="Arial" w:cs="Arial"/>
          <w:i/>
          <w:color w:val="202020"/>
        </w:rPr>
        <w:t>Esta Ordenanza General de subvenciones, trata de ser el marco normativo de referencia de casi la totalidad de las subvenciones municipales de muy variada tipología y diferentes objetivos concedidas anualmente: desde l</w:t>
      </w:r>
      <w:r>
        <w:rPr>
          <w:rFonts w:ascii="Arial" w:eastAsia="Arial" w:hAnsi="Arial" w:cs="Arial"/>
          <w:i/>
          <w:color w:val="202020"/>
        </w:rPr>
        <w:t xml:space="preserve">as subvenciones de carácter social, al apoyo a los clubes deportivos, o el funcionamiento de una parte importante de la estructura asociativa y vecinal de la ciudad. </w:t>
      </w:r>
    </w:p>
    <w:p w:rsidR="00FF384B" w:rsidRDefault="003E3BA9">
      <w:pPr>
        <w:spacing w:after="143" w:line="248" w:lineRule="auto"/>
        <w:ind w:left="268" w:right="244" w:firstLine="360"/>
        <w:jc w:val="both"/>
      </w:pPr>
      <w:r>
        <w:rPr>
          <w:rFonts w:ascii="Arial" w:eastAsia="Arial" w:hAnsi="Arial" w:cs="Arial"/>
          <w:i/>
          <w:color w:val="202020"/>
        </w:rPr>
        <w:t>En cuanto a los aspectos técnicos, se propone una redacción que incluye dentro de la Orde</w:t>
      </w:r>
      <w:r>
        <w:rPr>
          <w:rFonts w:ascii="Arial" w:eastAsia="Arial" w:hAnsi="Arial" w:cs="Arial"/>
          <w:i/>
          <w:color w:val="202020"/>
        </w:rPr>
        <w:t xml:space="preserve">nanza la remisión en muchos aspectos ya regulados en la legislación estatal y autonómica, que en todo caso resultarán aplicables a las subvenciones municipales. </w:t>
      </w:r>
    </w:p>
    <w:p w:rsidR="00FF384B" w:rsidRDefault="003E3BA9">
      <w:pPr>
        <w:spacing w:after="131"/>
        <w:ind w:left="643"/>
      </w:pPr>
      <w:r>
        <w:rPr>
          <w:rFonts w:ascii="Arial" w:eastAsia="Arial" w:hAnsi="Arial" w:cs="Arial"/>
          <w:i/>
          <w:color w:val="202020"/>
        </w:rPr>
        <w:t xml:space="preserve"> </w:t>
      </w:r>
    </w:p>
    <w:p w:rsidR="00FF384B" w:rsidRDefault="003E3BA9">
      <w:pPr>
        <w:spacing w:after="9" w:line="249" w:lineRule="auto"/>
        <w:ind w:left="278" w:right="240" w:hanging="10"/>
        <w:jc w:val="both"/>
      </w:pPr>
      <w:r>
        <w:rPr>
          <w:rFonts w:ascii="Arial" w:eastAsia="Arial" w:hAnsi="Arial" w:cs="Arial"/>
          <w:b/>
          <w:i/>
          <w:color w:val="202020"/>
        </w:rPr>
        <w:t xml:space="preserve">TÍTULO PRIMERO. DISPOSICIONES GENERALES </w:t>
      </w:r>
    </w:p>
    <w:p w:rsidR="00FF384B" w:rsidRDefault="003E3BA9">
      <w:pPr>
        <w:spacing w:after="0"/>
        <w:ind w:left="283"/>
      </w:pPr>
      <w:r>
        <w:rPr>
          <w:rFonts w:ascii="Arial" w:eastAsia="Arial" w:hAnsi="Arial" w:cs="Arial"/>
          <w:b/>
          <w:i/>
          <w:color w:val="202020"/>
        </w:rPr>
        <w:t xml:space="preserve"> </w:t>
      </w:r>
    </w:p>
    <w:p w:rsidR="00FF384B" w:rsidRDefault="003E3BA9">
      <w:pPr>
        <w:spacing w:after="140" w:line="249" w:lineRule="auto"/>
        <w:ind w:left="278" w:right="240" w:hanging="10"/>
        <w:jc w:val="both"/>
      </w:pPr>
      <w:r>
        <w:rPr>
          <w:rFonts w:ascii="Arial" w:eastAsia="Arial" w:hAnsi="Arial" w:cs="Arial"/>
          <w:b/>
          <w:i/>
          <w:color w:val="202020"/>
        </w:rPr>
        <w:t xml:space="preserve">CAPÍTULO I. Objeto, concepto de subvención y ámbito subjetivo de aplicación. </w:t>
      </w:r>
    </w:p>
    <w:p w:rsidR="00FF384B" w:rsidRDefault="003E3BA9">
      <w:pPr>
        <w:spacing w:after="140" w:line="249" w:lineRule="auto"/>
        <w:ind w:left="278" w:right="240" w:hanging="10"/>
        <w:jc w:val="both"/>
      </w:pPr>
      <w:r>
        <w:rPr>
          <w:rFonts w:ascii="Arial" w:eastAsia="Arial" w:hAnsi="Arial" w:cs="Arial"/>
          <w:b/>
          <w:i/>
          <w:color w:val="202020"/>
        </w:rPr>
        <w:t xml:space="preserve">Artículo 1. Objeto de la ordenanza y concepto de subvención. </w:t>
      </w:r>
    </w:p>
    <w:p w:rsidR="00FF384B" w:rsidRDefault="003E3BA9">
      <w:pPr>
        <w:numPr>
          <w:ilvl w:val="0"/>
          <w:numId w:val="185"/>
        </w:numPr>
        <w:spacing w:after="143" w:line="248" w:lineRule="auto"/>
        <w:ind w:right="244" w:hanging="10"/>
        <w:jc w:val="both"/>
      </w:pPr>
      <w:r>
        <w:rPr>
          <w:rFonts w:ascii="Arial" w:eastAsia="Arial" w:hAnsi="Arial" w:cs="Arial"/>
          <w:i/>
          <w:color w:val="202020"/>
        </w:rPr>
        <w:t>Esta Ordenanza tiene por objeto la regulación del régimen jurídico general y las bases reguladoras de las subvencion</w:t>
      </w:r>
      <w:r>
        <w:rPr>
          <w:rFonts w:ascii="Arial" w:eastAsia="Arial" w:hAnsi="Arial" w:cs="Arial"/>
          <w:i/>
          <w:color w:val="202020"/>
        </w:rPr>
        <w:t xml:space="preserve">es otorgadas por el Ayuntamiento de Candelaria. </w:t>
      </w:r>
    </w:p>
    <w:p w:rsidR="00FF384B" w:rsidRDefault="003E3BA9">
      <w:pPr>
        <w:numPr>
          <w:ilvl w:val="0"/>
          <w:numId w:val="185"/>
        </w:numPr>
        <w:spacing w:after="143" w:line="248" w:lineRule="auto"/>
        <w:ind w:right="244" w:hanging="10"/>
        <w:jc w:val="both"/>
      </w:pPr>
      <w:r>
        <w:rPr>
          <w:noProof/>
        </w:rPr>
        <mc:AlternateContent>
          <mc:Choice Requires="wpg">
            <w:drawing>
              <wp:anchor distT="0" distB="0" distL="114300" distR="114300" simplePos="0" relativeHeight="2518138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7027" name="Group 46702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072" name="Picture 29072"/>
                          <pic:cNvPicPr/>
                        </pic:nvPicPr>
                        <pic:blipFill>
                          <a:blip r:embed="rId62"/>
                          <a:stretch>
                            <a:fillRect/>
                          </a:stretch>
                        </pic:blipFill>
                        <pic:spPr>
                          <a:xfrm rot="-5399999">
                            <a:off x="-1720849" y="1720849"/>
                            <a:ext cx="3797300" cy="355601"/>
                          </a:xfrm>
                          <a:prstGeom prst="rect">
                            <a:avLst/>
                          </a:prstGeom>
                        </pic:spPr>
                      </pic:pic>
                      <wps:wsp>
                        <wps:cNvPr id="29073" name="Rectangle 2907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074" name="Rectangle 2907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7027" style="width:41.2715pt;height:299pt;position:absolute;mso-position-horizontal-relative:page;mso-position-horizontal:absolute;margin-left:653.71pt;mso-position-vertical-relative:page;margin-top:512.92pt;" coordsize="5241,37973">
                <v:shape id="Picture 29072" style="position:absolute;width:37973;height:3556;left:-17208;top:17208;rotation:-89;" filled="f">
                  <v:imagedata r:id="rId63"/>
                </v:shape>
                <v:rect id="Rectangle 2907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07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353 </w:t>
                        </w:r>
                      </w:p>
                    </w:txbxContent>
                  </v:textbox>
                </v:rect>
                <w10:wrap type="square"/>
              </v:group>
            </w:pict>
          </mc:Fallback>
        </mc:AlternateContent>
      </w:r>
      <w:r>
        <w:rPr>
          <w:rFonts w:ascii="Arial" w:eastAsia="Arial" w:hAnsi="Arial" w:cs="Arial"/>
          <w:i/>
          <w:color w:val="202020"/>
        </w:rPr>
        <w:t>Se entien</w:t>
      </w:r>
      <w:r>
        <w:rPr>
          <w:rFonts w:ascii="Arial" w:eastAsia="Arial" w:hAnsi="Arial" w:cs="Arial"/>
          <w:i/>
          <w:color w:val="202020"/>
        </w:rPr>
        <w:t>de por subvención, a los efectos de esta Ordenanza, toda disposición dineraria realizada por el Ayuntamiento de Candelaria, con cargo al Presupuesto General, a favor de personas públicas o privadas, o entes sin personalidad jurídica, que cumplan los requis</w:t>
      </w:r>
      <w:r>
        <w:rPr>
          <w:rFonts w:ascii="Arial" w:eastAsia="Arial" w:hAnsi="Arial" w:cs="Arial"/>
          <w:i/>
          <w:color w:val="202020"/>
        </w:rPr>
        <w:t xml:space="preserve">itos legalmente establecidos, a saber:  </w:t>
      </w:r>
    </w:p>
    <w:p w:rsidR="00FF384B" w:rsidRDefault="003E3BA9">
      <w:pPr>
        <w:numPr>
          <w:ilvl w:val="0"/>
          <w:numId w:val="186"/>
        </w:numPr>
        <w:spacing w:after="143" w:line="248" w:lineRule="auto"/>
        <w:ind w:right="244" w:hanging="257"/>
        <w:jc w:val="both"/>
      </w:pPr>
      <w:r>
        <w:rPr>
          <w:rFonts w:ascii="Arial" w:eastAsia="Arial" w:hAnsi="Arial" w:cs="Arial"/>
          <w:i/>
          <w:color w:val="202020"/>
        </w:rPr>
        <w:t xml:space="preserve">Que la entrega se realice sin contraprestación directa de los beneficiarios.   </w:t>
      </w:r>
    </w:p>
    <w:p w:rsidR="00FF384B" w:rsidRDefault="003E3BA9">
      <w:pPr>
        <w:numPr>
          <w:ilvl w:val="0"/>
          <w:numId w:val="186"/>
        </w:numPr>
        <w:spacing w:after="143" w:line="248" w:lineRule="auto"/>
        <w:ind w:right="244" w:hanging="257"/>
        <w:jc w:val="both"/>
      </w:pPr>
      <w:r>
        <w:rPr>
          <w:rFonts w:ascii="Arial" w:eastAsia="Arial" w:hAnsi="Arial" w:cs="Arial"/>
          <w:i/>
          <w:color w:val="202020"/>
        </w:rPr>
        <w:t>Que la entrega esté sujeta al cumplimiento de un determinado objetivo, la ejecución de un proyecto, la realización de una actividad, la</w:t>
      </w:r>
      <w:r>
        <w:rPr>
          <w:rFonts w:ascii="Arial" w:eastAsia="Arial" w:hAnsi="Arial" w:cs="Arial"/>
          <w:i/>
          <w:color w:val="202020"/>
        </w:rPr>
        <w:t xml:space="preserve"> adopción de un comportamiento singular, ya realizados o por desarrollar, o la concurrencia de una situación, debiendo el beneficiario cumplir las obligaciones materiales y formales que se hubieran establecido.    c) Que el proyecto, la acción, conducta o </w:t>
      </w:r>
      <w:r>
        <w:rPr>
          <w:rFonts w:ascii="Arial" w:eastAsia="Arial" w:hAnsi="Arial" w:cs="Arial"/>
          <w:i/>
          <w:color w:val="202020"/>
        </w:rPr>
        <w:t xml:space="preserve">situación financiada tenga por objeto el fomento de una actividad de utilidad pública o interés social o de promoción de una finalidad pública.   </w:t>
      </w:r>
    </w:p>
    <w:p w:rsidR="00FF384B" w:rsidRDefault="003E3BA9">
      <w:pPr>
        <w:spacing w:after="140" w:line="249" w:lineRule="auto"/>
        <w:ind w:left="278" w:right="240" w:hanging="10"/>
        <w:jc w:val="both"/>
      </w:pPr>
      <w:r>
        <w:rPr>
          <w:rFonts w:ascii="Arial" w:eastAsia="Arial" w:hAnsi="Arial" w:cs="Arial"/>
          <w:b/>
          <w:i/>
          <w:color w:val="202020"/>
        </w:rPr>
        <w:t xml:space="preserve">Artículo 2. Ámbito subjetivo de aplicación. </w:t>
      </w:r>
    </w:p>
    <w:p w:rsidR="00FF384B" w:rsidRDefault="003E3BA9">
      <w:pPr>
        <w:numPr>
          <w:ilvl w:val="0"/>
          <w:numId w:val="187"/>
        </w:numPr>
        <w:spacing w:after="143" w:line="248" w:lineRule="auto"/>
        <w:ind w:right="244" w:hanging="247"/>
        <w:jc w:val="both"/>
      </w:pPr>
      <w:r>
        <w:rPr>
          <w:rFonts w:ascii="Arial" w:eastAsia="Arial" w:hAnsi="Arial" w:cs="Arial"/>
          <w:i/>
          <w:color w:val="202020"/>
        </w:rPr>
        <w:t>Esta ordenanza será de aplicación a las subvenciones otorgadas p</w:t>
      </w:r>
      <w:r>
        <w:rPr>
          <w:rFonts w:ascii="Arial" w:eastAsia="Arial" w:hAnsi="Arial" w:cs="Arial"/>
          <w:i/>
          <w:color w:val="202020"/>
        </w:rPr>
        <w:t xml:space="preserve">or el Ayuntamiento de Candelaria. </w:t>
      </w:r>
    </w:p>
    <w:p w:rsidR="00FF384B" w:rsidRDefault="003E3BA9">
      <w:pPr>
        <w:numPr>
          <w:ilvl w:val="0"/>
          <w:numId w:val="187"/>
        </w:numPr>
        <w:spacing w:after="143" w:line="248" w:lineRule="auto"/>
        <w:ind w:right="244" w:hanging="247"/>
        <w:jc w:val="both"/>
      </w:pPr>
      <w:r>
        <w:rPr>
          <w:rFonts w:ascii="Arial" w:eastAsia="Arial" w:hAnsi="Arial" w:cs="Arial"/>
          <w:i/>
          <w:color w:val="202020"/>
        </w:rPr>
        <w:t xml:space="preserve">No están comprendidas en el ámbito de aplicación de esta ordenanza: </w:t>
      </w:r>
    </w:p>
    <w:p w:rsidR="00FF384B" w:rsidRDefault="003E3BA9">
      <w:pPr>
        <w:numPr>
          <w:ilvl w:val="1"/>
          <w:numId w:val="187"/>
        </w:numPr>
        <w:spacing w:after="92" w:line="248" w:lineRule="auto"/>
        <w:ind w:right="244" w:hanging="259"/>
        <w:jc w:val="both"/>
      </w:pPr>
      <w:r>
        <w:rPr>
          <w:rFonts w:ascii="Arial" w:eastAsia="Arial" w:hAnsi="Arial" w:cs="Arial"/>
          <w:i/>
          <w:color w:val="202020"/>
        </w:rPr>
        <w:t>Las aportaciones dinerarias entre el Ayuntamiento y otras Administraciones públicas para financiar globalmente la actividad de la administración a la qu</w:t>
      </w:r>
      <w:r>
        <w:rPr>
          <w:rFonts w:ascii="Arial" w:eastAsia="Arial" w:hAnsi="Arial" w:cs="Arial"/>
          <w:i/>
          <w:color w:val="202020"/>
        </w:rPr>
        <w:t xml:space="preserve">e vayan destinadas. </w:t>
      </w:r>
    </w:p>
    <w:p w:rsidR="00FF384B" w:rsidRDefault="003E3BA9">
      <w:pPr>
        <w:numPr>
          <w:ilvl w:val="1"/>
          <w:numId w:val="187"/>
        </w:numPr>
        <w:spacing w:after="92" w:line="248" w:lineRule="auto"/>
        <w:ind w:right="244" w:hanging="259"/>
        <w:jc w:val="both"/>
      </w:pPr>
      <w:r>
        <w:rPr>
          <w:rFonts w:ascii="Arial" w:eastAsia="Arial" w:hAnsi="Arial" w:cs="Arial"/>
          <w:i/>
          <w:color w:val="202020"/>
        </w:rPr>
        <w:t xml:space="preserve">Las aportaciones del Ayuntamiento a sus organismos públicos y otros entes dependientes de derecho privado, cuya finalidad sea financiar la actividad de cada ente en el ámbito propio de sus competencias. </w:t>
      </w:r>
    </w:p>
    <w:p w:rsidR="00FF384B" w:rsidRDefault="003E3BA9">
      <w:pPr>
        <w:numPr>
          <w:ilvl w:val="1"/>
          <w:numId w:val="187"/>
        </w:numPr>
        <w:spacing w:after="90" w:line="249" w:lineRule="auto"/>
        <w:ind w:right="244" w:hanging="259"/>
        <w:jc w:val="both"/>
      </w:pPr>
      <w:r>
        <w:rPr>
          <w:rFonts w:ascii="Arial" w:eastAsia="Arial" w:hAnsi="Arial" w:cs="Arial"/>
          <w:i/>
          <w:color w:val="202020"/>
        </w:rPr>
        <w:t xml:space="preserve">Las aportaciones dinerarias a la fundación en la que participe el Ayuntamiento. </w:t>
      </w:r>
    </w:p>
    <w:p w:rsidR="00FF384B" w:rsidRDefault="003E3BA9">
      <w:pPr>
        <w:numPr>
          <w:ilvl w:val="1"/>
          <w:numId w:val="187"/>
        </w:numPr>
        <w:spacing w:after="88" w:line="249" w:lineRule="auto"/>
        <w:ind w:right="244" w:hanging="259"/>
        <w:jc w:val="both"/>
      </w:pPr>
      <w:r>
        <w:rPr>
          <w:rFonts w:ascii="Arial" w:eastAsia="Arial" w:hAnsi="Arial" w:cs="Arial"/>
          <w:i/>
          <w:color w:val="202020"/>
        </w:rPr>
        <w:t xml:space="preserve">Las aportaciones presupuestarias a los grupos políticos municipales. </w:t>
      </w:r>
    </w:p>
    <w:p w:rsidR="00FF384B" w:rsidRDefault="003E3BA9">
      <w:pPr>
        <w:numPr>
          <w:ilvl w:val="1"/>
          <w:numId w:val="187"/>
        </w:numPr>
        <w:spacing w:after="89" w:line="248" w:lineRule="auto"/>
        <w:ind w:right="244" w:hanging="259"/>
        <w:jc w:val="both"/>
      </w:pPr>
      <w:r>
        <w:rPr>
          <w:rFonts w:ascii="Arial" w:eastAsia="Arial" w:hAnsi="Arial" w:cs="Arial"/>
          <w:i/>
          <w:color w:val="202020"/>
        </w:rPr>
        <w:t xml:space="preserve">Los premios que se otorguen sin la previa solicitud del beneficiario. </w:t>
      </w:r>
    </w:p>
    <w:p w:rsidR="00FF384B" w:rsidRDefault="003E3BA9">
      <w:pPr>
        <w:numPr>
          <w:ilvl w:val="1"/>
          <w:numId w:val="187"/>
        </w:numPr>
        <w:spacing w:after="291" w:line="248" w:lineRule="auto"/>
        <w:ind w:right="244" w:hanging="259"/>
        <w:jc w:val="both"/>
      </w:pPr>
      <w:r>
        <w:rPr>
          <w:rFonts w:ascii="Arial" w:eastAsia="Arial" w:hAnsi="Arial" w:cs="Arial"/>
          <w:i/>
          <w:color w:val="202020"/>
        </w:rPr>
        <w:t xml:space="preserve">Las ayudas de urgencia de carácter social, cuyo otorgamiento se regirá por su normativa específica. </w:t>
      </w:r>
    </w:p>
    <w:p w:rsidR="00FF384B" w:rsidRDefault="003E3BA9">
      <w:pPr>
        <w:spacing w:after="140" w:line="249" w:lineRule="auto"/>
        <w:ind w:left="278" w:right="240" w:hanging="10"/>
        <w:jc w:val="both"/>
      </w:pPr>
      <w:r>
        <w:rPr>
          <w:rFonts w:ascii="Arial" w:eastAsia="Arial" w:hAnsi="Arial" w:cs="Arial"/>
          <w:b/>
          <w:i/>
          <w:color w:val="202020"/>
        </w:rPr>
        <w:t xml:space="preserve">CAPÍTULO II. Régimen jurídico. </w:t>
      </w:r>
    </w:p>
    <w:p w:rsidR="00FF384B" w:rsidRDefault="003E3BA9">
      <w:pPr>
        <w:spacing w:after="140" w:line="249" w:lineRule="auto"/>
        <w:ind w:left="278" w:right="240" w:hanging="10"/>
        <w:jc w:val="both"/>
      </w:pPr>
      <w:r>
        <w:rPr>
          <w:rFonts w:ascii="Arial" w:eastAsia="Arial" w:hAnsi="Arial" w:cs="Arial"/>
          <w:b/>
          <w:i/>
          <w:color w:val="202020"/>
        </w:rPr>
        <w:t xml:space="preserve">Artículo 3. Régimen jurídico. </w:t>
      </w:r>
    </w:p>
    <w:p w:rsidR="00FF384B" w:rsidRDefault="003E3BA9">
      <w:pPr>
        <w:spacing w:after="143" w:line="248" w:lineRule="auto"/>
        <w:ind w:left="278" w:right="244" w:hanging="10"/>
        <w:jc w:val="both"/>
      </w:pPr>
      <w:r>
        <w:rPr>
          <w:rFonts w:ascii="Arial" w:eastAsia="Arial" w:hAnsi="Arial" w:cs="Arial"/>
          <w:i/>
          <w:color w:val="202020"/>
        </w:rPr>
        <w:t>1. Las subvenciones se regirán por las prescripciones contenidas en esta Ordenanza, por la n</w:t>
      </w:r>
      <w:r>
        <w:rPr>
          <w:rFonts w:ascii="Arial" w:eastAsia="Arial" w:hAnsi="Arial" w:cs="Arial"/>
          <w:i/>
          <w:color w:val="202020"/>
        </w:rPr>
        <w:t>ormativa de Subvenciones de Canarias, y sus disposiciones de desarrollo, por la normativa básica estatal en esta materia, por las bases de ejecución del presupuesto municipal y normas de derecho administrativo que resulten de aplicación. 2. Las convocatori</w:t>
      </w:r>
      <w:r>
        <w:rPr>
          <w:rFonts w:ascii="Arial" w:eastAsia="Arial" w:hAnsi="Arial" w:cs="Arial"/>
          <w:i/>
          <w:color w:val="202020"/>
        </w:rPr>
        <w:t xml:space="preserve">as deberán ajustarse a lo previsto en el párrafo anterior. </w:t>
      </w:r>
    </w:p>
    <w:p w:rsidR="00FF384B" w:rsidRDefault="003E3BA9">
      <w:pPr>
        <w:spacing w:after="294" w:line="248" w:lineRule="auto"/>
        <w:ind w:left="278" w:right="244" w:hanging="10"/>
        <w:jc w:val="both"/>
      </w:pPr>
      <w:r>
        <w:rPr>
          <w:rFonts w:ascii="Arial" w:eastAsia="Arial" w:hAnsi="Arial" w:cs="Arial"/>
          <w:i/>
          <w:color w:val="202020"/>
        </w:rPr>
        <w:t>3. Las subvenciones financiadas total o parcialmente con cargo a fondos de la Unión Europea, se regirán por las normas comunitarias vigentes y por la legislación y normativa que le sea de aplicaci</w:t>
      </w:r>
      <w:r>
        <w:rPr>
          <w:rFonts w:ascii="Arial" w:eastAsia="Arial" w:hAnsi="Arial" w:cs="Arial"/>
          <w:i/>
          <w:color w:val="202020"/>
        </w:rPr>
        <w:t xml:space="preserve">ón en cada caso. </w:t>
      </w:r>
    </w:p>
    <w:p w:rsidR="00FF384B" w:rsidRDefault="003E3BA9">
      <w:pPr>
        <w:spacing w:after="140" w:line="249" w:lineRule="auto"/>
        <w:ind w:left="278" w:right="240" w:hanging="10"/>
        <w:jc w:val="both"/>
      </w:pPr>
      <w:r>
        <w:rPr>
          <w:rFonts w:ascii="Arial" w:eastAsia="Arial" w:hAnsi="Arial" w:cs="Arial"/>
          <w:b/>
          <w:i/>
          <w:color w:val="202020"/>
        </w:rPr>
        <w:t xml:space="preserve">CAPÍTULO III. Principios generales. </w:t>
      </w:r>
    </w:p>
    <w:p w:rsidR="00FF384B" w:rsidRDefault="003E3BA9">
      <w:pPr>
        <w:spacing w:after="140" w:line="249" w:lineRule="auto"/>
        <w:ind w:left="278" w:right="240" w:hanging="10"/>
        <w:jc w:val="both"/>
      </w:pPr>
      <w:r>
        <w:rPr>
          <w:rFonts w:ascii="Arial" w:eastAsia="Arial" w:hAnsi="Arial" w:cs="Arial"/>
          <w:b/>
          <w:i/>
          <w:color w:val="202020"/>
        </w:rPr>
        <w:t xml:space="preserve">Artículo 4. Principios generales.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8149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7610" name="Group 46761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210" name="Picture 29210"/>
                          <pic:cNvPicPr/>
                        </pic:nvPicPr>
                        <pic:blipFill>
                          <a:blip r:embed="rId62"/>
                          <a:stretch>
                            <a:fillRect/>
                          </a:stretch>
                        </pic:blipFill>
                        <pic:spPr>
                          <a:xfrm rot="-5399999">
                            <a:off x="-1720849" y="1720849"/>
                            <a:ext cx="3797300" cy="355601"/>
                          </a:xfrm>
                          <a:prstGeom prst="rect">
                            <a:avLst/>
                          </a:prstGeom>
                        </pic:spPr>
                      </pic:pic>
                      <wps:wsp>
                        <wps:cNvPr id="29211" name="Rectangle 2921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212" name="Rectangle 2921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7610" style="width:41.2715pt;height:299pt;position:absolute;mso-position-horizontal-relative:page;mso-position-horizontal:absolute;margin-left:653.71pt;mso-position-vertical-relative:page;margin-top:512.92pt;" coordsize="5241,37973">
                <v:shape id="Picture 29210" style="position:absolute;width:37973;height:3556;left:-17208;top:17208;rotation:-89;" filled="f">
                  <v:imagedata r:id="rId63"/>
                </v:shape>
                <v:rect id="Rectangle 292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2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353 </w:t>
                        </w:r>
                      </w:p>
                    </w:txbxContent>
                  </v:textbox>
                </v:rect>
                <w10:wrap type="square"/>
              </v:group>
            </w:pict>
          </mc:Fallback>
        </mc:AlternateContent>
      </w:r>
      <w:r>
        <w:rPr>
          <w:rFonts w:ascii="Arial" w:eastAsia="Arial" w:hAnsi="Arial" w:cs="Arial"/>
          <w:i/>
          <w:color w:val="202020"/>
        </w:rPr>
        <w:t xml:space="preserve">La gestión de las subvenciones a que se refiere esta ordenanza se hará de acuerdo con los siguientes principios: </w:t>
      </w:r>
    </w:p>
    <w:p w:rsidR="00FF384B" w:rsidRDefault="003E3BA9">
      <w:pPr>
        <w:numPr>
          <w:ilvl w:val="0"/>
          <w:numId w:val="188"/>
        </w:numPr>
        <w:spacing w:after="93" w:line="248" w:lineRule="auto"/>
        <w:ind w:right="244" w:hanging="360"/>
        <w:jc w:val="both"/>
      </w:pPr>
      <w:r>
        <w:rPr>
          <w:rFonts w:ascii="Arial" w:eastAsia="Arial" w:hAnsi="Arial" w:cs="Arial"/>
          <w:i/>
          <w:color w:val="202020"/>
        </w:rPr>
        <w:t>a) Publicidad, transparencia, concurrencia, obj</w:t>
      </w:r>
      <w:r>
        <w:rPr>
          <w:rFonts w:ascii="Arial" w:eastAsia="Arial" w:hAnsi="Arial" w:cs="Arial"/>
          <w:i/>
          <w:color w:val="202020"/>
        </w:rPr>
        <w:t xml:space="preserve">etividad, igualdad y no discriminación. </w:t>
      </w:r>
    </w:p>
    <w:p w:rsidR="00FF384B" w:rsidRDefault="003E3BA9">
      <w:pPr>
        <w:numPr>
          <w:ilvl w:val="0"/>
          <w:numId w:val="188"/>
        </w:numPr>
        <w:spacing w:after="93" w:line="248" w:lineRule="auto"/>
        <w:ind w:right="244" w:hanging="360"/>
        <w:jc w:val="both"/>
      </w:pPr>
      <w:r>
        <w:rPr>
          <w:rFonts w:ascii="Arial" w:eastAsia="Arial" w:hAnsi="Arial" w:cs="Arial"/>
          <w:i/>
          <w:color w:val="202020"/>
        </w:rPr>
        <w:t xml:space="preserve">b) Eficacia en el cumplimiento de los objetivos fijados por la Administración otorgante. </w:t>
      </w:r>
    </w:p>
    <w:p w:rsidR="00FF384B" w:rsidRDefault="003E3BA9">
      <w:pPr>
        <w:numPr>
          <w:ilvl w:val="0"/>
          <w:numId w:val="188"/>
        </w:numPr>
        <w:spacing w:after="143" w:line="248" w:lineRule="auto"/>
        <w:ind w:right="244" w:hanging="360"/>
        <w:jc w:val="both"/>
      </w:pPr>
      <w:r>
        <w:rPr>
          <w:rFonts w:ascii="Arial" w:eastAsia="Arial" w:hAnsi="Arial" w:cs="Arial"/>
          <w:i/>
          <w:color w:val="202020"/>
        </w:rPr>
        <w:t xml:space="preserve">c) Eficiencia en la asignación y utilización de los recursos públicos. </w:t>
      </w:r>
    </w:p>
    <w:p w:rsidR="00FF384B" w:rsidRDefault="003E3BA9">
      <w:pPr>
        <w:spacing w:after="140" w:line="249" w:lineRule="auto"/>
        <w:ind w:left="278" w:right="240" w:hanging="10"/>
        <w:jc w:val="both"/>
      </w:pPr>
      <w:r>
        <w:rPr>
          <w:rFonts w:ascii="Arial" w:eastAsia="Arial" w:hAnsi="Arial" w:cs="Arial"/>
          <w:b/>
          <w:i/>
          <w:color w:val="202020"/>
        </w:rPr>
        <w:t xml:space="preserve">Artículo 5. Plan Estratégico de Subvenciones. </w:t>
      </w:r>
    </w:p>
    <w:p w:rsidR="00FF384B" w:rsidRDefault="003E3BA9">
      <w:pPr>
        <w:numPr>
          <w:ilvl w:val="0"/>
          <w:numId w:val="189"/>
        </w:numPr>
        <w:spacing w:after="143" w:line="248" w:lineRule="auto"/>
        <w:ind w:right="244" w:hanging="247"/>
        <w:jc w:val="both"/>
      </w:pPr>
      <w:r>
        <w:rPr>
          <w:rFonts w:ascii="Arial" w:eastAsia="Arial" w:hAnsi="Arial" w:cs="Arial"/>
          <w:i/>
          <w:color w:val="202020"/>
        </w:rPr>
        <w:t>El Pla</w:t>
      </w:r>
      <w:r>
        <w:rPr>
          <w:rFonts w:ascii="Arial" w:eastAsia="Arial" w:hAnsi="Arial" w:cs="Arial"/>
          <w:i/>
          <w:color w:val="202020"/>
        </w:rPr>
        <w:t>n Estratégico de Subvenciones, que será único para el propio Ayuntamiento y en el que se establecerán los objetivos y efectos que se pretende con su aplicación, el plazo necesario para su consecución, los costes previsibles y sus fuentes de financiación, s</w:t>
      </w:r>
      <w:r>
        <w:rPr>
          <w:rFonts w:ascii="Arial" w:eastAsia="Arial" w:hAnsi="Arial" w:cs="Arial"/>
          <w:i/>
          <w:color w:val="202020"/>
        </w:rPr>
        <w:t xml:space="preserve">upeditándose al cumplimiento de los objetivos de estabilidad presupuestaria, contendrá todas las subvenciones de previsible ejecución, que estarán incluidas dentro de las respectivas líneas de subvención.  </w:t>
      </w:r>
    </w:p>
    <w:p w:rsidR="00FF384B" w:rsidRDefault="003E3BA9">
      <w:pPr>
        <w:numPr>
          <w:ilvl w:val="0"/>
          <w:numId w:val="189"/>
        </w:numPr>
        <w:spacing w:after="143" w:line="248" w:lineRule="auto"/>
        <w:ind w:right="244" w:hanging="247"/>
        <w:jc w:val="both"/>
      </w:pPr>
      <w:r>
        <w:rPr>
          <w:rFonts w:ascii="Arial" w:eastAsia="Arial" w:hAnsi="Arial" w:cs="Arial"/>
          <w:i/>
          <w:color w:val="202020"/>
        </w:rPr>
        <w:t>El Plan Estratégico tendrá un periodo de vigencia</w:t>
      </w:r>
      <w:r>
        <w:rPr>
          <w:rFonts w:ascii="Arial" w:eastAsia="Arial" w:hAnsi="Arial" w:cs="Arial"/>
          <w:i/>
          <w:color w:val="202020"/>
        </w:rPr>
        <w:t xml:space="preserve"> de 4 años, salvo que por la naturaleza de las actuaciones a las que atiendan sea necesario un plazo mayor, circunstancia que será debidamente motivada en el propio documento. No obstante, el Plan estratégico será revisado anualmente, incorporando en el mi</w:t>
      </w:r>
      <w:r>
        <w:rPr>
          <w:rFonts w:ascii="Arial" w:eastAsia="Arial" w:hAnsi="Arial" w:cs="Arial"/>
          <w:i/>
          <w:color w:val="202020"/>
        </w:rPr>
        <w:t xml:space="preserve">smo las aplicaciones económicas fijadas en el Presupuesto municipal aprobado. </w:t>
      </w:r>
    </w:p>
    <w:p w:rsidR="00FF384B" w:rsidRDefault="003E3BA9">
      <w:pPr>
        <w:numPr>
          <w:ilvl w:val="0"/>
          <w:numId w:val="189"/>
        </w:numPr>
        <w:spacing w:after="143" w:line="248" w:lineRule="auto"/>
        <w:ind w:right="244" w:hanging="247"/>
        <w:jc w:val="both"/>
      </w:pPr>
      <w:r>
        <w:rPr>
          <w:rFonts w:ascii="Arial" w:eastAsia="Arial" w:hAnsi="Arial" w:cs="Arial"/>
          <w:i/>
          <w:color w:val="202020"/>
        </w:rPr>
        <w:t xml:space="preserve">El Plan estratégico de Subvenciones tendrá, al menos, el siguiente contenido: </w:t>
      </w:r>
    </w:p>
    <w:p w:rsidR="00FF384B" w:rsidRDefault="003E3BA9">
      <w:pPr>
        <w:numPr>
          <w:ilvl w:val="1"/>
          <w:numId w:val="189"/>
        </w:numPr>
        <w:spacing w:after="74" w:line="248" w:lineRule="auto"/>
        <w:ind w:right="244" w:hanging="360"/>
        <w:jc w:val="both"/>
      </w:pPr>
      <w:r>
        <w:rPr>
          <w:rFonts w:ascii="Arial" w:eastAsia="Arial" w:hAnsi="Arial" w:cs="Arial"/>
          <w:i/>
          <w:color w:val="202020"/>
        </w:rPr>
        <w:t>Las líneas estratégicas de subvención para cada sector de actividad, con sus objetivos específicos</w:t>
      </w:r>
      <w:r>
        <w:rPr>
          <w:rFonts w:ascii="Arial" w:eastAsia="Arial" w:hAnsi="Arial" w:cs="Arial"/>
          <w:i/>
          <w:color w:val="202020"/>
        </w:rPr>
        <w:t xml:space="preserve"> y efectos que se pretenden conseguir y el plazo necesario.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i/>
          <w:color w:val="202020"/>
        </w:rPr>
        <w:t xml:space="preserve">Los costes de realización y las fuentes de financiación. </w:t>
      </w:r>
    </w:p>
    <w:p w:rsidR="00FF384B" w:rsidRDefault="003E3BA9">
      <w:pPr>
        <w:numPr>
          <w:ilvl w:val="1"/>
          <w:numId w:val="189"/>
        </w:numPr>
        <w:spacing w:after="93" w:line="248" w:lineRule="auto"/>
        <w:ind w:right="244" w:hanging="360"/>
        <w:jc w:val="both"/>
      </w:pPr>
      <w:r>
        <w:rPr>
          <w:rFonts w:ascii="Arial" w:eastAsia="Arial" w:hAnsi="Arial" w:cs="Arial"/>
          <w:i/>
          <w:color w:val="202020"/>
        </w:rPr>
        <w:t xml:space="preserve">Las líneas básicas de las bases reguladoras de la concesión de subvenciones, establecidas en la presente Ordenanza. </w:t>
      </w:r>
    </w:p>
    <w:p w:rsidR="00FF384B" w:rsidRDefault="003E3BA9">
      <w:pPr>
        <w:numPr>
          <w:ilvl w:val="1"/>
          <w:numId w:val="189"/>
        </w:numPr>
        <w:spacing w:after="81" w:line="248" w:lineRule="auto"/>
        <w:ind w:right="244" w:hanging="360"/>
        <w:jc w:val="both"/>
      </w:pPr>
      <w:r>
        <w:rPr>
          <w:rFonts w:ascii="Arial" w:eastAsia="Arial" w:hAnsi="Arial" w:cs="Arial"/>
          <w:i/>
          <w:color w:val="202020"/>
        </w:rPr>
        <w:t xml:space="preserve">El régimen de seguimiento y evaluación de la actividad subvencional. </w:t>
      </w:r>
    </w:p>
    <w:p w:rsidR="00FF384B" w:rsidRDefault="003E3BA9">
      <w:pPr>
        <w:numPr>
          <w:ilvl w:val="1"/>
          <w:numId w:val="189"/>
        </w:numPr>
        <w:spacing w:after="92" w:line="248" w:lineRule="auto"/>
        <w:ind w:right="244" w:hanging="360"/>
        <w:jc w:val="both"/>
      </w:pPr>
      <w:r>
        <w:rPr>
          <w:rFonts w:ascii="Arial" w:eastAsia="Arial" w:hAnsi="Arial" w:cs="Arial"/>
          <w:i/>
          <w:color w:val="202020"/>
        </w:rPr>
        <w:t xml:space="preserve">Las líneas específicas incluidas en cada línea estratégica o en cada sector de actividad, con el régimen de concesión directa o concurrencia competitiva- de cada una de ellas. </w:t>
      </w:r>
    </w:p>
    <w:p w:rsidR="00FF384B" w:rsidRDefault="003E3BA9">
      <w:pPr>
        <w:numPr>
          <w:ilvl w:val="0"/>
          <w:numId w:val="189"/>
        </w:numPr>
        <w:spacing w:after="143" w:line="248" w:lineRule="auto"/>
        <w:ind w:right="244" w:hanging="247"/>
        <w:jc w:val="both"/>
      </w:pPr>
      <w:r>
        <w:rPr>
          <w:rFonts w:ascii="Arial" w:eastAsia="Arial" w:hAnsi="Arial" w:cs="Arial"/>
          <w:i/>
          <w:color w:val="202020"/>
        </w:rPr>
        <w:t>Mesa técn</w:t>
      </w:r>
      <w:r>
        <w:rPr>
          <w:rFonts w:ascii="Arial" w:eastAsia="Arial" w:hAnsi="Arial" w:cs="Arial"/>
          <w:i/>
          <w:color w:val="202020"/>
        </w:rPr>
        <w:t>ica de Subvenciones sectorial. Para el seguimiento y evaluación del Plan Estratégico de Subvenciones, podrá procederse a la creación de una Mesa técnica para cada Concejalía, que se constituirá como Comisión de Seguimiento, en la que se integrará un repres</w:t>
      </w:r>
      <w:r>
        <w:rPr>
          <w:rFonts w:ascii="Arial" w:eastAsia="Arial" w:hAnsi="Arial" w:cs="Arial"/>
          <w:i/>
          <w:color w:val="202020"/>
        </w:rPr>
        <w:t xml:space="preserve">entante de cada Área y la Intervención de Fondos. </w:t>
      </w:r>
    </w:p>
    <w:p w:rsidR="00FF384B" w:rsidRDefault="003E3BA9">
      <w:pPr>
        <w:numPr>
          <w:ilvl w:val="0"/>
          <w:numId w:val="189"/>
        </w:numPr>
        <w:spacing w:after="143" w:line="248" w:lineRule="auto"/>
        <w:ind w:right="244" w:hanging="247"/>
        <w:jc w:val="both"/>
      </w:pPr>
      <w:r>
        <w:rPr>
          <w:rFonts w:ascii="Arial" w:eastAsia="Arial" w:hAnsi="Arial" w:cs="Arial"/>
          <w:i/>
          <w:color w:val="202020"/>
        </w:rPr>
        <w:t>Dentro de los 6 primeros meses de cada ejercicio, a propuesta de la Intervención municipal, dará cuenta al Pleno de una Memoria de las subvenciones concedidas durante el ejercicio anterior que, en todo cas</w:t>
      </w:r>
      <w:r>
        <w:rPr>
          <w:rFonts w:ascii="Arial" w:eastAsia="Arial" w:hAnsi="Arial" w:cs="Arial"/>
          <w:i/>
          <w:color w:val="202020"/>
        </w:rPr>
        <w:t xml:space="preserve">o, contendrá: </w:t>
      </w:r>
    </w:p>
    <w:p w:rsidR="00FF384B" w:rsidRDefault="003E3BA9">
      <w:pPr>
        <w:numPr>
          <w:ilvl w:val="2"/>
          <w:numId w:val="190"/>
        </w:numPr>
        <w:spacing w:after="92" w:line="248" w:lineRule="auto"/>
        <w:ind w:right="244" w:hanging="10"/>
        <w:jc w:val="both"/>
      </w:pPr>
      <w:r>
        <w:rPr>
          <w:rFonts w:ascii="Arial" w:eastAsia="Arial" w:hAnsi="Arial" w:cs="Arial"/>
          <w:i/>
          <w:color w:val="202020"/>
        </w:rPr>
        <w:t xml:space="preserve">Informe de la ejecución presupuestaria de las aplicaciones del Presupuesto destinadas a subvenciones. </w:t>
      </w:r>
    </w:p>
    <w:p w:rsidR="00FF384B" w:rsidRDefault="003E3BA9">
      <w:pPr>
        <w:numPr>
          <w:ilvl w:val="2"/>
          <w:numId w:val="190"/>
        </w:numPr>
        <w:spacing w:after="92" w:line="248" w:lineRule="auto"/>
        <w:ind w:right="244" w:hanging="10"/>
        <w:jc w:val="both"/>
      </w:pPr>
      <w:r>
        <w:rPr>
          <w:rFonts w:ascii="Arial" w:eastAsia="Arial" w:hAnsi="Arial" w:cs="Arial"/>
          <w:i/>
          <w:color w:val="202020"/>
        </w:rPr>
        <w:t xml:space="preserve">Relación detallada de todas las subvenciones concedidas así como de su importe en cada uno de los programas de subvenciones establecidos. </w:t>
      </w:r>
    </w:p>
    <w:p w:rsidR="00FF384B" w:rsidRDefault="003E3BA9">
      <w:pPr>
        <w:numPr>
          <w:ilvl w:val="2"/>
          <w:numId w:val="190"/>
        </w:numPr>
        <w:spacing w:after="143" w:line="248" w:lineRule="auto"/>
        <w:ind w:right="244" w:hanging="10"/>
        <w:jc w:val="both"/>
      </w:pPr>
      <w:r>
        <w:rPr>
          <w:noProof/>
        </w:rPr>
        <mc:AlternateContent>
          <mc:Choice Requires="wpg">
            <w:drawing>
              <wp:anchor distT="0" distB="0" distL="114300" distR="114300" simplePos="0" relativeHeight="2518159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8014" name="Group 46801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368" name="Picture 29368"/>
                          <pic:cNvPicPr/>
                        </pic:nvPicPr>
                        <pic:blipFill>
                          <a:blip r:embed="rId62"/>
                          <a:stretch>
                            <a:fillRect/>
                          </a:stretch>
                        </pic:blipFill>
                        <pic:spPr>
                          <a:xfrm rot="-5399999">
                            <a:off x="-1720849" y="1720849"/>
                            <a:ext cx="3797300" cy="355601"/>
                          </a:xfrm>
                          <a:prstGeom prst="rect">
                            <a:avLst/>
                          </a:prstGeom>
                        </pic:spPr>
                      </pic:pic>
                      <wps:wsp>
                        <wps:cNvPr id="29369" name="Rectangle 2936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370" name="Rectangle 2937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8014" style="width:41.2715pt;height:299pt;position:absolute;mso-position-horizontal-relative:page;mso-position-horizontal:absolute;margin-left:653.71pt;mso-position-vertical-relative:page;margin-top:512.92pt;" coordsize="5241,37973">
                <v:shape id="Picture 29368" style="position:absolute;width:37973;height:3556;left:-17208;top:17208;rotation:-89;" filled="f">
                  <v:imagedata r:id="rId63"/>
                </v:shape>
                <v:rect id="Rectangle 2936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37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353 </w:t>
                        </w:r>
                      </w:p>
                    </w:txbxContent>
                  </v:textbox>
                </v:rect>
                <w10:wrap type="square"/>
              </v:group>
            </w:pict>
          </mc:Fallback>
        </mc:AlternateContent>
      </w:r>
      <w:r>
        <w:rPr>
          <w:rFonts w:ascii="Arial" w:eastAsia="Arial" w:hAnsi="Arial" w:cs="Arial"/>
          <w:i/>
          <w:color w:val="202020"/>
        </w:rPr>
        <w:t xml:space="preserve">Evaluación de las Líneas estratégicas establecidas en el Plan estratégico de Subvenciones con el grado de cumplimiento de los distintos objetivos fijados en el mismo. </w:t>
      </w:r>
    </w:p>
    <w:p w:rsidR="00FF384B" w:rsidRDefault="003E3BA9">
      <w:pPr>
        <w:spacing w:after="129"/>
        <w:ind w:left="283"/>
      </w:pPr>
      <w:r>
        <w:rPr>
          <w:rFonts w:ascii="Arial" w:eastAsia="Arial" w:hAnsi="Arial" w:cs="Arial"/>
          <w:i/>
          <w:color w:val="202020"/>
        </w:rPr>
        <w:t xml:space="preserve"> </w:t>
      </w:r>
    </w:p>
    <w:p w:rsidR="00FF384B" w:rsidRDefault="003E3BA9">
      <w:pPr>
        <w:spacing w:after="140" w:line="249" w:lineRule="auto"/>
        <w:ind w:left="278" w:right="240" w:hanging="10"/>
        <w:jc w:val="both"/>
      </w:pPr>
      <w:r>
        <w:rPr>
          <w:rFonts w:ascii="Arial" w:eastAsia="Arial" w:hAnsi="Arial" w:cs="Arial"/>
          <w:b/>
          <w:i/>
          <w:color w:val="202020"/>
        </w:rPr>
        <w:t xml:space="preserve">Artículo 6. Régimen jurídico y convocatorias de las subvenciones. </w:t>
      </w:r>
    </w:p>
    <w:p w:rsidR="00FF384B" w:rsidRDefault="003E3BA9">
      <w:pPr>
        <w:numPr>
          <w:ilvl w:val="0"/>
          <w:numId w:val="191"/>
        </w:numPr>
        <w:spacing w:after="143" w:line="248" w:lineRule="auto"/>
        <w:ind w:right="244" w:hanging="10"/>
        <w:jc w:val="both"/>
      </w:pPr>
      <w:r>
        <w:rPr>
          <w:rFonts w:ascii="Arial" w:eastAsia="Arial" w:hAnsi="Arial" w:cs="Arial"/>
          <w:i/>
          <w:color w:val="202020"/>
        </w:rPr>
        <w:t xml:space="preserve">Las subvenciones municipales del Ayuntamiento de Candelaria, se regularán por lo establecido en la presente Ordenanza, que constituye la normativa y las bases reguladoras generales que establecen y desarrollan el régimen jurídico de las subvenciones. </w:t>
      </w:r>
    </w:p>
    <w:p w:rsidR="00FF384B" w:rsidRDefault="003E3BA9">
      <w:pPr>
        <w:numPr>
          <w:ilvl w:val="0"/>
          <w:numId w:val="191"/>
        </w:numPr>
        <w:spacing w:after="143" w:line="248" w:lineRule="auto"/>
        <w:ind w:right="244" w:hanging="10"/>
        <w:jc w:val="both"/>
      </w:pPr>
      <w:r>
        <w:rPr>
          <w:rFonts w:ascii="Arial" w:eastAsia="Arial" w:hAnsi="Arial" w:cs="Arial"/>
          <w:i/>
          <w:color w:val="202020"/>
        </w:rPr>
        <w:t>Cada</w:t>
      </w:r>
      <w:r>
        <w:rPr>
          <w:rFonts w:ascii="Arial" w:eastAsia="Arial" w:hAnsi="Arial" w:cs="Arial"/>
          <w:i/>
          <w:color w:val="202020"/>
        </w:rPr>
        <w:t xml:space="preserve"> Concejalía delegada es el órgano competente para la aprobación de las convocatorias de las subvenciones que puedan otorgar los órganos de la administración municipal, en el marco de las bases de ejecución del presupuesto y a través de esta Ordenanza gener</w:t>
      </w:r>
      <w:r>
        <w:rPr>
          <w:rFonts w:ascii="Arial" w:eastAsia="Arial" w:hAnsi="Arial" w:cs="Arial"/>
          <w:i/>
          <w:color w:val="202020"/>
        </w:rPr>
        <w:t xml:space="preserve">al de subvenciones. </w:t>
      </w:r>
    </w:p>
    <w:p w:rsidR="00FF384B" w:rsidRDefault="003E3BA9">
      <w:pPr>
        <w:numPr>
          <w:ilvl w:val="0"/>
          <w:numId w:val="191"/>
        </w:numPr>
        <w:spacing w:after="143" w:line="248" w:lineRule="auto"/>
        <w:ind w:right="244" w:hanging="10"/>
        <w:jc w:val="both"/>
      </w:pPr>
      <w:r>
        <w:rPr>
          <w:rFonts w:ascii="Arial" w:eastAsia="Arial" w:hAnsi="Arial" w:cs="Arial"/>
          <w:i/>
          <w:color w:val="202020"/>
        </w:rPr>
        <w:t xml:space="preserve">Las convocatorias estarán sujetas a sistema de publicación legalmente establecido, así como al sistema de control interno que se acuerde. </w:t>
      </w:r>
    </w:p>
    <w:p w:rsidR="00FF384B" w:rsidRDefault="003E3BA9">
      <w:pPr>
        <w:spacing w:after="140" w:line="249" w:lineRule="auto"/>
        <w:ind w:left="278" w:right="240" w:hanging="10"/>
        <w:jc w:val="both"/>
      </w:pPr>
      <w:r>
        <w:rPr>
          <w:rFonts w:ascii="Arial" w:eastAsia="Arial" w:hAnsi="Arial" w:cs="Arial"/>
          <w:b/>
          <w:i/>
          <w:color w:val="202020"/>
        </w:rPr>
        <w:t xml:space="preserve">Artículo 7. Contenido de las convocatorias de las subvenciones. </w:t>
      </w:r>
    </w:p>
    <w:p w:rsidR="00FF384B" w:rsidRDefault="003E3BA9">
      <w:pPr>
        <w:numPr>
          <w:ilvl w:val="0"/>
          <w:numId w:val="192"/>
        </w:numPr>
        <w:spacing w:after="143" w:line="248" w:lineRule="auto"/>
        <w:ind w:right="244" w:hanging="10"/>
        <w:jc w:val="both"/>
      </w:pPr>
      <w:r>
        <w:rPr>
          <w:rFonts w:ascii="Arial" w:eastAsia="Arial" w:hAnsi="Arial" w:cs="Arial"/>
          <w:i/>
          <w:color w:val="202020"/>
        </w:rPr>
        <w:t>Las convocatorias de subvencion</w:t>
      </w:r>
      <w:r>
        <w:rPr>
          <w:rFonts w:ascii="Arial" w:eastAsia="Arial" w:hAnsi="Arial" w:cs="Arial"/>
          <w:i/>
          <w:color w:val="202020"/>
        </w:rPr>
        <w:t xml:space="preserve">es tendrán, como contenido mínimo, el regulado en el artículo 14.5 de la </w:t>
      </w:r>
      <w:r>
        <w:rPr>
          <w:rFonts w:ascii="Arial" w:eastAsia="Arial" w:hAnsi="Arial" w:cs="Arial"/>
          <w:i/>
        </w:rPr>
        <w:t>Decreto 36/2009, de 31 de marzo, por el que se establece el régimen general de subvenciones de la Comunidad Autónoma de Canarias</w:t>
      </w:r>
      <w:r>
        <w:rPr>
          <w:rFonts w:ascii="Arial" w:eastAsia="Arial" w:hAnsi="Arial" w:cs="Arial"/>
          <w:i/>
          <w:color w:val="202020"/>
        </w:rPr>
        <w:t xml:space="preserve"> y lo establecido en la presente Ordenanza, procedimien</w:t>
      </w:r>
      <w:r>
        <w:rPr>
          <w:rFonts w:ascii="Arial" w:eastAsia="Arial" w:hAnsi="Arial" w:cs="Arial"/>
          <w:i/>
          <w:color w:val="202020"/>
        </w:rPr>
        <w:t>to de concesión establecido en la misma, así como en su caso, la aplicación del procedimiento simplificado o la modalidad elegida en el caso de subvenciones nominativas.</w:t>
      </w:r>
      <w:r>
        <w:rPr>
          <w:rFonts w:ascii="Times New Roman" w:eastAsia="Times New Roman" w:hAnsi="Times New Roman" w:cs="Times New Roman"/>
          <w:sz w:val="24"/>
        </w:rPr>
        <w:t xml:space="preserve"> </w:t>
      </w:r>
    </w:p>
    <w:p w:rsidR="00FF384B" w:rsidRDefault="003E3BA9">
      <w:pPr>
        <w:numPr>
          <w:ilvl w:val="0"/>
          <w:numId w:val="192"/>
        </w:numPr>
        <w:spacing w:after="294" w:line="248" w:lineRule="auto"/>
        <w:ind w:right="244" w:hanging="10"/>
        <w:jc w:val="both"/>
      </w:pPr>
      <w:r>
        <w:rPr>
          <w:rFonts w:ascii="Arial" w:eastAsia="Arial" w:hAnsi="Arial" w:cs="Arial"/>
          <w:i/>
          <w:color w:val="202020"/>
        </w:rPr>
        <w:t>Las convocatorias deberán de adaptarse al contenido mínimo establecido en el Anexo de</w:t>
      </w:r>
      <w:r>
        <w:rPr>
          <w:rFonts w:ascii="Arial" w:eastAsia="Arial" w:hAnsi="Arial" w:cs="Arial"/>
          <w:i/>
          <w:color w:val="202020"/>
        </w:rPr>
        <w:t xml:space="preserve"> la presente Ordenanza. </w:t>
      </w:r>
    </w:p>
    <w:p w:rsidR="00FF384B" w:rsidRDefault="003E3BA9">
      <w:pPr>
        <w:spacing w:after="245" w:line="248" w:lineRule="auto"/>
        <w:ind w:left="278" w:right="244" w:hanging="10"/>
        <w:jc w:val="both"/>
      </w:pPr>
      <w:r>
        <w:rPr>
          <w:rFonts w:ascii="Arial" w:eastAsia="Arial" w:hAnsi="Arial" w:cs="Arial"/>
          <w:i/>
          <w:color w:val="202020"/>
        </w:rPr>
        <w:t>TÍTULO SEGUNDO. BENEFICIARIOS Y ENTIDADES COLABORADORAS.</w:t>
      </w:r>
      <w:r>
        <w:rPr>
          <w:sz w:val="26"/>
        </w:rPr>
        <w:t xml:space="preserve"> </w:t>
      </w:r>
    </w:p>
    <w:p w:rsidR="00FF384B" w:rsidRDefault="003E3BA9">
      <w:pPr>
        <w:spacing w:after="2" w:line="381" w:lineRule="auto"/>
        <w:ind w:left="278" w:right="244" w:hanging="10"/>
        <w:jc w:val="both"/>
      </w:pPr>
      <w:r>
        <w:rPr>
          <w:rFonts w:ascii="Arial" w:eastAsia="Arial" w:hAnsi="Arial" w:cs="Arial"/>
          <w:i/>
          <w:color w:val="202020"/>
        </w:rPr>
        <w:t xml:space="preserve">CAPÍTULO I. De los beneficiarios. Requisitos y obligaciones. Entidades colaboradoras. </w:t>
      </w:r>
      <w:r>
        <w:rPr>
          <w:rFonts w:ascii="Arial" w:eastAsia="Arial" w:hAnsi="Arial" w:cs="Arial"/>
          <w:color w:val="202020"/>
        </w:rPr>
        <w:t xml:space="preserve">Artículo 8. Beneficiarios. </w:t>
      </w:r>
    </w:p>
    <w:p w:rsidR="00FF384B" w:rsidRDefault="003E3BA9">
      <w:pPr>
        <w:numPr>
          <w:ilvl w:val="0"/>
          <w:numId w:val="193"/>
        </w:numPr>
        <w:spacing w:after="143" w:line="248" w:lineRule="auto"/>
        <w:ind w:right="244" w:hanging="10"/>
        <w:jc w:val="both"/>
      </w:pPr>
      <w:r>
        <w:rPr>
          <w:rFonts w:ascii="Arial" w:eastAsia="Arial" w:hAnsi="Arial" w:cs="Arial"/>
          <w:i/>
          <w:color w:val="202020"/>
        </w:rPr>
        <w:t xml:space="preserve">Tendrá la consideración de beneficiario de subvenciones la </w:t>
      </w:r>
      <w:r>
        <w:rPr>
          <w:rFonts w:ascii="Arial" w:eastAsia="Arial" w:hAnsi="Arial" w:cs="Arial"/>
          <w:i/>
          <w:color w:val="202020"/>
        </w:rPr>
        <w:t xml:space="preserve">persona física o jurídica que haya de realizar la actividad que fundamentó su otorgamiento o que se encuentre en la situación que legitima su concesión. </w:t>
      </w:r>
    </w:p>
    <w:p w:rsidR="00FF384B" w:rsidRDefault="003E3BA9">
      <w:pPr>
        <w:numPr>
          <w:ilvl w:val="0"/>
          <w:numId w:val="193"/>
        </w:numPr>
        <w:spacing w:after="143" w:line="248" w:lineRule="auto"/>
        <w:ind w:right="244" w:hanging="10"/>
        <w:jc w:val="both"/>
      </w:pPr>
      <w:r>
        <w:rPr>
          <w:rFonts w:ascii="Arial" w:eastAsia="Arial" w:hAnsi="Arial" w:cs="Arial"/>
          <w:i/>
          <w:color w:val="202020"/>
        </w:rPr>
        <w:t>Cuando el beneficiario sea una persona jurídica, los miembros asociados del beneficiario que se comprometan a efectuar la totalidad o parte de las actividades que fundamentan la concesión de la subvención en nombre y por cuenta del primero tendrán igualmen</w:t>
      </w:r>
      <w:r>
        <w:rPr>
          <w:rFonts w:ascii="Arial" w:eastAsia="Arial" w:hAnsi="Arial" w:cs="Arial"/>
          <w:i/>
          <w:color w:val="202020"/>
        </w:rPr>
        <w:t xml:space="preserve">te la consideración de beneficiarios. </w:t>
      </w:r>
    </w:p>
    <w:p w:rsidR="00FF384B" w:rsidRDefault="003E3BA9">
      <w:pPr>
        <w:numPr>
          <w:ilvl w:val="0"/>
          <w:numId w:val="193"/>
        </w:numPr>
        <w:spacing w:after="143" w:line="248" w:lineRule="auto"/>
        <w:ind w:right="244" w:hanging="10"/>
        <w:jc w:val="both"/>
      </w:pPr>
      <w:r>
        <w:rPr>
          <w:noProof/>
        </w:rPr>
        <mc:AlternateContent>
          <mc:Choice Requires="wpg">
            <w:drawing>
              <wp:anchor distT="0" distB="0" distL="114300" distR="114300" simplePos="0" relativeHeight="2518169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8418" name="Group 46841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509" name="Picture 29509"/>
                          <pic:cNvPicPr/>
                        </pic:nvPicPr>
                        <pic:blipFill>
                          <a:blip r:embed="rId62"/>
                          <a:stretch>
                            <a:fillRect/>
                          </a:stretch>
                        </pic:blipFill>
                        <pic:spPr>
                          <a:xfrm rot="-5399999">
                            <a:off x="-1720849" y="1720849"/>
                            <a:ext cx="3797300" cy="355601"/>
                          </a:xfrm>
                          <a:prstGeom prst="rect">
                            <a:avLst/>
                          </a:prstGeom>
                        </pic:spPr>
                      </pic:pic>
                      <wps:wsp>
                        <wps:cNvPr id="29510" name="Rectangle 2951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511" name="Rectangle 2951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8418" style="width:41.2715pt;height:299pt;position:absolute;mso-position-horizontal-relative:page;mso-position-horizontal:absolute;margin-left:653.71pt;mso-position-vertical-relative:page;margin-top:512.92pt;" coordsize="5241,37973">
                <v:shape id="Picture 29509" style="position:absolute;width:37973;height:3556;left:-17208;top:17208;rotation:-89;" filled="f">
                  <v:imagedata r:id="rId63"/>
                </v:shape>
                <v:rect id="Rectangle 2951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51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353 </w:t>
                        </w:r>
                      </w:p>
                    </w:txbxContent>
                  </v:textbox>
                </v:rect>
                <w10:wrap type="square"/>
              </v:group>
            </w:pict>
          </mc:Fallback>
        </mc:AlternateContent>
      </w:r>
      <w:r>
        <w:rPr>
          <w:rFonts w:ascii="Arial" w:eastAsia="Arial" w:hAnsi="Arial" w:cs="Arial"/>
          <w:i/>
          <w:color w:val="202020"/>
        </w:rPr>
        <w:t>Cuando se prevea ex</w:t>
      </w:r>
      <w:r>
        <w:rPr>
          <w:rFonts w:ascii="Arial" w:eastAsia="Arial" w:hAnsi="Arial" w:cs="Arial"/>
          <w:i/>
          <w:color w:val="202020"/>
        </w:rPr>
        <w:t>presamente en las convocatorias, podrán acceder a la condición de beneficiario las agrupaciones de personas físicas o jurídicas, públicas o privadas, las comunidades de bienes o cualquier otro tipo de unidad económica o patrimonio separado que, aun carecie</w:t>
      </w:r>
      <w:r>
        <w:rPr>
          <w:rFonts w:ascii="Arial" w:eastAsia="Arial" w:hAnsi="Arial" w:cs="Arial"/>
          <w:i/>
          <w:color w:val="202020"/>
        </w:rPr>
        <w:t xml:space="preserve">ndo de personalidad jurídica, puedan llevar a cabo los proyectos, actividades o comportamientos o se encuentren en la situación que motiva la concesión de la subvención. </w:t>
      </w:r>
    </w:p>
    <w:p w:rsidR="00FF384B" w:rsidRDefault="003E3BA9">
      <w:pPr>
        <w:spacing w:after="142" w:line="248" w:lineRule="auto"/>
        <w:ind w:left="278" w:right="244" w:hanging="10"/>
        <w:jc w:val="both"/>
      </w:pPr>
      <w:r>
        <w:rPr>
          <w:rFonts w:ascii="Arial" w:eastAsia="Arial" w:hAnsi="Arial" w:cs="Arial"/>
          <w:color w:val="202020"/>
        </w:rPr>
        <w:t xml:space="preserve">Artículo 9. Entidades colaboradoras. </w:t>
      </w:r>
    </w:p>
    <w:p w:rsidR="00FF384B" w:rsidRDefault="003E3BA9">
      <w:pPr>
        <w:numPr>
          <w:ilvl w:val="0"/>
          <w:numId w:val="194"/>
        </w:numPr>
        <w:spacing w:after="143" w:line="248" w:lineRule="auto"/>
        <w:ind w:right="244" w:hanging="10"/>
        <w:jc w:val="both"/>
      </w:pPr>
      <w:r>
        <w:rPr>
          <w:rFonts w:ascii="Arial" w:eastAsia="Arial" w:hAnsi="Arial" w:cs="Arial"/>
          <w:i/>
          <w:color w:val="202020"/>
        </w:rPr>
        <w:t>Será entidad colaboradora aquella que, actuando</w:t>
      </w:r>
      <w:r>
        <w:rPr>
          <w:rFonts w:ascii="Arial" w:eastAsia="Arial" w:hAnsi="Arial" w:cs="Arial"/>
          <w:i/>
          <w:color w:val="202020"/>
        </w:rPr>
        <w:t xml:space="preserve"> en nombre y por cuenta del órgano concedente, a todos los efectos relacionados con la subvención, entregue y distribuya los fondos públicos a los beneficiarios, o colabore en la gestión de la subvención, sin que se produzca la previa entrega y distribució</w:t>
      </w:r>
      <w:r>
        <w:rPr>
          <w:rFonts w:ascii="Arial" w:eastAsia="Arial" w:hAnsi="Arial" w:cs="Arial"/>
          <w:i/>
          <w:color w:val="202020"/>
        </w:rPr>
        <w:t xml:space="preserve">n de los fondos recibidos. Estos fondos, en ningún caso, se considerarán integrantes de su patrimonio. </w:t>
      </w:r>
    </w:p>
    <w:p w:rsidR="00FF384B" w:rsidRDefault="003E3BA9">
      <w:pPr>
        <w:spacing w:after="143" w:line="248" w:lineRule="auto"/>
        <w:ind w:left="278" w:right="244" w:hanging="10"/>
        <w:jc w:val="both"/>
      </w:pPr>
      <w:r>
        <w:rPr>
          <w:rFonts w:ascii="Arial" w:eastAsia="Arial" w:hAnsi="Arial" w:cs="Arial"/>
          <w:i/>
          <w:color w:val="202020"/>
        </w:rPr>
        <w:t>Igualmente tendrán esta condición los que habiendo sido denominados beneficiarios conforme a la normativa comunitaria, tengan encomendadas exclusivament</w:t>
      </w:r>
      <w:r>
        <w:rPr>
          <w:rFonts w:ascii="Arial" w:eastAsia="Arial" w:hAnsi="Arial" w:cs="Arial"/>
          <w:i/>
          <w:color w:val="202020"/>
        </w:rPr>
        <w:t xml:space="preserve">e las funciones enumeradas en el párrafo anterior. </w:t>
      </w:r>
    </w:p>
    <w:p w:rsidR="00FF384B" w:rsidRDefault="003E3BA9">
      <w:pPr>
        <w:numPr>
          <w:ilvl w:val="0"/>
          <w:numId w:val="194"/>
        </w:numPr>
        <w:spacing w:after="143" w:line="248" w:lineRule="auto"/>
        <w:ind w:right="244" w:hanging="10"/>
        <w:jc w:val="both"/>
      </w:pPr>
      <w:r>
        <w:rPr>
          <w:rFonts w:ascii="Arial" w:eastAsia="Arial" w:hAnsi="Arial" w:cs="Arial"/>
          <w:i/>
          <w:color w:val="202020"/>
        </w:rPr>
        <w:t>Podrán ser consideradas entidades colaboradoras, los organismos y demás entes de derecho público dependientes del Ayuntamiento, las sociedades mercantiles participadas íntegra o mayoritariamente por el mi</w:t>
      </w:r>
      <w:r>
        <w:rPr>
          <w:rFonts w:ascii="Arial" w:eastAsia="Arial" w:hAnsi="Arial" w:cs="Arial"/>
          <w:i/>
          <w:color w:val="202020"/>
        </w:rPr>
        <w:t>smo y las asociaciones a que se refiere la disposición adicional quinta de la Ley 7/1985, de 2 de abril, reguladora de las Bases de Régimen Local, modificada por la Ley 57/2003, de 16 de diciembre, de Medidas para la Modernización del Gobierno Local, y por</w:t>
      </w:r>
      <w:r>
        <w:rPr>
          <w:rFonts w:ascii="Arial" w:eastAsia="Arial" w:hAnsi="Arial" w:cs="Arial"/>
          <w:i/>
          <w:color w:val="202020"/>
        </w:rPr>
        <w:t xml:space="preserve"> la Ley 27/2013, de 27 de diciembre, de racionalización y sostenibilidad de la Administración Local, así como las demás personas jurídicas públicas o privadas que reúnan las condiciones de solvencia y eficacia que se establezcan. </w:t>
      </w:r>
    </w:p>
    <w:p w:rsidR="00FF384B" w:rsidRDefault="003E3BA9">
      <w:pPr>
        <w:numPr>
          <w:ilvl w:val="0"/>
          <w:numId w:val="194"/>
        </w:numPr>
        <w:spacing w:after="143" w:line="248" w:lineRule="auto"/>
        <w:ind w:right="244" w:hanging="10"/>
        <w:jc w:val="both"/>
      </w:pPr>
      <w:r>
        <w:rPr>
          <w:rFonts w:ascii="Arial" w:eastAsia="Arial" w:hAnsi="Arial" w:cs="Arial"/>
          <w:i/>
          <w:color w:val="202020"/>
        </w:rPr>
        <w:t>El Ayuntamiento de Candel</w:t>
      </w:r>
      <w:r>
        <w:rPr>
          <w:rFonts w:ascii="Arial" w:eastAsia="Arial" w:hAnsi="Arial" w:cs="Arial"/>
          <w:i/>
          <w:color w:val="202020"/>
        </w:rPr>
        <w:t>aria podrá actuar como entidad colaboradora de las subvenciones concedidas por la Administración General del Estado, la Administración de la Comunidad Autónoma de Canarias, así como sus respectivos organismos públicos y demás entes que tengan que ajustar s</w:t>
      </w:r>
      <w:r>
        <w:rPr>
          <w:rFonts w:ascii="Arial" w:eastAsia="Arial" w:hAnsi="Arial" w:cs="Arial"/>
          <w:i/>
          <w:color w:val="202020"/>
        </w:rPr>
        <w:t>u actividad al derecho público. De igual forma, y en los mismos términos, la Administración General del Estado, la Administración de la Comunidad Autónoma de Canarias y sus respectivos organismos públicos, podrán actuar como entidades colaboradoras respect</w:t>
      </w:r>
      <w:r>
        <w:rPr>
          <w:rFonts w:ascii="Arial" w:eastAsia="Arial" w:hAnsi="Arial" w:cs="Arial"/>
          <w:i/>
          <w:color w:val="202020"/>
        </w:rPr>
        <w:t xml:space="preserve">o de las subvenciones concedidas por el Ayuntamiento de Candelaria y sus entes dependientes. </w:t>
      </w:r>
    </w:p>
    <w:p w:rsidR="00FF384B" w:rsidRDefault="003E3BA9">
      <w:pPr>
        <w:spacing w:after="142" w:line="248" w:lineRule="auto"/>
        <w:ind w:left="278" w:right="244" w:hanging="10"/>
        <w:jc w:val="both"/>
      </w:pPr>
      <w:r>
        <w:rPr>
          <w:rFonts w:ascii="Arial" w:eastAsia="Arial" w:hAnsi="Arial" w:cs="Arial"/>
          <w:color w:val="202020"/>
        </w:rPr>
        <w:t xml:space="preserve">Artículo 10. Requisitos para obtener la condición de beneficiario o entidad colaboradora. </w:t>
      </w:r>
    </w:p>
    <w:p w:rsidR="00FF384B" w:rsidRDefault="003E3BA9">
      <w:pPr>
        <w:numPr>
          <w:ilvl w:val="0"/>
          <w:numId w:val="195"/>
        </w:numPr>
        <w:spacing w:after="143" w:line="248" w:lineRule="auto"/>
        <w:ind w:right="244" w:hanging="10"/>
        <w:jc w:val="both"/>
      </w:pPr>
      <w:r>
        <w:rPr>
          <w:rFonts w:ascii="Arial" w:eastAsia="Arial" w:hAnsi="Arial" w:cs="Arial"/>
          <w:i/>
          <w:color w:val="202020"/>
        </w:rPr>
        <w:t>Podrán obtener la condición de beneficiario o entidad colaboradora, las</w:t>
      </w:r>
      <w:r>
        <w:rPr>
          <w:rFonts w:ascii="Arial" w:eastAsia="Arial" w:hAnsi="Arial" w:cs="Arial"/>
          <w:i/>
          <w:color w:val="202020"/>
        </w:rPr>
        <w:t xml:space="preserve"> personas o entidades que se encuentren en la situación que fundamenta la concesión de la subvención o en las que concurran las circunstancias previstas en la convocatoria. </w:t>
      </w:r>
    </w:p>
    <w:p w:rsidR="00FF384B" w:rsidRDefault="003E3BA9">
      <w:pPr>
        <w:numPr>
          <w:ilvl w:val="0"/>
          <w:numId w:val="195"/>
        </w:numPr>
        <w:spacing w:after="143" w:line="248" w:lineRule="auto"/>
        <w:ind w:right="244" w:hanging="10"/>
        <w:jc w:val="both"/>
      </w:pPr>
      <w:r>
        <w:rPr>
          <w:rFonts w:ascii="Arial" w:eastAsia="Arial" w:hAnsi="Arial" w:cs="Arial"/>
          <w:i/>
          <w:color w:val="202020"/>
        </w:rPr>
        <w:t>No podrán obtener la condición de beneficiario o entidad colaboradora de las subve</w:t>
      </w:r>
      <w:r>
        <w:rPr>
          <w:rFonts w:ascii="Arial" w:eastAsia="Arial" w:hAnsi="Arial" w:cs="Arial"/>
          <w:i/>
          <w:color w:val="202020"/>
        </w:rPr>
        <w:t xml:space="preserve">nciones reguladas en esta Ordenanza, las personas o entidades en quienes concurra alguna de las circunstancias previstas en la legislación vigente, salvo que por la naturaleza de la subvención se exceptúe por su normativa reguladora. </w:t>
      </w:r>
    </w:p>
    <w:p w:rsidR="00FF384B" w:rsidRDefault="003E3BA9">
      <w:pPr>
        <w:numPr>
          <w:ilvl w:val="1"/>
          <w:numId w:val="195"/>
        </w:numPr>
        <w:spacing w:after="92" w:line="248" w:lineRule="auto"/>
        <w:ind w:right="244" w:hanging="10"/>
        <w:jc w:val="both"/>
      </w:pPr>
      <w:r>
        <w:rPr>
          <w:rFonts w:ascii="Arial" w:eastAsia="Arial" w:hAnsi="Arial" w:cs="Arial"/>
          <w:i/>
          <w:color w:val="202020"/>
        </w:rPr>
        <w:t>Haber sido condenados mediante sentencia firme a la pena de pérdida de la posibilidad de obtener subvenciones o ayudas públicas o por delitos de prevaricación, cohecho, malversación de caudales públicos, tráfico de influencias, fraudes y exacciones ilegale</w:t>
      </w:r>
      <w:r>
        <w:rPr>
          <w:rFonts w:ascii="Arial" w:eastAsia="Arial" w:hAnsi="Arial" w:cs="Arial"/>
          <w:i/>
          <w:color w:val="202020"/>
        </w:rPr>
        <w:t xml:space="preserve">s o delitos urbanísticos. </w:t>
      </w:r>
    </w:p>
    <w:p w:rsidR="00FF384B" w:rsidRDefault="003E3BA9">
      <w:pPr>
        <w:numPr>
          <w:ilvl w:val="1"/>
          <w:numId w:val="195"/>
        </w:numPr>
        <w:spacing w:after="92" w:line="248" w:lineRule="auto"/>
        <w:ind w:right="244" w:hanging="10"/>
        <w:jc w:val="both"/>
      </w:pPr>
      <w:r>
        <w:rPr>
          <w:noProof/>
        </w:rPr>
        <mc:AlternateContent>
          <mc:Choice Requires="wpg">
            <w:drawing>
              <wp:anchor distT="0" distB="0" distL="114300" distR="114300" simplePos="0" relativeHeight="2518179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8907" name="Group 46890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661" name="Picture 29661"/>
                          <pic:cNvPicPr/>
                        </pic:nvPicPr>
                        <pic:blipFill>
                          <a:blip r:embed="rId62"/>
                          <a:stretch>
                            <a:fillRect/>
                          </a:stretch>
                        </pic:blipFill>
                        <pic:spPr>
                          <a:xfrm rot="-5399999">
                            <a:off x="-1720849" y="1720849"/>
                            <a:ext cx="3797300" cy="355601"/>
                          </a:xfrm>
                          <a:prstGeom prst="rect">
                            <a:avLst/>
                          </a:prstGeom>
                        </pic:spPr>
                      </pic:pic>
                      <wps:wsp>
                        <wps:cNvPr id="29662" name="Rectangle 296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29663" name="Rectangle 2966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8907" style="width:41.2715pt;height:299pt;position:absolute;mso-position-horizontal-relative:page;mso-position-horizontal:absolute;margin-left:653.71pt;mso-position-vertical-relative:page;margin-top:512.92pt;" coordsize="5241,37973">
                <v:shape id="Picture 29661" style="position:absolute;width:37973;height:3556;left:-17208;top:17208;rotation:-89;" filled="f">
                  <v:imagedata r:id="rId63"/>
                </v:shape>
                <v:rect id="Rectangle 296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66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353 </w:t>
                        </w:r>
                      </w:p>
                    </w:txbxContent>
                  </v:textbox>
                </v:rect>
                <w10:wrap type="square"/>
              </v:group>
            </w:pict>
          </mc:Fallback>
        </mc:AlternateContent>
      </w:r>
      <w:r>
        <w:rPr>
          <w:rFonts w:ascii="Arial" w:eastAsia="Arial" w:hAnsi="Arial" w:cs="Arial"/>
          <w:i/>
          <w:color w:val="202020"/>
        </w:rPr>
        <w:t>Haber solicitado la declaración</w:t>
      </w:r>
      <w:r>
        <w:rPr>
          <w:rFonts w:ascii="Arial" w:eastAsia="Arial" w:hAnsi="Arial" w:cs="Arial"/>
          <w:i/>
          <w:color w:val="202020"/>
        </w:rPr>
        <w:t xml:space="preserve"> de concurso voluntario, haber sido declarados insolventes en cualquier procedimiento, hallarse declarados en concurso, salvo que en éste haya adquirido la eficacia un convenio, estar sujetos a intervención judicial o haber sido inhabilitados conforme a la</w:t>
      </w:r>
      <w:r>
        <w:rPr>
          <w:rFonts w:ascii="Arial" w:eastAsia="Arial" w:hAnsi="Arial" w:cs="Arial"/>
          <w:i/>
          <w:color w:val="202020"/>
        </w:rPr>
        <w:t xml:space="preserve"> Ley 22/2003, de 9 de julio, Concursal, sin que haya concluido el período de inhabilitación fijado en la sentencia de calificación del concurso. </w:t>
      </w:r>
    </w:p>
    <w:p w:rsidR="00FF384B" w:rsidRDefault="003E3BA9">
      <w:pPr>
        <w:numPr>
          <w:ilvl w:val="1"/>
          <w:numId w:val="195"/>
        </w:numPr>
        <w:spacing w:after="92" w:line="248" w:lineRule="auto"/>
        <w:ind w:right="244" w:hanging="10"/>
        <w:jc w:val="both"/>
      </w:pPr>
      <w:r>
        <w:rPr>
          <w:rFonts w:ascii="Arial" w:eastAsia="Arial" w:hAnsi="Arial" w:cs="Arial"/>
          <w:i/>
          <w:color w:val="202020"/>
        </w:rPr>
        <w:t>Haber dado lugar, por causa de la que hubiesen sido declarados culpables, a la resolución firme de cualquier c</w:t>
      </w:r>
      <w:r>
        <w:rPr>
          <w:rFonts w:ascii="Arial" w:eastAsia="Arial" w:hAnsi="Arial" w:cs="Arial"/>
          <w:i/>
          <w:color w:val="202020"/>
        </w:rPr>
        <w:t xml:space="preserve">ontrato celebrado con la Administración. </w:t>
      </w:r>
    </w:p>
    <w:p w:rsidR="00FF384B" w:rsidRDefault="003E3BA9">
      <w:pPr>
        <w:numPr>
          <w:ilvl w:val="1"/>
          <w:numId w:val="195"/>
        </w:numPr>
        <w:spacing w:after="92" w:line="248" w:lineRule="auto"/>
        <w:ind w:right="244" w:hanging="10"/>
        <w:jc w:val="both"/>
      </w:pPr>
      <w:r>
        <w:rPr>
          <w:rFonts w:ascii="Arial" w:eastAsia="Arial" w:hAnsi="Arial" w:cs="Arial"/>
          <w:i/>
          <w:color w:val="202020"/>
        </w:rPr>
        <w:t xml:space="preserve">Estar incursa la persona física, los administradores de las sociedades mercantiles o aquellos que ostenten la representación legal de otras personas jurídicas, en alguno de los supuestos de la Ley 3/2015, de 30 de </w:t>
      </w:r>
      <w:r>
        <w:rPr>
          <w:rFonts w:ascii="Arial" w:eastAsia="Arial" w:hAnsi="Arial" w:cs="Arial"/>
          <w:i/>
          <w:color w:val="202020"/>
        </w:rPr>
        <w:t>marzo, reguladora del ejercicio del alto cargo de la Administración General del Estado, de la Ley 53/1984, de 26 de diciembre, de incompatibilidades del Personal al Servicio de las Administraciones Públicas, o tratarse de cualquiera de los cargos electivos</w:t>
      </w:r>
      <w:r>
        <w:rPr>
          <w:rFonts w:ascii="Arial" w:eastAsia="Arial" w:hAnsi="Arial" w:cs="Arial"/>
          <w:i/>
          <w:color w:val="202020"/>
        </w:rPr>
        <w:t xml:space="preserve"> regulados en la Ley Orgánica 5/1985, de 19 de junio, del Régimen Electoral General, en los términos establecidos en la misma o en la normativa autonómica que regule estas materias. </w:t>
      </w:r>
    </w:p>
    <w:p w:rsidR="00FF384B" w:rsidRDefault="003E3BA9">
      <w:pPr>
        <w:numPr>
          <w:ilvl w:val="1"/>
          <w:numId w:val="195"/>
        </w:numPr>
        <w:spacing w:after="92" w:line="248" w:lineRule="auto"/>
        <w:ind w:right="244" w:hanging="10"/>
        <w:jc w:val="both"/>
      </w:pPr>
      <w:r>
        <w:rPr>
          <w:rFonts w:ascii="Arial" w:eastAsia="Arial" w:hAnsi="Arial" w:cs="Arial"/>
          <w:i/>
          <w:color w:val="202020"/>
        </w:rPr>
        <w:t>No hallarse al corriente en el cumplimiento de las obligaciones tributari</w:t>
      </w:r>
      <w:r>
        <w:rPr>
          <w:rFonts w:ascii="Arial" w:eastAsia="Arial" w:hAnsi="Arial" w:cs="Arial"/>
          <w:i/>
          <w:color w:val="202020"/>
        </w:rPr>
        <w:t xml:space="preserve">as o frente a la Seguridad Social impuestas por las disposiciones vigentes, en la forma que se determine reglamentariamente. </w:t>
      </w:r>
    </w:p>
    <w:p w:rsidR="00FF384B" w:rsidRDefault="003E3BA9">
      <w:pPr>
        <w:numPr>
          <w:ilvl w:val="1"/>
          <w:numId w:val="195"/>
        </w:numPr>
        <w:spacing w:after="95" w:line="248" w:lineRule="auto"/>
        <w:ind w:right="244" w:hanging="10"/>
        <w:jc w:val="both"/>
      </w:pPr>
      <w:r>
        <w:rPr>
          <w:rFonts w:ascii="Arial" w:eastAsia="Arial" w:hAnsi="Arial" w:cs="Arial"/>
          <w:i/>
          <w:color w:val="202020"/>
        </w:rPr>
        <w:t xml:space="preserve">Tener la residencia fiscal en un país o territorio calificado reglamentariamente como paraíso fiscal. </w:t>
      </w:r>
    </w:p>
    <w:p w:rsidR="00FF384B" w:rsidRDefault="003E3BA9">
      <w:pPr>
        <w:numPr>
          <w:ilvl w:val="1"/>
          <w:numId w:val="195"/>
        </w:numPr>
        <w:spacing w:after="92" w:line="248" w:lineRule="auto"/>
        <w:ind w:right="244" w:hanging="10"/>
        <w:jc w:val="both"/>
      </w:pPr>
      <w:r>
        <w:rPr>
          <w:rFonts w:ascii="Arial" w:eastAsia="Arial" w:hAnsi="Arial" w:cs="Arial"/>
          <w:i/>
          <w:color w:val="202020"/>
        </w:rPr>
        <w:t>No hallarse al corriente de</w:t>
      </w:r>
      <w:r>
        <w:rPr>
          <w:rFonts w:ascii="Arial" w:eastAsia="Arial" w:hAnsi="Arial" w:cs="Arial"/>
          <w:i/>
          <w:color w:val="202020"/>
        </w:rPr>
        <w:t xml:space="preserve"> pago de obligaciones por reintegro de subvenciones en los términos que reglamentariamente se determinen. </w:t>
      </w:r>
    </w:p>
    <w:p w:rsidR="00FF384B" w:rsidRDefault="003E3BA9">
      <w:pPr>
        <w:numPr>
          <w:ilvl w:val="1"/>
          <w:numId w:val="195"/>
        </w:numPr>
        <w:spacing w:after="98" w:line="240" w:lineRule="auto"/>
        <w:ind w:right="244" w:hanging="10"/>
        <w:jc w:val="both"/>
      </w:pPr>
      <w:r>
        <w:rPr>
          <w:rFonts w:ascii="Arial" w:eastAsia="Arial" w:hAnsi="Arial" w:cs="Arial"/>
          <w:i/>
          <w:color w:val="202020"/>
        </w:rPr>
        <w:t>Haber sido sancionado mediante resolución firme con la pérdida de la posibilidad de obtener subvenciones conforme a ésta u otras leyes que así lo est</w:t>
      </w:r>
      <w:r>
        <w:rPr>
          <w:rFonts w:ascii="Arial" w:eastAsia="Arial" w:hAnsi="Arial" w:cs="Arial"/>
          <w:i/>
          <w:color w:val="202020"/>
        </w:rPr>
        <w:t xml:space="preserve">ablezcan. </w:t>
      </w:r>
    </w:p>
    <w:p w:rsidR="00FF384B" w:rsidRDefault="003E3BA9">
      <w:pPr>
        <w:numPr>
          <w:ilvl w:val="1"/>
          <w:numId w:val="195"/>
        </w:numPr>
        <w:spacing w:after="92" w:line="248" w:lineRule="auto"/>
        <w:ind w:right="244" w:hanging="10"/>
        <w:jc w:val="both"/>
      </w:pPr>
      <w:r>
        <w:rPr>
          <w:rFonts w:ascii="Arial" w:eastAsia="Arial" w:hAnsi="Arial" w:cs="Arial"/>
          <w:i/>
          <w:color w:val="202020"/>
        </w:rPr>
        <w:t xml:space="preserve">No podrán acceder a la condición de beneficiarios las agrupaciones previstas en el artículo 11.3, párrafo segundo de la ley General de Subvenciones, cuando concurra alguna de las prohibiciones anteriores en cualquiera de sus miembros. </w:t>
      </w:r>
    </w:p>
    <w:p w:rsidR="00FF384B" w:rsidRDefault="003E3BA9">
      <w:pPr>
        <w:numPr>
          <w:ilvl w:val="1"/>
          <w:numId w:val="195"/>
        </w:numPr>
        <w:spacing w:after="92" w:line="248" w:lineRule="auto"/>
        <w:ind w:right="244" w:hanging="10"/>
        <w:jc w:val="both"/>
      </w:pPr>
      <w:r>
        <w:rPr>
          <w:rFonts w:ascii="Arial" w:eastAsia="Arial" w:hAnsi="Arial" w:cs="Arial"/>
          <w:i/>
          <w:color w:val="202020"/>
        </w:rPr>
        <w:t>Las prohi</w:t>
      </w:r>
      <w:r>
        <w:rPr>
          <w:rFonts w:ascii="Arial" w:eastAsia="Arial" w:hAnsi="Arial" w:cs="Arial"/>
          <w:i/>
          <w:color w:val="202020"/>
        </w:rPr>
        <w:t>biciones de obtener subvenciones afectarán también a aquellas empresas de las que, por razón de las personas que las rigen o de otras circunstancias, pueda presumirse que son continuación o que derivan, por transformación, fusión o sucesión, de otras empre</w:t>
      </w:r>
      <w:r>
        <w:rPr>
          <w:rFonts w:ascii="Arial" w:eastAsia="Arial" w:hAnsi="Arial" w:cs="Arial"/>
          <w:i/>
          <w:color w:val="202020"/>
        </w:rPr>
        <w:t xml:space="preserve">sas en las que hubiesen concurrido aquéllas. </w:t>
      </w:r>
    </w:p>
    <w:p w:rsidR="00FF384B" w:rsidRDefault="003E3BA9">
      <w:pPr>
        <w:numPr>
          <w:ilvl w:val="1"/>
          <w:numId w:val="195"/>
        </w:numPr>
        <w:spacing w:after="0" w:line="248" w:lineRule="auto"/>
        <w:ind w:right="244" w:hanging="10"/>
        <w:jc w:val="both"/>
      </w:pPr>
      <w:r>
        <w:rPr>
          <w:rFonts w:ascii="Arial" w:eastAsia="Arial" w:hAnsi="Arial" w:cs="Arial"/>
          <w:i/>
          <w:color w:val="202020"/>
        </w:rPr>
        <w:t xml:space="preserve">En ningún caso podrán obtener la condición de beneficiario o entidad colaboradora de las subvenciones reguladas en esta ley las asociaciones incursas en las causas de prohibición previstas en los apartados 5 y </w:t>
      </w:r>
      <w:r>
        <w:rPr>
          <w:rFonts w:ascii="Arial" w:eastAsia="Arial" w:hAnsi="Arial" w:cs="Arial"/>
          <w:i/>
          <w:color w:val="202020"/>
        </w:rPr>
        <w:t xml:space="preserve">6 del artículo 4 de la Ley Orgánica 1/2002, de 22 de marzo, reguladora del Derecho de Asociación. </w:t>
      </w:r>
    </w:p>
    <w:p w:rsidR="00FF384B" w:rsidRDefault="003E3BA9">
      <w:pPr>
        <w:spacing w:after="92" w:line="248" w:lineRule="auto"/>
        <w:ind w:left="1013" w:right="244" w:hanging="10"/>
        <w:jc w:val="both"/>
      </w:pPr>
      <w:r>
        <w:rPr>
          <w:rFonts w:ascii="Arial" w:eastAsia="Arial" w:hAnsi="Arial" w:cs="Arial"/>
          <w:i/>
          <w:color w:val="202020"/>
        </w:rPr>
        <w:t xml:space="preserve">Tampoco podrán obtener la condición de beneficiario o entidad colaboradora las asociaciones respecto de las que se hubiera suspendido el procedimiento administrativo de inscripción por encontrarse indicios racionales de ilicitud penal, en aplicación de lo </w:t>
      </w:r>
      <w:r>
        <w:rPr>
          <w:rFonts w:ascii="Arial" w:eastAsia="Arial" w:hAnsi="Arial" w:cs="Arial"/>
          <w:i/>
          <w:color w:val="202020"/>
        </w:rPr>
        <w:t xml:space="preserve">dispuesto en el artículo 30.4 de la Ley Orgánica 1/2002, en tanto no recaiga resolución judicial firme en cuya virtud pueda practicarse la inscripción en el correspondiente registro. </w:t>
      </w:r>
    </w:p>
    <w:p w:rsidR="00FF384B" w:rsidRDefault="003E3BA9">
      <w:pPr>
        <w:numPr>
          <w:ilvl w:val="1"/>
          <w:numId w:val="195"/>
        </w:numPr>
        <w:spacing w:after="92" w:line="248" w:lineRule="auto"/>
        <w:ind w:right="244" w:hanging="10"/>
        <w:jc w:val="both"/>
      </w:pPr>
      <w:r>
        <w:rPr>
          <w:noProof/>
        </w:rPr>
        <mc:AlternateContent>
          <mc:Choice Requires="wpg">
            <w:drawing>
              <wp:anchor distT="0" distB="0" distL="114300" distR="114300" simplePos="0" relativeHeight="2518190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8277" name="Group 46827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799" name="Picture 29799"/>
                          <pic:cNvPicPr/>
                        </pic:nvPicPr>
                        <pic:blipFill>
                          <a:blip r:embed="rId62"/>
                          <a:stretch>
                            <a:fillRect/>
                          </a:stretch>
                        </pic:blipFill>
                        <pic:spPr>
                          <a:xfrm rot="-5399999">
                            <a:off x="-1720849" y="1720849"/>
                            <a:ext cx="3797300" cy="355601"/>
                          </a:xfrm>
                          <a:prstGeom prst="rect">
                            <a:avLst/>
                          </a:prstGeom>
                        </pic:spPr>
                      </pic:pic>
                      <wps:wsp>
                        <wps:cNvPr id="29800" name="Rectangle 2980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29801" name="Rectangle 2980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8277" style="width:41.2715pt;height:299pt;position:absolute;mso-position-horizontal-relative:page;mso-position-horizontal:absolute;margin-left:653.71pt;mso-position-vertical-relative:page;margin-top:512.92pt;" coordsize="5241,37973">
                <v:shape id="Picture 29799" style="position:absolute;width:37973;height:3556;left:-17208;top:17208;rotation:-89;" filled="f">
                  <v:imagedata r:id="rId63"/>
                </v:shape>
                <v:rect id="Rectangle 2980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80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353 </w:t>
                        </w:r>
                      </w:p>
                    </w:txbxContent>
                  </v:textbox>
                </v:rect>
                <w10:wrap type="square"/>
              </v:group>
            </w:pict>
          </mc:Fallback>
        </mc:AlternateContent>
      </w:r>
      <w:r>
        <w:rPr>
          <w:rFonts w:ascii="Arial" w:eastAsia="Arial" w:hAnsi="Arial" w:cs="Arial"/>
          <w:i/>
          <w:color w:val="202020"/>
        </w:rPr>
        <w:t>Las prohibiciones contenidas en los párrafos b), d), e), f), g), h), i) y j) del apartado 2 y en el apartado 3 de este artículo se</w:t>
      </w:r>
      <w:r>
        <w:rPr>
          <w:rFonts w:ascii="Arial" w:eastAsia="Arial" w:hAnsi="Arial" w:cs="Arial"/>
          <w:i/>
          <w:color w:val="202020"/>
        </w:rPr>
        <w:t xml:space="preserve"> apreciarán de forma automática y subsistirán mientras concurran las circunstancias que, en cada caso, las determinen. </w:t>
      </w:r>
    </w:p>
    <w:p w:rsidR="00FF384B" w:rsidRDefault="003E3BA9">
      <w:pPr>
        <w:numPr>
          <w:ilvl w:val="1"/>
          <w:numId w:val="195"/>
        </w:numPr>
        <w:spacing w:after="93" w:line="248" w:lineRule="auto"/>
        <w:ind w:right="244" w:hanging="10"/>
        <w:jc w:val="both"/>
      </w:pPr>
      <w:r>
        <w:rPr>
          <w:rFonts w:ascii="Arial" w:eastAsia="Arial" w:hAnsi="Arial" w:cs="Arial"/>
          <w:i/>
          <w:color w:val="202020"/>
        </w:rPr>
        <w:t>Las prohibiciones contenidas en los párrafos a) y h) del apartado 2 de este artículo se apreciarán de forma automática. El alcance de la</w:t>
      </w:r>
      <w:r>
        <w:rPr>
          <w:rFonts w:ascii="Arial" w:eastAsia="Arial" w:hAnsi="Arial" w:cs="Arial"/>
          <w:i/>
          <w:color w:val="202020"/>
        </w:rPr>
        <w:t xml:space="preserve"> prohibición será el que determine la sentencia o resolución firme. En su defecto, el alcance se fijará de acuerdo con el procedimiento determinado reglamentariamente, sin que pueda exceder de cinco años en caso de que la prohibición no derive de sentencia</w:t>
      </w:r>
      <w:r>
        <w:rPr>
          <w:rFonts w:ascii="Arial" w:eastAsia="Arial" w:hAnsi="Arial" w:cs="Arial"/>
          <w:i/>
          <w:color w:val="202020"/>
        </w:rPr>
        <w:t xml:space="preserve"> firme. </w:t>
      </w:r>
    </w:p>
    <w:p w:rsidR="00FF384B" w:rsidRDefault="003E3BA9">
      <w:pPr>
        <w:numPr>
          <w:ilvl w:val="1"/>
          <w:numId w:val="195"/>
        </w:numPr>
        <w:spacing w:after="92" w:line="248" w:lineRule="auto"/>
        <w:ind w:right="244" w:hanging="10"/>
        <w:jc w:val="both"/>
      </w:pPr>
      <w:r>
        <w:rPr>
          <w:rFonts w:ascii="Arial" w:eastAsia="Arial" w:hAnsi="Arial" w:cs="Arial"/>
          <w:i/>
          <w:color w:val="202020"/>
        </w:rPr>
        <w:t xml:space="preserve">La apreciación y alcance de la prohibición contenida en el párrafo c) del apartado 2 de este artículo se determinará de acuerdo con lo establecido en el artículo 72, en relación con el artículo 71 de la Ley de Contratos del Sector Público. </w:t>
      </w:r>
    </w:p>
    <w:p w:rsidR="00FF384B" w:rsidRDefault="003E3BA9">
      <w:pPr>
        <w:numPr>
          <w:ilvl w:val="0"/>
          <w:numId w:val="195"/>
        </w:numPr>
        <w:spacing w:after="0" w:line="248" w:lineRule="auto"/>
        <w:ind w:right="244" w:hanging="10"/>
        <w:jc w:val="both"/>
      </w:pPr>
      <w:r>
        <w:rPr>
          <w:rFonts w:ascii="Arial" w:eastAsia="Arial" w:hAnsi="Arial" w:cs="Arial"/>
          <w:i/>
          <w:color w:val="202020"/>
        </w:rPr>
        <w:t>La jus</w:t>
      </w:r>
      <w:r>
        <w:rPr>
          <w:rFonts w:ascii="Arial" w:eastAsia="Arial" w:hAnsi="Arial" w:cs="Arial"/>
          <w:i/>
          <w:color w:val="202020"/>
        </w:rPr>
        <w:t>tificación por parte de las personas o entidades de no estar incursos en las prohibiciones para obtener la condición de beneficiario o entidad colaboradora, señaladas en el apartado anterior, podrá realizarse mediante testimonio judicial, certificados tele</w:t>
      </w:r>
      <w:r>
        <w:rPr>
          <w:rFonts w:ascii="Arial" w:eastAsia="Arial" w:hAnsi="Arial" w:cs="Arial"/>
          <w:i/>
          <w:color w:val="202020"/>
        </w:rPr>
        <w:t>máticos o transmisiones de datos, de acuerdo con lo establecido en la normativa reglamentaria que regule la utilización de técnicas electrónicas, informáticas y telemáticas por la Administración General del Estado o de las comunidades autónomas, o certific</w:t>
      </w:r>
      <w:r>
        <w:rPr>
          <w:rFonts w:ascii="Arial" w:eastAsia="Arial" w:hAnsi="Arial" w:cs="Arial"/>
          <w:i/>
          <w:color w:val="202020"/>
        </w:rPr>
        <w:t xml:space="preserve">ación administrativa, según los casos, y cuando dicho documento no pueda ser expedido por la autoridad competente, podrá ser sustituido por una declaración responsable otorgada ante una autoridad administrativa o notario público. </w:t>
      </w:r>
    </w:p>
    <w:p w:rsidR="00FF384B" w:rsidRDefault="003E3BA9">
      <w:pPr>
        <w:spacing w:after="142" w:line="248" w:lineRule="auto"/>
        <w:ind w:left="278" w:right="244" w:hanging="10"/>
        <w:jc w:val="both"/>
      </w:pPr>
      <w:r>
        <w:rPr>
          <w:rFonts w:ascii="Arial" w:eastAsia="Arial" w:hAnsi="Arial" w:cs="Arial"/>
          <w:color w:val="202020"/>
        </w:rPr>
        <w:t>Artículo 11. Obligaciones</w:t>
      </w:r>
      <w:r>
        <w:rPr>
          <w:rFonts w:ascii="Arial" w:eastAsia="Arial" w:hAnsi="Arial" w:cs="Arial"/>
          <w:color w:val="202020"/>
        </w:rPr>
        <w:t xml:space="preserve"> de los beneficiarios. </w:t>
      </w:r>
    </w:p>
    <w:p w:rsidR="00FF384B" w:rsidRDefault="003E3BA9">
      <w:pPr>
        <w:spacing w:after="143" w:line="248" w:lineRule="auto"/>
        <w:ind w:left="278" w:right="244" w:hanging="10"/>
        <w:jc w:val="both"/>
      </w:pPr>
      <w:r>
        <w:rPr>
          <w:rFonts w:ascii="Arial" w:eastAsia="Arial" w:hAnsi="Arial" w:cs="Arial"/>
          <w:i/>
          <w:color w:val="202020"/>
        </w:rPr>
        <w:t xml:space="preserve">1. Son obligaciones del beneficiario, además de las previstas en la legislación vigente: </w:t>
      </w:r>
    </w:p>
    <w:p w:rsidR="00FF384B" w:rsidRDefault="003E3BA9">
      <w:pPr>
        <w:numPr>
          <w:ilvl w:val="0"/>
          <w:numId w:val="196"/>
        </w:numPr>
        <w:spacing w:after="95" w:line="248" w:lineRule="auto"/>
        <w:ind w:right="244" w:hanging="247"/>
        <w:jc w:val="both"/>
      </w:pPr>
      <w:r>
        <w:rPr>
          <w:rFonts w:ascii="Arial" w:eastAsia="Arial" w:hAnsi="Arial" w:cs="Arial"/>
          <w:i/>
          <w:color w:val="202020"/>
        </w:rPr>
        <w:t xml:space="preserve">Cumplir el objetivo, ejecutar el proyecto, realizar la actividad o adoptar el comportamiento que fundamenta la concesión de las subvenciones. </w:t>
      </w:r>
    </w:p>
    <w:p w:rsidR="00FF384B" w:rsidRDefault="003E3BA9">
      <w:pPr>
        <w:numPr>
          <w:ilvl w:val="0"/>
          <w:numId w:val="196"/>
        </w:numPr>
        <w:spacing w:after="92" w:line="248" w:lineRule="auto"/>
        <w:ind w:right="244" w:hanging="247"/>
        <w:jc w:val="both"/>
      </w:pPr>
      <w:r>
        <w:rPr>
          <w:rFonts w:ascii="Arial" w:eastAsia="Arial" w:hAnsi="Arial" w:cs="Arial"/>
          <w:i/>
          <w:color w:val="202020"/>
        </w:rPr>
        <w:t>Justificar ante el órgano concedente o la entidad colaboradora, en su caso, el cumplimiento de los requisitos y condiciones, así como la realización de la actividad y el cumplimiento de la finalidad que determinen la concesión o disfrute de la subvención.</w:t>
      </w:r>
      <w:r>
        <w:rPr>
          <w:rFonts w:ascii="Arial" w:eastAsia="Arial" w:hAnsi="Arial" w:cs="Arial"/>
          <w:i/>
          <w:color w:val="202020"/>
        </w:rPr>
        <w:t xml:space="preserve"> </w:t>
      </w:r>
    </w:p>
    <w:p w:rsidR="00FF384B" w:rsidRDefault="003E3BA9">
      <w:pPr>
        <w:numPr>
          <w:ilvl w:val="0"/>
          <w:numId w:val="196"/>
        </w:numPr>
        <w:spacing w:after="95" w:line="248" w:lineRule="auto"/>
        <w:ind w:right="244" w:hanging="247"/>
        <w:jc w:val="both"/>
      </w:pPr>
      <w:r>
        <w:rPr>
          <w:rFonts w:ascii="Arial" w:eastAsia="Arial" w:hAnsi="Arial" w:cs="Arial"/>
          <w:i/>
          <w:color w:val="202020"/>
        </w:rPr>
        <w:t>Someterse a las actuaciones de comprobación, a efectuar por el órgano concedente o la entidad colaboradora, en su caso, así como cualesquiera otras de comprobación y control financiero que puedan realizar los órganos de control competentes, tanto naciona</w:t>
      </w:r>
      <w:r>
        <w:rPr>
          <w:rFonts w:ascii="Arial" w:eastAsia="Arial" w:hAnsi="Arial" w:cs="Arial"/>
          <w:i/>
          <w:color w:val="202020"/>
        </w:rPr>
        <w:t xml:space="preserve">les como comunitarios, aportando cuanta información le sea requerida en el ejercicio de las actuaciones anteriores. </w:t>
      </w:r>
    </w:p>
    <w:p w:rsidR="00FF384B" w:rsidRDefault="003E3BA9">
      <w:pPr>
        <w:numPr>
          <w:ilvl w:val="0"/>
          <w:numId w:val="196"/>
        </w:numPr>
        <w:spacing w:after="0" w:line="240" w:lineRule="auto"/>
        <w:ind w:right="244" w:hanging="247"/>
        <w:jc w:val="both"/>
      </w:pPr>
      <w:r>
        <w:rPr>
          <w:rFonts w:ascii="Arial" w:eastAsia="Arial" w:hAnsi="Arial" w:cs="Arial"/>
          <w:i/>
          <w:color w:val="202020"/>
        </w:rPr>
        <w:t xml:space="preserve">Comunicar al órgano concedente o la entidad colaboradora la obtención de otras subvenciones, ayudas, ingresos o recursos que financien las </w:t>
      </w:r>
      <w:r>
        <w:rPr>
          <w:rFonts w:ascii="Arial" w:eastAsia="Arial" w:hAnsi="Arial" w:cs="Arial"/>
          <w:i/>
          <w:color w:val="202020"/>
        </w:rPr>
        <w:t xml:space="preserve">actividades subvencionadas. </w:t>
      </w:r>
    </w:p>
    <w:p w:rsidR="00FF384B" w:rsidRDefault="003E3BA9">
      <w:pPr>
        <w:spacing w:after="92" w:line="248" w:lineRule="auto"/>
        <w:ind w:left="1013" w:right="244" w:hanging="10"/>
        <w:jc w:val="both"/>
      </w:pPr>
      <w:r>
        <w:rPr>
          <w:rFonts w:ascii="Arial" w:eastAsia="Arial" w:hAnsi="Arial" w:cs="Arial"/>
          <w:i/>
          <w:color w:val="202020"/>
        </w:rPr>
        <w:t xml:space="preserve">Esta comunicación deberá efectuarse tan pronto como se conozca y, en todo caso, con anterioridad a la justificación de la aplicación dada a los fondos percibidos. </w:t>
      </w:r>
    </w:p>
    <w:p w:rsidR="00FF384B" w:rsidRDefault="003E3BA9">
      <w:pPr>
        <w:numPr>
          <w:ilvl w:val="0"/>
          <w:numId w:val="196"/>
        </w:numPr>
        <w:spacing w:after="95" w:line="248" w:lineRule="auto"/>
        <w:ind w:right="244" w:hanging="247"/>
        <w:jc w:val="both"/>
      </w:pPr>
      <w:r>
        <w:rPr>
          <w:noProof/>
        </w:rPr>
        <mc:AlternateContent>
          <mc:Choice Requires="wpg">
            <w:drawing>
              <wp:anchor distT="0" distB="0" distL="114300" distR="114300" simplePos="0" relativeHeight="2518200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9080" name="Group 4690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29939" name="Picture 29939"/>
                          <pic:cNvPicPr/>
                        </pic:nvPicPr>
                        <pic:blipFill>
                          <a:blip r:embed="rId62"/>
                          <a:stretch>
                            <a:fillRect/>
                          </a:stretch>
                        </pic:blipFill>
                        <pic:spPr>
                          <a:xfrm rot="-5399999">
                            <a:off x="-1720849" y="1720849"/>
                            <a:ext cx="3797300" cy="355601"/>
                          </a:xfrm>
                          <a:prstGeom prst="rect">
                            <a:avLst/>
                          </a:prstGeom>
                        </pic:spPr>
                      </pic:pic>
                      <wps:wsp>
                        <wps:cNvPr id="29940" name="Rectangle 2994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29941" name="Rectangle 2994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9080" style="width:41.2715pt;height:299pt;position:absolute;mso-position-horizontal-relative:page;mso-position-horizontal:absolute;margin-left:653.71pt;mso-position-vertical-relative:page;margin-top:512.92pt;" coordsize="5241,37973">
                <v:shape id="Picture 29939" style="position:absolute;width:37973;height:3556;left:-17208;top:17208;rotation:-89;" filled="f">
                  <v:imagedata r:id="rId63"/>
                </v:shape>
                <v:rect id="Rectangle 2994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2994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353 </w:t>
                        </w:r>
                      </w:p>
                    </w:txbxContent>
                  </v:textbox>
                </v:rect>
                <w10:wrap type="square"/>
              </v:group>
            </w:pict>
          </mc:Fallback>
        </mc:AlternateContent>
      </w:r>
      <w:r>
        <w:rPr>
          <w:rFonts w:ascii="Arial" w:eastAsia="Arial" w:hAnsi="Arial" w:cs="Arial"/>
          <w:i/>
          <w:color w:val="202020"/>
        </w:rPr>
        <w:t>Acreditar con anterioridad a dictarse la propuesta de resolución de concesión que se halla al corriente en el cumplimient</w:t>
      </w:r>
      <w:r>
        <w:rPr>
          <w:rFonts w:ascii="Arial" w:eastAsia="Arial" w:hAnsi="Arial" w:cs="Arial"/>
          <w:i/>
          <w:color w:val="202020"/>
        </w:rPr>
        <w:t xml:space="preserve">o de sus obligaciones tributarias y frente a la Seguridad Social. </w:t>
      </w:r>
    </w:p>
    <w:p w:rsidR="00FF384B" w:rsidRDefault="003E3BA9">
      <w:pPr>
        <w:numPr>
          <w:ilvl w:val="0"/>
          <w:numId w:val="196"/>
        </w:numPr>
        <w:spacing w:after="92" w:line="248" w:lineRule="auto"/>
        <w:ind w:right="244" w:hanging="247"/>
        <w:jc w:val="both"/>
      </w:pPr>
      <w:r>
        <w:rPr>
          <w:rFonts w:ascii="Arial" w:eastAsia="Arial" w:hAnsi="Arial" w:cs="Arial"/>
          <w:i/>
          <w:color w:val="202020"/>
        </w:rPr>
        <w:t>Disponer de los libros contables, registros diligenciados y demás documentos debidamente auditados en los términos exigidos por la legislación mercantil y sectorial aplicable al beneficiari</w:t>
      </w:r>
      <w:r>
        <w:rPr>
          <w:rFonts w:ascii="Arial" w:eastAsia="Arial" w:hAnsi="Arial" w:cs="Arial"/>
          <w:i/>
          <w:color w:val="202020"/>
        </w:rPr>
        <w:t xml:space="preserve">o en cada caso, así como cuantos estados contables y registros específicos sean exigidos por las bases reguladoras de las subvenciones, con la finalidad de garantizar el adecuado ejercicio de las facultades de comprobación y control. </w:t>
      </w:r>
    </w:p>
    <w:p w:rsidR="00FF384B" w:rsidRDefault="003E3BA9">
      <w:pPr>
        <w:numPr>
          <w:ilvl w:val="0"/>
          <w:numId w:val="196"/>
        </w:numPr>
        <w:spacing w:after="95" w:line="248" w:lineRule="auto"/>
        <w:ind w:right="244" w:hanging="247"/>
        <w:jc w:val="both"/>
      </w:pPr>
      <w:r>
        <w:rPr>
          <w:rFonts w:ascii="Arial" w:eastAsia="Arial" w:hAnsi="Arial" w:cs="Arial"/>
          <w:i/>
          <w:color w:val="202020"/>
        </w:rPr>
        <w:t>Conservar los documen</w:t>
      </w:r>
      <w:r>
        <w:rPr>
          <w:rFonts w:ascii="Arial" w:eastAsia="Arial" w:hAnsi="Arial" w:cs="Arial"/>
          <w:i/>
          <w:color w:val="202020"/>
        </w:rPr>
        <w:t xml:space="preserve">tos justificativos de la aplicación de los fondos recibidos, incluidos los documentos electrónicos, en tanto puedan ser objeto de las actuaciones de comprobación y control. </w:t>
      </w:r>
    </w:p>
    <w:p w:rsidR="00FF384B" w:rsidRDefault="003E3BA9">
      <w:pPr>
        <w:numPr>
          <w:ilvl w:val="0"/>
          <w:numId w:val="196"/>
        </w:numPr>
        <w:spacing w:after="92" w:line="248" w:lineRule="auto"/>
        <w:ind w:right="244" w:hanging="247"/>
        <w:jc w:val="both"/>
      </w:pPr>
      <w:r>
        <w:rPr>
          <w:rFonts w:ascii="Arial" w:eastAsia="Arial" w:hAnsi="Arial" w:cs="Arial"/>
          <w:i/>
          <w:color w:val="202020"/>
        </w:rPr>
        <w:t>Adoptar las medidas de difusión contenidas en el apartado 4 del artículo 18 de est</w:t>
      </w:r>
      <w:r>
        <w:rPr>
          <w:rFonts w:ascii="Arial" w:eastAsia="Arial" w:hAnsi="Arial" w:cs="Arial"/>
          <w:i/>
          <w:color w:val="202020"/>
        </w:rPr>
        <w:t xml:space="preserve">a ley. </w:t>
      </w:r>
    </w:p>
    <w:p w:rsidR="00FF384B" w:rsidRDefault="003E3BA9">
      <w:pPr>
        <w:numPr>
          <w:ilvl w:val="0"/>
          <w:numId w:val="196"/>
        </w:numPr>
        <w:spacing w:after="95" w:line="248" w:lineRule="auto"/>
        <w:ind w:right="244" w:hanging="247"/>
        <w:jc w:val="both"/>
      </w:pPr>
      <w:r>
        <w:rPr>
          <w:rFonts w:ascii="Arial" w:eastAsia="Arial" w:hAnsi="Arial" w:cs="Arial"/>
          <w:i/>
          <w:color w:val="202020"/>
        </w:rPr>
        <w:t xml:space="preserve">Proceder al reintegro de los fondos percibidos en los supuestos contemplados en el artículo 37 de la Ley General de Subvenciones. </w:t>
      </w:r>
    </w:p>
    <w:p w:rsidR="00FF384B" w:rsidRDefault="003E3BA9">
      <w:pPr>
        <w:numPr>
          <w:ilvl w:val="0"/>
          <w:numId w:val="196"/>
        </w:numPr>
        <w:spacing w:after="92" w:line="248" w:lineRule="auto"/>
        <w:ind w:right="244" w:hanging="247"/>
        <w:jc w:val="both"/>
      </w:pPr>
      <w:r>
        <w:rPr>
          <w:rFonts w:ascii="Arial" w:eastAsia="Arial" w:hAnsi="Arial" w:cs="Arial"/>
          <w:i/>
          <w:color w:val="202020"/>
        </w:rPr>
        <w:t>Dar la adecuada publicidad de que los programas, actividades, inversiones o actuaciones de cualquier tipo que sean ob</w:t>
      </w:r>
      <w:r>
        <w:rPr>
          <w:rFonts w:ascii="Arial" w:eastAsia="Arial" w:hAnsi="Arial" w:cs="Arial"/>
          <w:i/>
          <w:color w:val="202020"/>
        </w:rPr>
        <w:t xml:space="preserve">jeto de subvención son financiadas por el Ayuntamiento o sus organismos o entes dependientes. </w:t>
      </w:r>
    </w:p>
    <w:p w:rsidR="00FF384B" w:rsidRDefault="003E3BA9">
      <w:pPr>
        <w:numPr>
          <w:ilvl w:val="0"/>
          <w:numId w:val="196"/>
        </w:numPr>
        <w:spacing w:after="89" w:line="248" w:lineRule="auto"/>
        <w:ind w:right="244" w:hanging="247"/>
        <w:jc w:val="both"/>
      </w:pPr>
      <w:r>
        <w:rPr>
          <w:rFonts w:ascii="Arial" w:eastAsia="Arial" w:hAnsi="Arial" w:cs="Arial"/>
          <w:i/>
          <w:color w:val="202020"/>
        </w:rPr>
        <w:t xml:space="preserve">Presentar la documentación en los formatos normalizados al efecto. </w:t>
      </w:r>
    </w:p>
    <w:p w:rsidR="00FF384B" w:rsidRDefault="003E3BA9">
      <w:pPr>
        <w:numPr>
          <w:ilvl w:val="0"/>
          <w:numId w:val="196"/>
        </w:numPr>
        <w:spacing w:after="92" w:line="248" w:lineRule="auto"/>
        <w:ind w:right="244" w:hanging="247"/>
        <w:jc w:val="both"/>
      </w:pPr>
      <w:r>
        <w:rPr>
          <w:rFonts w:ascii="Arial" w:eastAsia="Arial" w:hAnsi="Arial" w:cs="Arial"/>
          <w:i/>
          <w:color w:val="202020"/>
        </w:rPr>
        <w:t xml:space="preserve">Presentar las solicitudes de forma telemática cuando así se establezca. </w:t>
      </w:r>
    </w:p>
    <w:p w:rsidR="00FF384B" w:rsidRDefault="003E3BA9">
      <w:pPr>
        <w:numPr>
          <w:ilvl w:val="0"/>
          <w:numId w:val="196"/>
        </w:numPr>
        <w:spacing w:after="88" w:line="249" w:lineRule="auto"/>
        <w:ind w:right="244" w:hanging="247"/>
        <w:jc w:val="both"/>
      </w:pPr>
      <w:r>
        <w:rPr>
          <w:rFonts w:ascii="Arial" w:eastAsia="Arial" w:hAnsi="Arial" w:cs="Arial"/>
          <w:i/>
          <w:color w:val="202020"/>
        </w:rPr>
        <w:t xml:space="preserve">Comunicar al órgano concedente cualquier circunstancia que provoque una modificación en los términos de la actuación subvencionada, en el plazo de un mes desde que se produjo la modificación. </w:t>
      </w:r>
    </w:p>
    <w:p w:rsidR="00FF384B" w:rsidRDefault="003E3BA9">
      <w:pPr>
        <w:numPr>
          <w:ilvl w:val="0"/>
          <w:numId w:val="196"/>
        </w:numPr>
        <w:spacing w:after="143" w:line="248" w:lineRule="auto"/>
        <w:ind w:right="244" w:hanging="247"/>
        <w:jc w:val="both"/>
      </w:pPr>
      <w:r>
        <w:rPr>
          <w:rFonts w:ascii="Arial" w:eastAsia="Arial" w:hAnsi="Arial" w:cs="Arial"/>
          <w:i/>
          <w:color w:val="202020"/>
        </w:rPr>
        <w:t>Acreditar el efectivo cumplimiento de los requisitos y la reali</w:t>
      </w:r>
      <w:r>
        <w:rPr>
          <w:rFonts w:ascii="Arial" w:eastAsia="Arial" w:hAnsi="Arial" w:cs="Arial"/>
          <w:i/>
          <w:color w:val="202020"/>
        </w:rPr>
        <w:t>zación de la actividad en todas las subvenciones que le hayan sido concedidas al beneficiario con anterioridad para un mismo destino y finalidad en ejercicios anteriores por alguno de los sujetos comprendidos en los apartados 1 y 2 del artículo 2 de esta l</w:t>
      </w:r>
      <w:r>
        <w:rPr>
          <w:rFonts w:ascii="Arial" w:eastAsia="Arial" w:hAnsi="Arial" w:cs="Arial"/>
          <w:i/>
          <w:color w:val="202020"/>
        </w:rPr>
        <w:t xml:space="preserve">ey, aunque se trate de diferentes fases o aspectos de un mismo proyecto. La convocatoria establecerá la forma de acreditación. </w:t>
      </w:r>
    </w:p>
    <w:p w:rsidR="00FF384B" w:rsidRDefault="003E3BA9">
      <w:pPr>
        <w:spacing w:after="142" w:line="248" w:lineRule="auto"/>
        <w:ind w:left="278" w:right="244" w:hanging="10"/>
        <w:jc w:val="both"/>
      </w:pPr>
      <w:r>
        <w:rPr>
          <w:rFonts w:ascii="Arial" w:eastAsia="Arial" w:hAnsi="Arial" w:cs="Arial"/>
          <w:color w:val="202020"/>
        </w:rPr>
        <w:t xml:space="preserve">Artículo 12. Obligaciones de las entidades colaboradoras. </w:t>
      </w:r>
    </w:p>
    <w:p w:rsidR="00FF384B" w:rsidRDefault="003E3BA9">
      <w:pPr>
        <w:numPr>
          <w:ilvl w:val="0"/>
          <w:numId w:val="197"/>
        </w:numPr>
        <w:spacing w:after="143" w:line="248" w:lineRule="auto"/>
        <w:ind w:right="244" w:hanging="10"/>
        <w:jc w:val="both"/>
      </w:pPr>
      <w:r>
        <w:rPr>
          <w:rFonts w:ascii="Arial" w:eastAsia="Arial" w:hAnsi="Arial" w:cs="Arial"/>
          <w:i/>
          <w:color w:val="202020"/>
        </w:rPr>
        <w:t xml:space="preserve">Para la regulación de las condiciones de las entidades colaboradoras </w:t>
      </w:r>
      <w:r>
        <w:rPr>
          <w:rFonts w:ascii="Arial" w:eastAsia="Arial" w:hAnsi="Arial" w:cs="Arial"/>
          <w:i/>
          <w:color w:val="202020"/>
        </w:rPr>
        <w:t xml:space="preserve">se formalizará un convenio de colaboración entre el órgano administrativo concedente y la entidad colaboradora, en el que se regularán las condiciones y obligaciones asumidas por ésta. </w:t>
      </w:r>
    </w:p>
    <w:p w:rsidR="00FF384B" w:rsidRDefault="003E3BA9">
      <w:pPr>
        <w:numPr>
          <w:ilvl w:val="0"/>
          <w:numId w:val="197"/>
        </w:numPr>
        <w:spacing w:after="143" w:line="248" w:lineRule="auto"/>
        <w:ind w:right="244" w:hanging="10"/>
        <w:jc w:val="both"/>
      </w:pPr>
      <w:r>
        <w:rPr>
          <w:rFonts w:ascii="Arial" w:eastAsia="Arial" w:hAnsi="Arial" w:cs="Arial"/>
          <w:i/>
          <w:color w:val="202020"/>
        </w:rPr>
        <w:t>El convenio de colaboración no podrá tener un plazo de vigencia superi</w:t>
      </w:r>
      <w:r>
        <w:rPr>
          <w:rFonts w:ascii="Arial" w:eastAsia="Arial" w:hAnsi="Arial" w:cs="Arial"/>
          <w:i/>
          <w:color w:val="202020"/>
        </w:rPr>
        <w:t>or a tres años, si bien podrá preverse en el mismo, su modificación y su prórroga por mutuo acuerdo de las partes antes de la finalización de aquél, sin que la duración total de las prórrogas pueda ser superior a la vigencia del período inicial y sin que e</w:t>
      </w:r>
      <w:r>
        <w:rPr>
          <w:rFonts w:ascii="Arial" w:eastAsia="Arial" w:hAnsi="Arial" w:cs="Arial"/>
          <w:i/>
          <w:color w:val="202020"/>
        </w:rPr>
        <w:t xml:space="preserve">n conjunto, la duración total del convenio de colaboración pueda exceder de seis años. </w:t>
      </w:r>
      <w:r>
        <w:rPr>
          <w:rFonts w:ascii="Arial" w:eastAsia="Arial" w:hAnsi="Arial" w:cs="Arial"/>
          <w:color w:val="202020"/>
        </w:rPr>
        <w:t xml:space="preserve">Artículo 13. Órganos competentes para la concesión de subvenciones. </w:t>
      </w:r>
    </w:p>
    <w:p w:rsidR="00FF384B" w:rsidRDefault="003E3BA9">
      <w:pPr>
        <w:spacing w:after="143" w:line="248" w:lineRule="auto"/>
        <w:ind w:left="268" w:right="244" w:firstLine="708"/>
        <w:jc w:val="both"/>
      </w:pPr>
      <w:r>
        <w:rPr>
          <w:rFonts w:ascii="Arial" w:eastAsia="Arial" w:hAnsi="Arial" w:cs="Arial"/>
          <w:i/>
          <w:color w:val="202020"/>
        </w:rPr>
        <w:t>Son órganos competentes para la concesión de ayudas y subvenciones, la Alcaldía o persona en quien d</w:t>
      </w:r>
      <w:r>
        <w:rPr>
          <w:rFonts w:ascii="Arial" w:eastAsia="Arial" w:hAnsi="Arial" w:cs="Arial"/>
          <w:i/>
          <w:color w:val="202020"/>
        </w:rPr>
        <w:t xml:space="preserve">elegue. </w:t>
      </w:r>
    </w:p>
    <w:p w:rsidR="00FF384B" w:rsidRDefault="003E3BA9">
      <w:pPr>
        <w:spacing w:after="131"/>
        <w:ind w:left="283"/>
      </w:pPr>
      <w:r>
        <w:rPr>
          <w:noProof/>
        </w:rPr>
        <mc:AlternateContent>
          <mc:Choice Requires="wpg">
            <w:drawing>
              <wp:anchor distT="0" distB="0" distL="114300" distR="114300" simplePos="0" relativeHeight="2518210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9131" name="Group 46913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073" name="Picture 30073"/>
                          <pic:cNvPicPr/>
                        </pic:nvPicPr>
                        <pic:blipFill>
                          <a:blip r:embed="rId62"/>
                          <a:stretch>
                            <a:fillRect/>
                          </a:stretch>
                        </pic:blipFill>
                        <pic:spPr>
                          <a:xfrm rot="-5399999">
                            <a:off x="-1720849" y="1720849"/>
                            <a:ext cx="3797300" cy="355601"/>
                          </a:xfrm>
                          <a:prstGeom prst="rect">
                            <a:avLst/>
                          </a:prstGeom>
                        </pic:spPr>
                      </pic:pic>
                      <wps:wsp>
                        <wps:cNvPr id="30074" name="Rectangle 300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0075" name="Rectangle 3007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9131" style="width:41.2715pt;height:299pt;position:absolute;mso-position-horizontal-relative:page;mso-position-horizontal:absolute;margin-left:653.71pt;mso-position-vertical-relative:page;margin-top:512.92pt;" coordsize="5241,37973">
                <v:shape id="Picture 30073" style="position:absolute;width:37973;height:3556;left:-17208;top:17208;rotation:-89;" filled="f">
                  <v:imagedata r:id="rId63"/>
                </v:shape>
                <v:rect id="Rectangle 300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07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353 </w:t>
                        </w:r>
                      </w:p>
                    </w:txbxContent>
                  </v:textbox>
                </v:rect>
                <w10:wrap type="square"/>
              </v:group>
            </w:pict>
          </mc:Fallback>
        </mc:AlternateContent>
      </w:r>
      <w:r>
        <w:rPr>
          <w:rFonts w:ascii="Arial" w:eastAsia="Arial" w:hAnsi="Arial" w:cs="Arial"/>
          <w:i/>
          <w:color w:val="202020"/>
        </w:rPr>
        <w:t xml:space="preserve"> </w:t>
      </w:r>
    </w:p>
    <w:p w:rsidR="00FF384B" w:rsidRDefault="003E3BA9">
      <w:pPr>
        <w:spacing w:after="48" w:line="248" w:lineRule="auto"/>
        <w:ind w:left="278" w:right="244" w:hanging="10"/>
        <w:jc w:val="both"/>
      </w:pPr>
      <w:r>
        <w:rPr>
          <w:rFonts w:ascii="Arial" w:eastAsia="Arial" w:hAnsi="Arial" w:cs="Arial"/>
          <w:i/>
          <w:color w:val="202020"/>
        </w:rPr>
        <w:t xml:space="preserve">TÍTULO III. TIPOS Y PROCEDIMIENTOS DE CONCESIÓN DE LAS SUBVENCIONES </w:t>
      </w:r>
    </w:p>
    <w:p w:rsidR="00FF384B" w:rsidRDefault="003E3BA9">
      <w:pPr>
        <w:spacing w:after="0"/>
        <w:ind w:left="283"/>
      </w:pPr>
      <w:r>
        <w:rPr>
          <w:rFonts w:ascii="Arial" w:eastAsia="Arial" w:hAnsi="Arial" w:cs="Arial"/>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CAPÍTULO I. De los tipos y los procedimientos de concesión de las subvenciones. </w:t>
      </w:r>
    </w:p>
    <w:p w:rsidR="00FF384B" w:rsidRDefault="003E3BA9">
      <w:pPr>
        <w:spacing w:after="142" w:line="248" w:lineRule="auto"/>
        <w:ind w:left="278" w:right="244" w:hanging="10"/>
        <w:jc w:val="both"/>
      </w:pPr>
      <w:r>
        <w:rPr>
          <w:rFonts w:ascii="Arial" w:eastAsia="Arial" w:hAnsi="Arial" w:cs="Arial"/>
          <w:color w:val="202020"/>
        </w:rPr>
        <w:t xml:space="preserve">Artículo 14. Tipos de procedimiento de concesión. </w:t>
      </w:r>
    </w:p>
    <w:p w:rsidR="00FF384B" w:rsidRDefault="003E3BA9">
      <w:pPr>
        <w:numPr>
          <w:ilvl w:val="0"/>
          <w:numId w:val="198"/>
        </w:numPr>
        <w:spacing w:after="143" w:line="248" w:lineRule="auto"/>
        <w:ind w:right="244" w:hanging="10"/>
        <w:jc w:val="both"/>
      </w:pPr>
      <w:r>
        <w:rPr>
          <w:rFonts w:ascii="Arial" w:eastAsia="Arial" w:hAnsi="Arial" w:cs="Arial"/>
          <w:i/>
          <w:color w:val="202020"/>
        </w:rPr>
        <w:t>Las subvenciones podrán concederse en régimen de conc</w:t>
      </w:r>
      <w:r>
        <w:rPr>
          <w:rFonts w:ascii="Arial" w:eastAsia="Arial" w:hAnsi="Arial" w:cs="Arial"/>
          <w:i/>
          <w:color w:val="202020"/>
        </w:rPr>
        <w:t xml:space="preserve">urrencia competitiva que será el procedimiento ordinario, preferente y general o de forma directa. </w:t>
      </w:r>
    </w:p>
    <w:p w:rsidR="00FF384B" w:rsidRDefault="003E3BA9">
      <w:pPr>
        <w:spacing w:after="143" w:line="248" w:lineRule="auto"/>
        <w:ind w:left="278" w:right="244" w:hanging="10"/>
        <w:jc w:val="both"/>
      </w:pPr>
      <w:r>
        <w:rPr>
          <w:rFonts w:ascii="Arial" w:eastAsia="Arial" w:hAnsi="Arial" w:cs="Arial"/>
          <w:i/>
          <w:color w:val="202020"/>
        </w:rPr>
        <w:t xml:space="preserve">Podrán concederse de forma directa, cuando así se prevea en el Plan Estratégico, las siguientes subvenciones: </w:t>
      </w:r>
    </w:p>
    <w:p w:rsidR="00FF384B" w:rsidRDefault="003E3BA9">
      <w:pPr>
        <w:numPr>
          <w:ilvl w:val="1"/>
          <w:numId w:val="198"/>
        </w:numPr>
        <w:spacing w:after="89" w:line="248" w:lineRule="auto"/>
        <w:ind w:right="244" w:hanging="259"/>
        <w:jc w:val="both"/>
      </w:pPr>
      <w:r>
        <w:rPr>
          <w:rFonts w:ascii="Arial" w:eastAsia="Arial" w:hAnsi="Arial" w:cs="Arial"/>
          <w:i/>
          <w:color w:val="202020"/>
        </w:rPr>
        <w:t>Las previstas nominativamente en el Presupues</w:t>
      </w:r>
      <w:r>
        <w:rPr>
          <w:rFonts w:ascii="Arial" w:eastAsia="Arial" w:hAnsi="Arial" w:cs="Arial"/>
          <w:i/>
          <w:color w:val="202020"/>
        </w:rPr>
        <w:t xml:space="preserve">to General Municipal. </w:t>
      </w:r>
    </w:p>
    <w:p w:rsidR="00FF384B" w:rsidRDefault="003E3BA9">
      <w:pPr>
        <w:numPr>
          <w:ilvl w:val="1"/>
          <w:numId w:val="198"/>
        </w:numPr>
        <w:spacing w:after="92" w:line="248" w:lineRule="auto"/>
        <w:ind w:right="244" w:hanging="259"/>
        <w:jc w:val="both"/>
      </w:pPr>
      <w:r>
        <w:rPr>
          <w:rFonts w:ascii="Arial" w:eastAsia="Arial" w:hAnsi="Arial" w:cs="Arial"/>
          <w:i/>
          <w:color w:val="202020"/>
        </w:rPr>
        <w:t xml:space="preserve">Aquellas cuyo otorgamiento o cuantía vengan impuestos por una norma de rango legal, que seguirán el procedimiento de concesión que les resulte de aplicación de acuerdo con su propia normativa. </w:t>
      </w:r>
    </w:p>
    <w:p w:rsidR="00FF384B" w:rsidRDefault="003E3BA9">
      <w:pPr>
        <w:numPr>
          <w:ilvl w:val="1"/>
          <w:numId w:val="198"/>
        </w:numPr>
        <w:spacing w:after="92" w:line="248" w:lineRule="auto"/>
        <w:ind w:right="244" w:hanging="259"/>
        <w:jc w:val="both"/>
      </w:pPr>
      <w:r>
        <w:rPr>
          <w:rFonts w:ascii="Arial" w:eastAsia="Arial" w:hAnsi="Arial" w:cs="Arial"/>
          <w:i/>
          <w:color w:val="202020"/>
        </w:rPr>
        <w:t>Con carácter excepcional, aquellas otra</w:t>
      </w:r>
      <w:r>
        <w:rPr>
          <w:rFonts w:ascii="Arial" w:eastAsia="Arial" w:hAnsi="Arial" w:cs="Arial"/>
          <w:i/>
          <w:color w:val="202020"/>
        </w:rPr>
        <w:t xml:space="preserve">s subvenciones en que se acrediten razones de interés público, social, económico o humanitario. </w:t>
      </w:r>
    </w:p>
    <w:p w:rsidR="00FF384B" w:rsidRDefault="003E3BA9">
      <w:pPr>
        <w:numPr>
          <w:ilvl w:val="0"/>
          <w:numId w:val="198"/>
        </w:numPr>
        <w:spacing w:after="143" w:line="248" w:lineRule="auto"/>
        <w:ind w:right="244" w:hanging="10"/>
        <w:jc w:val="both"/>
      </w:pPr>
      <w:r>
        <w:rPr>
          <w:rFonts w:ascii="Arial" w:eastAsia="Arial" w:hAnsi="Arial" w:cs="Arial"/>
          <w:i/>
          <w:color w:val="202020"/>
        </w:rPr>
        <w:t xml:space="preserve">El importe de las subvenciones concedidas no podrá ser superior a las previstas en las convocatorias. </w:t>
      </w:r>
    </w:p>
    <w:p w:rsidR="00FF384B" w:rsidRDefault="003E3BA9">
      <w:pPr>
        <w:spacing w:after="142" w:line="248" w:lineRule="auto"/>
        <w:ind w:left="278" w:right="244" w:hanging="10"/>
        <w:jc w:val="both"/>
      </w:pPr>
      <w:r>
        <w:rPr>
          <w:rFonts w:ascii="Arial" w:eastAsia="Arial" w:hAnsi="Arial" w:cs="Arial"/>
          <w:color w:val="202020"/>
        </w:rPr>
        <w:t xml:space="preserve">Artículo 15. Procedimientos de concesión. </w:t>
      </w:r>
    </w:p>
    <w:p w:rsidR="00FF384B" w:rsidRDefault="003E3BA9">
      <w:pPr>
        <w:numPr>
          <w:ilvl w:val="0"/>
          <w:numId w:val="199"/>
        </w:numPr>
        <w:spacing w:after="143" w:line="248" w:lineRule="auto"/>
        <w:ind w:right="244" w:hanging="10"/>
        <w:jc w:val="both"/>
      </w:pPr>
      <w:r>
        <w:rPr>
          <w:rFonts w:ascii="Arial" w:eastAsia="Arial" w:hAnsi="Arial" w:cs="Arial"/>
          <w:i/>
          <w:color w:val="202020"/>
        </w:rPr>
        <w:t xml:space="preserve">El procedimiento ordinario de concesión de subvenciones se tramitará en régimen de concurrencia competitiva. </w:t>
      </w:r>
    </w:p>
    <w:p w:rsidR="00FF384B" w:rsidRDefault="003E3BA9">
      <w:pPr>
        <w:spacing w:after="143" w:line="248" w:lineRule="auto"/>
        <w:ind w:left="278" w:right="244" w:hanging="10"/>
        <w:jc w:val="both"/>
      </w:pPr>
      <w:r>
        <w:rPr>
          <w:rFonts w:ascii="Arial" w:eastAsia="Arial" w:hAnsi="Arial" w:cs="Arial"/>
          <w:i/>
          <w:color w:val="202020"/>
        </w:rPr>
        <w:t>Tendrá esta consideración el procedimiento mediante el cual, la concesión de las subvenciones se realiza mediante la comparación de las solicitude</w:t>
      </w:r>
      <w:r>
        <w:rPr>
          <w:rFonts w:ascii="Arial" w:eastAsia="Arial" w:hAnsi="Arial" w:cs="Arial"/>
          <w:i/>
          <w:color w:val="202020"/>
        </w:rPr>
        <w:t>s presentadas dentro de un plazo limitado, a fin de establecer una prelación entre las mismas, de acuerdo con los criterios de valoración previamente fijados en las bases reguladoras y en la convocatoria, y adjudicar, con el límite fijado en las respectiva</w:t>
      </w:r>
      <w:r>
        <w:rPr>
          <w:rFonts w:ascii="Arial" w:eastAsia="Arial" w:hAnsi="Arial" w:cs="Arial"/>
          <w:i/>
          <w:color w:val="202020"/>
        </w:rPr>
        <w:t>s convocatorias o bases reguladoras dentro del crédito disponible, aquellas que hayan obtenido mayor valoración en aplicación de los citados criterios. La Valoración de los proyectos deberá ser realizada por cada Concejalía, que elevará su propuesta al órg</w:t>
      </w:r>
      <w:r>
        <w:rPr>
          <w:rFonts w:ascii="Arial" w:eastAsia="Arial" w:hAnsi="Arial" w:cs="Arial"/>
          <w:i/>
          <w:color w:val="202020"/>
        </w:rPr>
        <w:t xml:space="preserve">ano concedente a través del instructor. </w:t>
      </w:r>
    </w:p>
    <w:p w:rsidR="00FF384B" w:rsidRDefault="003E3BA9">
      <w:pPr>
        <w:spacing w:after="143" w:line="248" w:lineRule="auto"/>
        <w:ind w:left="278" w:right="244" w:hanging="10"/>
        <w:jc w:val="both"/>
      </w:pPr>
      <w:r>
        <w:rPr>
          <w:rFonts w:ascii="Arial" w:eastAsia="Arial" w:hAnsi="Arial" w:cs="Arial"/>
          <w:i/>
          <w:color w:val="202020"/>
        </w:rPr>
        <w:t xml:space="preserve">No obstante lo dispuesto en el apartado anterior, en la convocatoria podrán establecer un procedimiento simplificado de concurrencia competitiva. </w:t>
      </w:r>
    </w:p>
    <w:p w:rsidR="00FF384B" w:rsidRDefault="003E3BA9">
      <w:pPr>
        <w:numPr>
          <w:ilvl w:val="0"/>
          <w:numId w:val="199"/>
        </w:numPr>
        <w:spacing w:after="143" w:line="248" w:lineRule="auto"/>
        <w:ind w:right="244" w:hanging="10"/>
        <w:jc w:val="both"/>
      </w:pPr>
      <w:r>
        <w:rPr>
          <w:rFonts w:ascii="Arial" w:eastAsia="Arial" w:hAnsi="Arial" w:cs="Arial"/>
          <w:i/>
          <w:color w:val="202020"/>
        </w:rPr>
        <w:t>Excepcionalmente, en función del objeto de la convocatoria o base re</w:t>
      </w:r>
      <w:r>
        <w:rPr>
          <w:rFonts w:ascii="Arial" w:eastAsia="Arial" w:hAnsi="Arial" w:cs="Arial"/>
          <w:i/>
          <w:color w:val="202020"/>
        </w:rPr>
        <w:t xml:space="preserve">guladora, siempre que así se prevea en la misma, el órgano competente procederá al prorrateo, entre los beneficiarios de la subvención, del importe global máximo destinado a las subvenciones. </w:t>
      </w:r>
    </w:p>
    <w:p w:rsidR="00FF384B" w:rsidRDefault="003E3BA9">
      <w:pPr>
        <w:numPr>
          <w:ilvl w:val="0"/>
          <w:numId w:val="199"/>
        </w:numPr>
        <w:spacing w:after="143" w:line="248" w:lineRule="auto"/>
        <w:ind w:right="244" w:hanging="10"/>
        <w:jc w:val="both"/>
      </w:pPr>
      <w:r>
        <w:rPr>
          <w:rFonts w:ascii="Arial" w:eastAsia="Arial" w:hAnsi="Arial" w:cs="Arial"/>
          <w:i/>
          <w:color w:val="202020"/>
        </w:rPr>
        <w:t>Podrán concederse de forma directa las previstas nominativament</w:t>
      </w:r>
      <w:r>
        <w:rPr>
          <w:rFonts w:ascii="Arial" w:eastAsia="Arial" w:hAnsi="Arial" w:cs="Arial"/>
          <w:i/>
          <w:color w:val="202020"/>
        </w:rPr>
        <w:t xml:space="preserve">e en el presupuesto general municipal, de acuerdo con el procedimiento regulado en la presente normativa. </w:t>
      </w:r>
    </w:p>
    <w:p w:rsidR="00FF384B" w:rsidRDefault="003E3BA9">
      <w:pPr>
        <w:spacing w:after="142" w:line="248" w:lineRule="auto"/>
        <w:ind w:left="278" w:right="244" w:hanging="10"/>
        <w:jc w:val="both"/>
      </w:pPr>
      <w:r>
        <w:rPr>
          <w:rFonts w:ascii="Arial" w:eastAsia="Arial" w:hAnsi="Arial" w:cs="Arial"/>
          <w:color w:val="202020"/>
        </w:rPr>
        <w:t xml:space="preserve">Artículo 16. Subvenciones plurianuales. </w:t>
      </w:r>
    </w:p>
    <w:p w:rsidR="00FF384B" w:rsidRDefault="003E3BA9">
      <w:pPr>
        <w:numPr>
          <w:ilvl w:val="0"/>
          <w:numId w:val="200"/>
        </w:numPr>
        <w:spacing w:after="143" w:line="248" w:lineRule="auto"/>
        <w:ind w:right="244" w:hanging="10"/>
        <w:jc w:val="both"/>
      </w:pPr>
      <w:r>
        <w:rPr>
          <w:rFonts w:ascii="Arial" w:eastAsia="Arial" w:hAnsi="Arial" w:cs="Arial"/>
          <w:i/>
          <w:color w:val="202020"/>
        </w:rPr>
        <w:t xml:space="preserve">Podrá autorizarse la convocatoria de subvenciones cuyo gasto sea imputable a ejercicios posteriores a aquél </w:t>
      </w:r>
      <w:r>
        <w:rPr>
          <w:rFonts w:ascii="Arial" w:eastAsia="Arial" w:hAnsi="Arial" w:cs="Arial"/>
          <w:i/>
          <w:color w:val="202020"/>
        </w:rPr>
        <w:t xml:space="preserve">en que recaiga resolución de concesión. </w:t>
      </w:r>
    </w:p>
    <w:p w:rsidR="00FF384B" w:rsidRDefault="003E3BA9">
      <w:pPr>
        <w:numPr>
          <w:ilvl w:val="0"/>
          <w:numId w:val="200"/>
        </w:numPr>
        <w:spacing w:after="143" w:line="248" w:lineRule="auto"/>
        <w:ind w:right="244" w:hanging="10"/>
        <w:jc w:val="both"/>
      </w:pPr>
      <w:r>
        <w:rPr>
          <w:noProof/>
        </w:rPr>
        <mc:AlternateContent>
          <mc:Choice Requires="wpg">
            <w:drawing>
              <wp:anchor distT="0" distB="0" distL="114300" distR="114300" simplePos="0" relativeHeight="2518220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9473" name="Group 46947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213" name="Picture 30213"/>
                          <pic:cNvPicPr/>
                        </pic:nvPicPr>
                        <pic:blipFill>
                          <a:blip r:embed="rId62"/>
                          <a:stretch>
                            <a:fillRect/>
                          </a:stretch>
                        </pic:blipFill>
                        <pic:spPr>
                          <a:xfrm rot="-5399999">
                            <a:off x="-1720849" y="1720849"/>
                            <a:ext cx="3797300" cy="355601"/>
                          </a:xfrm>
                          <a:prstGeom prst="rect">
                            <a:avLst/>
                          </a:prstGeom>
                        </pic:spPr>
                      </pic:pic>
                      <wps:wsp>
                        <wps:cNvPr id="30214" name="Rectangle 3021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0215" name="Rectangle 3021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159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9473" style="width:41.2715pt;height:299pt;position:absolute;mso-position-horizontal-relative:page;mso-position-horizontal:absolute;margin-left:653.71pt;mso-position-vertical-relative:page;margin-top:512.92pt;" coordsize="5241,37973">
                <v:shape id="Picture 30213" style="position:absolute;width:37973;height:3556;left:-17208;top:17208;rotation:-89;" filled="f">
                  <v:imagedata r:id="rId63"/>
                </v:shape>
                <v:rect id="Rectangle 3021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21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353 </w:t>
                        </w:r>
                      </w:p>
                    </w:txbxContent>
                  </v:textbox>
                </v:rect>
                <w10:wrap type="square"/>
              </v:group>
            </w:pict>
          </mc:Fallback>
        </mc:AlternateContent>
      </w:r>
      <w:r>
        <w:rPr>
          <w:rFonts w:ascii="Arial" w:eastAsia="Arial" w:hAnsi="Arial" w:cs="Arial"/>
          <w:i/>
          <w:color w:val="202020"/>
        </w:rPr>
        <w:t>En la convocatori</w:t>
      </w:r>
      <w:r>
        <w:rPr>
          <w:rFonts w:ascii="Arial" w:eastAsia="Arial" w:hAnsi="Arial" w:cs="Arial"/>
          <w:i/>
          <w:color w:val="202020"/>
        </w:rPr>
        <w:t>a deberá indicarse la cuantía total máxima a conceder, así como su distribución por anualidades, dentro de los límites fijados en la normativa presupuestaria, atendiendo al momento en que se prevea realizar el gasto derivado de las subvenciones que se conc</w:t>
      </w:r>
      <w:r>
        <w:rPr>
          <w:rFonts w:ascii="Arial" w:eastAsia="Arial" w:hAnsi="Arial" w:cs="Arial"/>
          <w:i/>
          <w:color w:val="202020"/>
        </w:rPr>
        <w:t>edan. Dicha distribución tendrá carácter estimado cuando las normas reguladoras hayan contemplado la posibilidad de los solicitantes de optar por el pago anticipado. La modificación de la distribución inicialmente aprobada requerirá la tramitación del corr</w:t>
      </w:r>
      <w:r>
        <w:rPr>
          <w:rFonts w:ascii="Arial" w:eastAsia="Arial" w:hAnsi="Arial" w:cs="Arial"/>
          <w:i/>
          <w:color w:val="202020"/>
        </w:rPr>
        <w:t xml:space="preserve">espondiente expediente de reajuste de anualidades. </w:t>
      </w:r>
    </w:p>
    <w:p w:rsidR="00FF384B" w:rsidRDefault="003E3BA9">
      <w:pPr>
        <w:numPr>
          <w:ilvl w:val="0"/>
          <w:numId w:val="200"/>
        </w:numPr>
        <w:spacing w:after="143" w:line="248" w:lineRule="auto"/>
        <w:ind w:right="244" w:hanging="10"/>
        <w:jc w:val="both"/>
      </w:pPr>
      <w:r>
        <w:rPr>
          <w:rFonts w:ascii="Arial" w:eastAsia="Arial" w:hAnsi="Arial" w:cs="Arial"/>
          <w:i/>
          <w:color w:val="202020"/>
        </w:rPr>
        <w:t>Cuando se haya previsto expresamente en la normativa reguladora la posibilidad de efectuar pagos a cuenta, en la resolución de concesión de una subvención plurianual se señalará la distribución por anualidades de la cuantía atendiendo al ritmo de ejecución</w:t>
      </w:r>
      <w:r>
        <w:rPr>
          <w:rFonts w:ascii="Arial" w:eastAsia="Arial" w:hAnsi="Arial" w:cs="Arial"/>
          <w:i/>
          <w:color w:val="202020"/>
        </w:rPr>
        <w:t xml:space="preserve"> de la acción subvencionada. La imputación a cada ejercicio se realizará previa aportación de la justificación equivalente a la cuantía que corresponda. La alteración del calendario de ejecución requerirá acuerdo al efecto. </w:t>
      </w:r>
    </w:p>
    <w:p w:rsidR="00FF384B" w:rsidRDefault="003E3BA9">
      <w:pPr>
        <w:numPr>
          <w:ilvl w:val="0"/>
          <w:numId w:val="200"/>
        </w:numPr>
        <w:spacing w:after="143" w:line="248" w:lineRule="auto"/>
        <w:ind w:right="244" w:hanging="10"/>
        <w:jc w:val="both"/>
      </w:pPr>
      <w:r>
        <w:rPr>
          <w:rFonts w:ascii="Arial" w:eastAsia="Arial" w:hAnsi="Arial" w:cs="Arial"/>
          <w:i/>
          <w:color w:val="202020"/>
        </w:rPr>
        <w:t xml:space="preserve">Las convocatorias en lo relativo a ejercicios posteriores, quedarán en todo caso condicionadas a la existencia de consignación adecuada y suficiente en cada uno de los ejercicios presupuestarios. </w:t>
      </w:r>
    </w:p>
    <w:p w:rsidR="00FF384B" w:rsidRDefault="003E3BA9">
      <w:pPr>
        <w:numPr>
          <w:ilvl w:val="0"/>
          <w:numId w:val="200"/>
        </w:numPr>
        <w:spacing w:after="294" w:line="248" w:lineRule="auto"/>
        <w:ind w:right="244" w:hanging="10"/>
        <w:jc w:val="both"/>
      </w:pPr>
      <w:r>
        <w:rPr>
          <w:rFonts w:ascii="Arial" w:eastAsia="Arial" w:hAnsi="Arial" w:cs="Arial"/>
          <w:i/>
          <w:color w:val="202020"/>
        </w:rPr>
        <w:t>En todo caso la duración de la convocatoria de subvenciones</w:t>
      </w:r>
      <w:r>
        <w:rPr>
          <w:rFonts w:ascii="Arial" w:eastAsia="Arial" w:hAnsi="Arial" w:cs="Arial"/>
          <w:i/>
          <w:color w:val="202020"/>
        </w:rPr>
        <w:t xml:space="preserve"> no podrá superar el plazo de vigencia del correspondiente Plan Estratégico de Subvenciones </w:t>
      </w:r>
    </w:p>
    <w:p w:rsidR="00FF384B" w:rsidRDefault="003E3BA9">
      <w:pPr>
        <w:spacing w:after="94" w:line="248" w:lineRule="auto"/>
        <w:ind w:left="278" w:right="244" w:hanging="10"/>
        <w:jc w:val="both"/>
      </w:pPr>
      <w:r>
        <w:rPr>
          <w:rFonts w:ascii="Arial" w:eastAsia="Arial" w:hAnsi="Arial" w:cs="Arial"/>
          <w:i/>
          <w:color w:val="202020"/>
        </w:rPr>
        <w:t>CAPÍTULO II. Del procedimiento de concesión en régimen de concurrencia competitiva.</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17. Iniciación. </w:t>
      </w:r>
    </w:p>
    <w:p w:rsidR="00FF384B" w:rsidRDefault="003E3BA9">
      <w:pPr>
        <w:numPr>
          <w:ilvl w:val="0"/>
          <w:numId w:val="201"/>
        </w:numPr>
        <w:spacing w:after="143" w:line="248" w:lineRule="auto"/>
        <w:ind w:right="244" w:hanging="247"/>
        <w:jc w:val="both"/>
      </w:pPr>
      <w:r>
        <w:rPr>
          <w:rFonts w:ascii="Arial" w:eastAsia="Arial" w:hAnsi="Arial" w:cs="Arial"/>
          <w:i/>
          <w:color w:val="202020"/>
        </w:rPr>
        <w:t>El procedimiento para la concesión de subvenciones s</w:t>
      </w:r>
      <w:r>
        <w:rPr>
          <w:rFonts w:ascii="Arial" w:eastAsia="Arial" w:hAnsi="Arial" w:cs="Arial"/>
          <w:i/>
          <w:color w:val="202020"/>
        </w:rPr>
        <w:t xml:space="preserve">e inicia siempre de oficio. </w:t>
      </w:r>
    </w:p>
    <w:p w:rsidR="00FF384B" w:rsidRDefault="003E3BA9">
      <w:pPr>
        <w:numPr>
          <w:ilvl w:val="0"/>
          <w:numId w:val="201"/>
        </w:numPr>
        <w:spacing w:after="143" w:line="248" w:lineRule="auto"/>
        <w:ind w:right="244" w:hanging="247"/>
        <w:jc w:val="both"/>
      </w:pPr>
      <w:r>
        <w:rPr>
          <w:rFonts w:ascii="Arial" w:eastAsia="Arial" w:hAnsi="Arial" w:cs="Arial"/>
          <w:i/>
          <w:color w:val="202020"/>
        </w:rPr>
        <w:t>La iniciación de oficio se realizará siempre mediante convocatoria aprobada por la Alcaldía, que desarrollará el procedimiento para la concesión de las subvenciones convocadas según lo establecido en la presente Ordenanza, y de</w:t>
      </w:r>
      <w:r>
        <w:rPr>
          <w:rFonts w:ascii="Arial" w:eastAsia="Arial" w:hAnsi="Arial" w:cs="Arial"/>
          <w:i/>
          <w:color w:val="202020"/>
        </w:rPr>
        <w:t xml:space="preserve"> acuerdo con los principios de la legislación vigente en materia de procedimiento administrativo y de las bases de ejecución del presupuesto y demás disposiciones aplicables. </w:t>
      </w:r>
    </w:p>
    <w:p w:rsidR="00FF384B" w:rsidRDefault="003E3BA9">
      <w:pPr>
        <w:numPr>
          <w:ilvl w:val="0"/>
          <w:numId w:val="201"/>
        </w:numPr>
        <w:spacing w:after="143" w:line="248" w:lineRule="auto"/>
        <w:ind w:right="244" w:hanging="247"/>
        <w:jc w:val="both"/>
      </w:pPr>
      <w:r>
        <w:rPr>
          <w:rFonts w:ascii="Arial" w:eastAsia="Arial" w:hAnsi="Arial" w:cs="Arial"/>
          <w:i/>
          <w:color w:val="202020"/>
        </w:rPr>
        <w:t>El órgano municipal responsable, en función de la materia, una vez recabado el d</w:t>
      </w:r>
      <w:r>
        <w:rPr>
          <w:rFonts w:ascii="Arial" w:eastAsia="Arial" w:hAnsi="Arial" w:cs="Arial"/>
          <w:i/>
          <w:color w:val="202020"/>
        </w:rPr>
        <w:t>ocumento contable de retención de gasto, dentro de los créditos disponibles en el presupuesto, y previo el informe preceptivo de la Intervención municipal, someterá la propuesta de la convocatoria al órgano competente para su aprobación. Aprobación que deb</w:t>
      </w:r>
      <w:r>
        <w:rPr>
          <w:rFonts w:ascii="Arial" w:eastAsia="Arial" w:hAnsi="Arial" w:cs="Arial"/>
          <w:i/>
          <w:color w:val="202020"/>
        </w:rPr>
        <w:t xml:space="preserve">erá publicarse de acuerdo con la normativa vigente, así como en la sede electrónica del Ayuntamiento de Candelaria. </w:t>
      </w:r>
    </w:p>
    <w:p w:rsidR="00FF384B" w:rsidRDefault="003E3BA9">
      <w:pPr>
        <w:spacing w:after="143" w:line="248" w:lineRule="auto"/>
        <w:ind w:left="268" w:right="244" w:firstLine="708"/>
        <w:jc w:val="both"/>
      </w:pPr>
      <w:r>
        <w:rPr>
          <w:rFonts w:ascii="Arial" w:eastAsia="Arial" w:hAnsi="Arial" w:cs="Arial"/>
          <w:i/>
          <w:color w:val="202020"/>
        </w:rPr>
        <w:t xml:space="preserve">Si la convocatoria así lo establece, podrá realizarse la tramitación anticipada en las condiciones prevista en esta misma Ordenanza. </w:t>
      </w:r>
    </w:p>
    <w:p w:rsidR="00FF384B" w:rsidRDefault="003E3BA9">
      <w:pPr>
        <w:numPr>
          <w:ilvl w:val="0"/>
          <w:numId w:val="201"/>
        </w:numPr>
        <w:spacing w:after="143" w:line="248" w:lineRule="auto"/>
        <w:ind w:right="244" w:hanging="247"/>
        <w:jc w:val="both"/>
      </w:pPr>
      <w:r>
        <w:rPr>
          <w:rFonts w:ascii="Arial" w:eastAsia="Arial" w:hAnsi="Arial" w:cs="Arial"/>
          <w:i/>
          <w:color w:val="202020"/>
        </w:rPr>
        <w:t>La co</w:t>
      </w:r>
      <w:r>
        <w:rPr>
          <w:rFonts w:ascii="Arial" w:eastAsia="Arial" w:hAnsi="Arial" w:cs="Arial"/>
          <w:i/>
          <w:color w:val="202020"/>
        </w:rPr>
        <w:t xml:space="preserve">nvocatoria incluirá, además de los requisitos previstos en la legislación vigente, los establecidos en el Anexo 1 de esta Ordenanza. </w:t>
      </w:r>
    </w:p>
    <w:p w:rsidR="00FF384B" w:rsidRDefault="003E3BA9">
      <w:pPr>
        <w:numPr>
          <w:ilvl w:val="0"/>
          <w:numId w:val="201"/>
        </w:numPr>
        <w:spacing w:after="143" w:line="248" w:lineRule="auto"/>
        <w:ind w:right="244" w:hanging="247"/>
        <w:jc w:val="both"/>
      </w:pPr>
      <w:r>
        <w:rPr>
          <w:rFonts w:ascii="Arial" w:eastAsia="Arial" w:hAnsi="Arial" w:cs="Arial"/>
          <w:i/>
          <w:color w:val="202020"/>
        </w:rPr>
        <w:t xml:space="preserve">Las solicitudes de subvención se presentarán en la forma y plazo que se establezcan en la convocatoria. </w:t>
      </w:r>
    </w:p>
    <w:p w:rsidR="00FF384B" w:rsidRDefault="003E3BA9">
      <w:pPr>
        <w:numPr>
          <w:ilvl w:val="0"/>
          <w:numId w:val="201"/>
        </w:numPr>
        <w:spacing w:after="143" w:line="248" w:lineRule="auto"/>
        <w:ind w:right="244" w:hanging="247"/>
        <w:jc w:val="both"/>
      </w:pPr>
      <w:r>
        <w:rPr>
          <w:rFonts w:ascii="Arial" w:eastAsia="Arial" w:hAnsi="Arial" w:cs="Arial"/>
          <w:i/>
          <w:color w:val="202020"/>
        </w:rPr>
        <w:t>Las solicitudes y</w:t>
      </w:r>
      <w:r>
        <w:rPr>
          <w:rFonts w:ascii="Arial" w:eastAsia="Arial" w:hAnsi="Arial" w:cs="Arial"/>
          <w:i/>
          <w:color w:val="202020"/>
        </w:rPr>
        <w:t xml:space="preserve"> la documentación requerida se presentarán conforme a los modelos normalizados, que se mantendrán actualizados en el portal de subvenciones de la sede electrónica del Ayuntamiento de Candelaria. </w:t>
      </w:r>
    </w:p>
    <w:p w:rsidR="00FF384B" w:rsidRDefault="003E3BA9">
      <w:pPr>
        <w:numPr>
          <w:ilvl w:val="0"/>
          <w:numId w:val="201"/>
        </w:numPr>
        <w:spacing w:after="143" w:line="248" w:lineRule="auto"/>
        <w:ind w:right="244" w:hanging="247"/>
        <w:jc w:val="both"/>
      </w:pPr>
      <w:r>
        <w:rPr>
          <w:noProof/>
        </w:rPr>
        <mc:AlternateContent>
          <mc:Choice Requires="wpg">
            <w:drawing>
              <wp:anchor distT="0" distB="0" distL="114300" distR="114300" simplePos="0" relativeHeight="2518231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69880" name="Group 4698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362" name="Picture 30362"/>
                          <pic:cNvPicPr/>
                        </pic:nvPicPr>
                        <pic:blipFill>
                          <a:blip r:embed="rId62"/>
                          <a:stretch>
                            <a:fillRect/>
                          </a:stretch>
                        </pic:blipFill>
                        <pic:spPr>
                          <a:xfrm rot="-5399999">
                            <a:off x="-1720849" y="1720849"/>
                            <a:ext cx="3797300" cy="355601"/>
                          </a:xfrm>
                          <a:prstGeom prst="rect">
                            <a:avLst/>
                          </a:prstGeom>
                        </pic:spPr>
                      </pic:pic>
                      <wps:wsp>
                        <wps:cNvPr id="30363" name="Rectangle 3036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0364" name="Rectangle 3036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69880" style="width:41.2715pt;height:299pt;position:absolute;mso-position-horizontal-relative:page;mso-position-horizontal:absolute;margin-left:653.71pt;mso-position-vertical-relative:page;margin-top:512.92pt;" coordsize="5241,37973">
                <v:shape id="Picture 30362" style="position:absolute;width:37973;height:3556;left:-17208;top:17208;rotation:-89;" filled="f">
                  <v:imagedata r:id="rId63"/>
                </v:shape>
                <v:rect id="Rectangle 3036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36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353 </w:t>
                        </w:r>
                      </w:p>
                    </w:txbxContent>
                  </v:textbox>
                </v:rect>
                <w10:wrap type="square"/>
              </v:group>
            </w:pict>
          </mc:Fallback>
        </mc:AlternateContent>
      </w:r>
      <w:r>
        <w:rPr>
          <w:rFonts w:ascii="Arial" w:eastAsia="Arial" w:hAnsi="Arial" w:cs="Arial"/>
          <w:i/>
          <w:color w:val="202020"/>
        </w:rPr>
        <w:t>La convocatoria podrá prever la sustitución de la presentació</w:t>
      </w:r>
      <w:r>
        <w:rPr>
          <w:rFonts w:ascii="Arial" w:eastAsia="Arial" w:hAnsi="Arial" w:cs="Arial"/>
          <w:i/>
          <w:color w:val="202020"/>
        </w:rPr>
        <w:t>n de determinados documentos por una declaración responsable del solicitante. En este caso, con anterioridad a la propuesta de resolución de concesión de la subvención, se deberá requerir por el órgano instructor la presentación de la documentación que acr</w:t>
      </w:r>
      <w:r>
        <w:rPr>
          <w:rFonts w:ascii="Arial" w:eastAsia="Arial" w:hAnsi="Arial" w:cs="Arial"/>
          <w:i/>
          <w:color w:val="202020"/>
        </w:rPr>
        <w:t>edite la realidad de los datos contenidos en la citada declaración, en un plazo no superior a diez días. El incumplimiento de dicha condición implicará el desistimiento de la solicitud, previa resolución del órgano competente. No se podrá requerir la aport</w:t>
      </w:r>
      <w:r>
        <w:rPr>
          <w:rFonts w:ascii="Arial" w:eastAsia="Arial" w:hAnsi="Arial" w:cs="Arial"/>
          <w:i/>
          <w:color w:val="202020"/>
        </w:rPr>
        <w:t xml:space="preserve">ación de documentos que ya obren en poder del Ayuntamiento. </w:t>
      </w:r>
    </w:p>
    <w:p w:rsidR="00FF384B" w:rsidRDefault="003E3BA9">
      <w:pPr>
        <w:numPr>
          <w:ilvl w:val="0"/>
          <w:numId w:val="201"/>
        </w:numPr>
        <w:spacing w:after="143" w:line="248" w:lineRule="auto"/>
        <w:ind w:right="244" w:hanging="247"/>
        <w:jc w:val="both"/>
      </w:pPr>
      <w:r>
        <w:rPr>
          <w:rFonts w:ascii="Arial" w:eastAsia="Arial" w:hAnsi="Arial" w:cs="Arial"/>
          <w:i/>
          <w:color w:val="202020"/>
        </w:rPr>
        <w:t xml:space="preserve">La presentación de la documentación en formato electrónico será obligatoria si así se establece en la convocatoria. </w:t>
      </w:r>
    </w:p>
    <w:p w:rsidR="00FF384B" w:rsidRDefault="003E3BA9">
      <w:pPr>
        <w:numPr>
          <w:ilvl w:val="0"/>
          <w:numId w:val="201"/>
        </w:numPr>
        <w:spacing w:after="143" w:line="248" w:lineRule="auto"/>
        <w:ind w:right="244" w:hanging="247"/>
        <w:jc w:val="both"/>
      </w:pPr>
      <w:r>
        <w:rPr>
          <w:rFonts w:ascii="Arial" w:eastAsia="Arial" w:hAnsi="Arial" w:cs="Arial"/>
          <w:i/>
          <w:color w:val="202020"/>
        </w:rPr>
        <w:t>La presentación de la solicitud supone la autorización al órgano gestor munici</w:t>
      </w:r>
      <w:r>
        <w:rPr>
          <w:rFonts w:ascii="Arial" w:eastAsia="Arial" w:hAnsi="Arial" w:cs="Arial"/>
          <w:i/>
          <w:color w:val="202020"/>
        </w:rPr>
        <w:t xml:space="preserve">pal o de las entidades, para la solicitud telemática de los correspondientes certificados de la Agencia Tributaria, la Seguridad Social y Ayuntamiento de Candelaria. </w:t>
      </w:r>
    </w:p>
    <w:p w:rsidR="00FF384B" w:rsidRDefault="003E3BA9">
      <w:pPr>
        <w:spacing w:after="143" w:line="248" w:lineRule="auto"/>
        <w:ind w:left="278" w:right="244" w:hanging="10"/>
        <w:jc w:val="both"/>
      </w:pPr>
      <w:r>
        <w:rPr>
          <w:rFonts w:ascii="Arial" w:eastAsia="Arial" w:hAnsi="Arial" w:cs="Arial"/>
          <w:i/>
          <w:color w:val="202020"/>
        </w:rPr>
        <w:t>10.La presentación de la solicitud supone la autorización al órgano gestor municipal o de</w:t>
      </w:r>
      <w:r>
        <w:rPr>
          <w:rFonts w:ascii="Arial" w:eastAsia="Arial" w:hAnsi="Arial" w:cs="Arial"/>
          <w:i/>
          <w:color w:val="202020"/>
        </w:rPr>
        <w:t xml:space="preserve"> las entidades, para la comprobación de los datos de identificación, residencia, nivel y origen de renta y situación de Seguridad Social que se requieran. </w:t>
      </w:r>
    </w:p>
    <w:p w:rsidR="00FF384B" w:rsidRDefault="003E3BA9">
      <w:pPr>
        <w:spacing w:after="142" w:line="248" w:lineRule="auto"/>
        <w:ind w:left="278" w:right="244" w:hanging="10"/>
        <w:jc w:val="both"/>
      </w:pPr>
      <w:r>
        <w:rPr>
          <w:rFonts w:ascii="Arial" w:eastAsia="Arial" w:hAnsi="Arial" w:cs="Arial"/>
          <w:color w:val="202020"/>
        </w:rPr>
        <w:t xml:space="preserve">Artículo 18. Tramitación anticipada. </w:t>
      </w:r>
    </w:p>
    <w:p w:rsidR="00FF384B" w:rsidRDefault="003E3BA9">
      <w:pPr>
        <w:numPr>
          <w:ilvl w:val="0"/>
          <w:numId w:val="202"/>
        </w:numPr>
        <w:spacing w:after="143" w:line="248" w:lineRule="auto"/>
        <w:ind w:right="244" w:hanging="10"/>
        <w:jc w:val="both"/>
      </w:pPr>
      <w:r>
        <w:rPr>
          <w:rFonts w:ascii="Arial" w:eastAsia="Arial" w:hAnsi="Arial" w:cs="Arial"/>
          <w:i/>
          <w:color w:val="202020"/>
        </w:rPr>
        <w:t>La convocatoria podrá aprobarse en un ejercicio presupuestario</w:t>
      </w:r>
      <w:r>
        <w:rPr>
          <w:rFonts w:ascii="Arial" w:eastAsia="Arial" w:hAnsi="Arial" w:cs="Arial"/>
          <w:i/>
          <w:color w:val="202020"/>
        </w:rPr>
        <w:t xml:space="preserve"> anterior a aquél en el que vaya a tener lugar la resolución de la misma, siempre que la ejecución del gasto se realice en la misma anualidad en que se produce la concesión y se cumpla alguna de las siguientes circunstancias: </w:t>
      </w:r>
    </w:p>
    <w:p w:rsidR="00FF384B" w:rsidRDefault="003E3BA9">
      <w:pPr>
        <w:numPr>
          <w:ilvl w:val="1"/>
          <w:numId w:val="202"/>
        </w:numPr>
        <w:spacing w:after="92" w:line="248" w:lineRule="auto"/>
        <w:ind w:right="244" w:hanging="10"/>
        <w:jc w:val="both"/>
      </w:pPr>
      <w:r>
        <w:rPr>
          <w:rFonts w:ascii="Arial" w:eastAsia="Arial" w:hAnsi="Arial" w:cs="Arial"/>
          <w:i/>
          <w:color w:val="202020"/>
        </w:rPr>
        <w:t xml:space="preserve">Exista habitualmente crédito </w:t>
      </w:r>
      <w:r>
        <w:rPr>
          <w:rFonts w:ascii="Arial" w:eastAsia="Arial" w:hAnsi="Arial" w:cs="Arial"/>
          <w:i/>
          <w:color w:val="202020"/>
        </w:rPr>
        <w:t xml:space="preserve">adecuado y suficiente para la cobertura presupuestaria del gasto de que se trate en los Presupuestos Municipales. </w:t>
      </w:r>
    </w:p>
    <w:p w:rsidR="00FF384B" w:rsidRDefault="003E3BA9">
      <w:pPr>
        <w:numPr>
          <w:ilvl w:val="1"/>
          <w:numId w:val="202"/>
        </w:numPr>
        <w:spacing w:after="92" w:line="248" w:lineRule="auto"/>
        <w:ind w:right="244" w:hanging="10"/>
        <w:jc w:val="both"/>
      </w:pPr>
      <w:r>
        <w:rPr>
          <w:rFonts w:ascii="Arial" w:eastAsia="Arial" w:hAnsi="Arial" w:cs="Arial"/>
          <w:i/>
          <w:color w:val="202020"/>
        </w:rPr>
        <w:t xml:space="preserve">Exista crédito adecuado y suficiente en el proyecto de Presupuestos Municipales para el ejercicio siguiente. </w:t>
      </w:r>
    </w:p>
    <w:p w:rsidR="00FF384B" w:rsidRDefault="003E3BA9">
      <w:pPr>
        <w:numPr>
          <w:ilvl w:val="0"/>
          <w:numId w:val="202"/>
        </w:numPr>
        <w:spacing w:after="143" w:line="248" w:lineRule="auto"/>
        <w:ind w:right="244" w:hanging="10"/>
        <w:jc w:val="both"/>
      </w:pPr>
      <w:r>
        <w:rPr>
          <w:rFonts w:ascii="Arial" w:eastAsia="Arial" w:hAnsi="Arial" w:cs="Arial"/>
          <w:i/>
          <w:color w:val="202020"/>
        </w:rPr>
        <w:t>En estos casos, la cuantía tota</w:t>
      </w:r>
      <w:r>
        <w:rPr>
          <w:rFonts w:ascii="Arial" w:eastAsia="Arial" w:hAnsi="Arial" w:cs="Arial"/>
          <w:i/>
          <w:color w:val="202020"/>
        </w:rPr>
        <w:t>l máxima que figure en la convocatoria tendrá carácter estimado, por lo que deberá hacerse constar expresamente en la misma que la concesión de las subvenciones queda condicionada a la existencia de crédito adecuado y suficiente en el momento de la resoluc</w:t>
      </w:r>
      <w:r>
        <w:rPr>
          <w:rFonts w:ascii="Arial" w:eastAsia="Arial" w:hAnsi="Arial" w:cs="Arial"/>
          <w:i/>
          <w:color w:val="202020"/>
        </w:rPr>
        <w:t>ión de concesión. En los supuestos en los que el crédito presupuestario que resulte aprobado en el presupuesto Municipal fuera superior a la cuantía inicialmente estimada, el órgano gestor podrá decidir su aplicación o no a la convocatoria, previa tramitac</w:t>
      </w:r>
      <w:r>
        <w:rPr>
          <w:rFonts w:ascii="Arial" w:eastAsia="Arial" w:hAnsi="Arial" w:cs="Arial"/>
          <w:i/>
          <w:color w:val="202020"/>
        </w:rPr>
        <w:t xml:space="preserve">ión del correspondiente expediente de gasto antes de la resolución, sin necesidad de nueva convocatoria. </w:t>
      </w:r>
    </w:p>
    <w:p w:rsidR="00FF384B" w:rsidRDefault="003E3BA9">
      <w:pPr>
        <w:numPr>
          <w:ilvl w:val="0"/>
          <w:numId w:val="202"/>
        </w:numPr>
        <w:spacing w:after="143" w:line="248" w:lineRule="auto"/>
        <w:ind w:right="244" w:hanging="10"/>
        <w:jc w:val="both"/>
      </w:pPr>
      <w:r>
        <w:rPr>
          <w:rFonts w:ascii="Arial" w:eastAsia="Arial" w:hAnsi="Arial" w:cs="Arial"/>
          <w:i/>
          <w:color w:val="202020"/>
        </w:rPr>
        <w:t>En el expediente de gasto que se tramite con carácter previo a la convocatoria, el certificado de existencia de crédito será sustituido por un certifi</w:t>
      </w:r>
      <w:r>
        <w:rPr>
          <w:rFonts w:ascii="Arial" w:eastAsia="Arial" w:hAnsi="Arial" w:cs="Arial"/>
          <w:i/>
          <w:color w:val="202020"/>
        </w:rPr>
        <w:t xml:space="preserve">cado expedido por el Servicio Gestor en el que se haga constar que concurre alguna de las circunstancias previstas en el apartado 1. </w:t>
      </w:r>
    </w:p>
    <w:p w:rsidR="00FF384B" w:rsidRDefault="003E3BA9">
      <w:pPr>
        <w:spacing w:after="142" w:line="248" w:lineRule="auto"/>
        <w:ind w:left="278" w:right="244" w:hanging="10"/>
        <w:jc w:val="both"/>
      </w:pPr>
      <w:r>
        <w:rPr>
          <w:rFonts w:ascii="Arial" w:eastAsia="Arial" w:hAnsi="Arial" w:cs="Arial"/>
          <w:color w:val="202020"/>
        </w:rPr>
        <w:t xml:space="preserve">Artículo 19. Instrucción. </w:t>
      </w:r>
    </w:p>
    <w:p w:rsidR="00FF384B" w:rsidRDefault="003E3BA9">
      <w:pPr>
        <w:numPr>
          <w:ilvl w:val="0"/>
          <w:numId w:val="203"/>
        </w:numPr>
        <w:spacing w:after="143" w:line="248" w:lineRule="auto"/>
        <w:ind w:right="244" w:hanging="247"/>
        <w:jc w:val="both"/>
      </w:pPr>
      <w:r>
        <w:rPr>
          <w:rFonts w:ascii="Arial" w:eastAsia="Arial" w:hAnsi="Arial" w:cs="Arial"/>
          <w:i/>
          <w:color w:val="202020"/>
        </w:rPr>
        <w:t xml:space="preserve">La instrucción del procedimiento de concesión de subvenciones corresponde al órgano que se designe en la convocatoria. </w:t>
      </w:r>
    </w:p>
    <w:p w:rsidR="00FF384B" w:rsidRDefault="003E3BA9">
      <w:pPr>
        <w:numPr>
          <w:ilvl w:val="0"/>
          <w:numId w:val="203"/>
        </w:numPr>
        <w:spacing w:after="143" w:line="248" w:lineRule="auto"/>
        <w:ind w:right="244" w:hanging="247"/>
        <w:jc w:val="both"/>
      </w:pPr>
      <w:r>
        <w:rPr>
          <w:noProof/>
        </w:rPr>
        <mc:AlternateContent>
          <mc:Choice Requires="wpg">
            <w:drawing>
              <wp:anchor distT="0" distB="0" distL="114300" distR="114300" simplePos="0" relativeHeight="2518241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0025" name="Group 47002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511" name="Picture 30511"/>
                          <pic:cNvPicPr/>
                        </pic:nvPicPr>
                        <pic:blipFill>
                          <a:blip r:embed="rId62"/>
                          <a:stretch>
                            <a:fillRect/>
                          </a:stretch>
                        </pic:blipFill>
                        <pic:spPr>
                          <a:xfrm rot="-5399999">
                            <a:off x="-1720849" y="1720849"/>
                            <a:ext cx="3797300" cy="355601"/>
                          </a:xfrm>
                          <a:prstGeom prst="rect">
                            <a:avLst/>
                          </a:prstGeom>
                        </pic:spPr>
                      </pic:pic>
                      <wps:wsp>
                        <wps:cNvPr id="30512" name="Rectangle 3051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0513" name="Rectangle 3051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w:t>
                              </w:r>
                              <w:r>
                                <w:rPr>
                                  <w:rFonts w:ascii="Arial" w:eastAsia="Arial" w:hAnsi="Arial" w:cs="Arial"/>
                                  <w:sz w:val="12"/>
                                </w:rPr>
                                <w:t xml:space="preserve">e desde la plataforma esPublico Gestiona | Página 161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0025" style="width:41.2715pt;height:299pt;position:absolute;mso-position-horizontal-relative:page;mso-position-horizontal:absolute;margin-left:653.71pt;mso-position-vertical-relative:page;margin-top:512.92pt;" coordsize="5241,37973">
                <v:shape id="Picture 30511" style="position:absolute;width:37973;height:3556;left:-17208;top:17208;rotation:-89;" filled="f">
                  <v:imagedata r:id="rId63"/>
                </v:shape>
                <v:rect id="Rectangle 3051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51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353 </w:t>
                        </w:r>
                      </w:p>
                    </w:txbxContent>
                  </v:textbox>
                </v:rect>
                <w10:wrap type="square"/>
              </v:group>
            </w:pict>
          </mc:Fallback>
        </mc:AlternateContent>
      </w:r>
      <w:r>
        <w:rPr>
          <w:rFonts w:ascii="Arial" w:eastAsia="Arial" w:hAnsi="Arial" w:cs="Arial"/>
          <w:i/>
          <w:color w:val="202020"/>
        </w:rPr>
        <w:t>El órgano gestor realizará de oficio cuantas actuaciones estime necesarias para la determinación, conocimiento y comprobación de los datos relativos a la actuación subvencionable y del cumplimie</w:t>
      </w:r>
      <w:r>
        <w:rPr>
          <w:rFonts w:ascii="Arial" w:eastAsia="Arial" w:hAnsi="Arial" w:cs="Arial"/>
          <w:i/>
          <w:color w:val="202020"/>
        </w:rPr>
        <w:t xml:space="preserve">nto de las condiciones del solicitante para ser beneficiario de la subvención. </w:t>
      </w:r>
    </w:p>
    <w:p w:rsidR="00FF384B" w:rsidRDefault="003E3BA9">
      <w:pPr>
        <w:numPr>
          <w:ilvl w:val="0"/>
          <w:numId w:val="203"/>
        </w:numPr>
        <w:spacing w:after="143" w:line="248" w:lineRule="auto"/>
        <w:ind w:right="244" w:hanging="247"/>
        <w:jc w:val="both"/>
      </w:pPr>
      <w:r>
        <w:rPr>
          <w:rFonts w:ascii="Arial" w:eastAsia="Arial" w:hAnsi="Arial" w:cs="Arial"/>
          <w:i/>
          <w:color w:val="202020"/>
        </w:rPr>
        <w:t xml:space="preserve">Las actividades de instrucción comprenderán necesariamente: </w:t>
      </w:r>
    </w:p>
    <w:p w:rsidR="00FF384B" w:rsidRDefault="003E3BA9">
      <w:pPr>
        <w:numPr>
          <w:ilvl w:val="1"/>
          <w:numId w:val="203"/>
        </w:numPr>
        <w:spacing w:after="92" w:line="248" w:lineRule="auto"/>
        <w:ind w:right="244" w:hanging="10"/>
        <w:jc w:val="both"/>
      </w:pPr>
      <w:r>
        <w:rPr>
          <w:rFonts w:ascii="Arial" w:eastAsia="Arial" w:hAnsi="Arial" w:cs="Arial"/>
          <w:i/>
          <w:color w:val="202020"/>
        </w:rPr>
        <w:t>Estudio y análisis de las solicitudes, efectuados conforme a los criterios objetivos, formas y prioridades de valor</w:t>
      </w:r>
      <w:r>
        <w:rPr>
          <w:rFonts w:ascii="Arial" w:eastAsia="Arial" w:hAnsi="Arial" w:cs="Arial"/>
          <w:i/>
          <w:color w:val="202020"/>
        </w:rPr>
        <w:t>ación de las solicitudes, recogidos en las convocatorias, desglose y puntuación otorgada a los mismos, establecidos en la convocatoria. Esta podrá prever una fase de preevaluación, en la que se verificará el cumplimiento de las condiciones impuestas para a</w:t>
      </w:r>
      <w:r>
        <w:rPr>
          <w:rFonts w:ascii="Arial" w:eastAsia="Arial" w:hAnsi="Arial" w:cs="Arial"/>
          <w:i/>
          <w:color w:val="202020"/>
        </w:rPr>
        <w:t xml:space="preserve">dquirir la condición de beneficiario de la subvención. </w:t>
      </w:r>
    </w:p>
    <w:p w:rsidR="00FF384B" w:rsidRDefault="003E3BA9">
      <w:pPr>
        <w:numPr>
          <w:ilvl w:val="1"/>
          <w:numId w:val="203"/>
        </w:numPr>
        <w:spacing w:after="92" w:line="248" w:lineRule="auto"/>
        <w:ind w:right="244" w:hanging="10"/>
        <w:jc w:val="both"/>
      </w:pPr>
      <w:r>
        <w:rPr>
          <w:rFonts w:ascii="Arial" w:eastAsia="Arial" w:hAnsi="Arial" w:cs="Arial"/>
          <w:i/>
          <w:color w:val="202020"/>
        </w:rPr>
        <w:t xml:space="preserve">Informe del gestor en el que conste que de la información que obra en su poder se desprende que los beneficiarios cumplen todos los requisitos necesarios para acceder a las mismas. </w:t>
      </w:r>
    </w:p>
    <w:p w:rsidR="00FF384B" w:rsidRDefault="003E3BA9">
      <w:pPr>
        <w:numPr>
          <w:ilvl w:val="0"/>
          <w:numId w:val="203"/>
        </w:numPr>
        <w:spacing w:after="143" w:line="248" w:lineRule="auto"/>
        <w:ind w:right="244" w:hanging="247"/>
        <w:jc w:val="both"/>
      </w:pPr>
      <w:r>
        <w:rPr>
          <w:rFonts w:ascii="Arial" w:eastAsia="Arial" w:hAnsi="Arial" w:cs="Arial"/>
          <w:i/>
          <w:color w:val="202020"/>
        </w:rPr>
        <w:t>Una vez estudiadas</w:t>
      </w:r>
      <w:r>
        <w:rPr>
          <w:rFonts w:ascii="Arial" w:eastAsia="Arial" w:hAnsi="Arial" w:cs="Arial"/>
          <w:i/>
          <w:color w:val="202020"/>
        </w:rPr>
        <w:t xml:space="preserve"> y analizadas las solicitudes, el órgano gestor elaborará un informe que elevará a dictamen de una Comisión de Valoración, como órgano colegiado al que corresponde evaluar las solicitudes presentadas, de acuerdo con los criterios de valoración establecidos</w:t>
      </w:r>
      <w:r>
        <w:rPr>
          <w:rFonts w:ascii="Arial" w:eastAsia="Arial" w:hAnsi="Arial" w:cs="Arial"/>
          <w:i/>
          <w:color w:val="202020"/>
        </w:rPr>
        <w:t xml:space="preserve"> en la convocatoria. </w:t>
      </w:r>
    </w:p>
    <w:p w:rsidR="00FF384B" w:rsidRDefault="003E3BA9">
      <w:pPr>
        <w:numPr>
          <w:ilvl w:val="0"/>
          <w:numId w:val="203"/>
        </w:numPr>
        <w:spacing w:after="143" w:line="248" w:lineRule="auto"/>
        <w:ind w:right="244" w:hanging="247"/>
        <w:jc w:val="both"/>
      </w:pPr>
      <w:r>
        <w:rPr>
          <w:rFonts w:ascii="Arial" w:eastAsia="Arial" w:hAnsi="Arial" w:cs="Arial"/>
          <w:i/>
          <w:color w:val="202020"/>
        </w:rPr>
        <w:t>La Comisión de Valoración, formada por al menos tres miembros, a la vista del informe presentado, realizará el examen de las solicitudes y elaborará un dictamen, en el que figurará la aplicación de los criterios de valoración y el ord</w:t>
      </w:r>
      <w:r>
        <w:rPr>
          <w:rFonts w:ascii="Arial" w:eastAsia="Arial" w:hAnsi="Arial" w:cs="Arial"/>
          <w:i/>
          <w:color w:val="202020"/>
        </w:rPr>
        <w:t xml:space="preserve">en preferente resultante, que será la base de la propuesta de resolución del órgano instructor. </w:t>
      </w:r>
    </w:p>
    <w:p w:rsidR="00FF384B" w:rsidRDefault="003E3BA9">
      <w:pPr>
        <w:spacing w:after="142" w:line="248" w:lineRule="auto"/>
        <w:ind w:left="278" w:right="244" w:hanging="10"/>
        <w:jc w:val="both"/>
      </w:pPr>
      <w:r>
        <w:rPr>
          <w:rFonts w:ascii="Arial" w:eastAsia="Arial" w:hAnsi="Arial" w:cs="Arial"/>
          <w:color w:val="202020"/>
        </w:rPr>
        <w:t xml:space="preserve">Artículo 20. Propuesta de resolución. </w:t>
      </w:r>
    </w:p>
    <w:p w:rsidR="00FF384B" w:rsidRDefault="003E3BA9">
      <w:pPr>
        <w:numPr>
          <w:ilvl w:val="0"/>
          <w:numId w:val="204"/>
        </w:numPr>
        <w:spacing w:after="143" w:line="248" w:lineRule="auto"/>
        <w:ind w:right="244" w:hanging="10"/>
        <w:jc w:val="both"/>
      </w:pPr>
      <w:r>
        <w:rPr>
          <w:rFonts w:ascii="Arial" w:eastAsia="Arial" w:hAnsi="Arial" w:cs="Arial"/>
          <w:i/>
          <w:color w:val="202020"/>
        </w:rPr>
        <w:t xml:space="preserve">El órgano instructor, a la vista del contenido del expediente y del informe de la Comisión de Valoración, formulará la propuesta de resolución provisional. </w:t>
      </w:r>
    </w:p>
    <w:p w:rsidR="00FF384B" w:rsidRDefault="003E3BA9">
      <w:pPr>
        <w:spacing w:after="143" w:line="248" w:lineRule="auto"/>
        <w:ind w:left="278" w:right="244" w:hanging="10"/>
        <w:jc w:val="both"/>
      </w:pPr>
      <w:r>
        <w:rPr>
          <w:rFonts w:ascii="Arial" w:eastAsia="Arial" w:hAnsi="Arial" w:cs="Arial"/>
          <w:i/>
          <w:color w:val="202020"/>
        </w:rPr>
        <w:t>Dicha propuesta se formulará en un acto único, salvo que, conforme a la previsión contemplada en el</w:t>
      </w:r>
      <w:r>
        <w:rPr>
          <w:rFonts w:ascii="Arial" w:eastAsia="Arial" w:hAnsi="Arial" w:cs="Arial"/>
          <w:i/>
          <w:color w:val="202020"/>
        </w:rPr>
        <w:t xml:space="preserve"> procedimiento simplificado de concurrencia competitiva para los supuestos previstos en el artículo 25.1.a) b) de esta Ordenanza, se resuelva de forma individualizada, en cuyo caso se podrán formular propuestas de resolución en actos individuales. </w:t>
      </w:r>
    </w:p>
    <w:p w:rsidR="00FF384B" w:rsidRDefault="003E3BA9">
      <w:pPr>
        <w:spacing w:after="143" w:line="248" w:lineRule="auto"/>
        <w:ind w:left="278" w:right="244" w:hanging="10"/>
        <w:jc w:val="both"/>
      </w:pPr>
      <w:r>
        <w:rPr>
          <w:rFonts w:ascii="Arial" w:eastAsia="Arial" w:hAnsi="Arial" w:cs="Arial"/>
          <w:i/>
          <w:color w:val="202020"/>
        </w:rPr>
        <w:t>La propuesta de resolución deberá expresar la relación de solicitantes para los que se propone la concesión de la subvención y su cuantía, especificando la puntuación obtenida y los criterios de valoración seguidos para efectuarla, así como la propuesta de</w:t>
      </w:r>
      <w:r>
        <w:rPr>
          <w:rFonts w:ascii="Arial" w:eastAsia="Arial" w:hAnsi="Arial" w:cs="Arial"/>
          <w:i/>
          <w:color w:val="202020"/>
        </w:rPr>
        <w:t xml:space="preserve"> desestimación fundamentada del resto de solicitudes. </w:t>
      </w:r>
    </w:p>
    <w:p w:rsidR="00FF384B" w:rsidRDefault="003E3BA9">
      <w:pPr>
        <w:numPr>
          <w:ilvl w:val="0"/>
          <w:numId w:val="204"/>
        </w:numPr>
        <w:spacing w:after="143" w:line="248" w:lineRule="auto"/>
        <w:ind w:right="244" w:hanging="10"/>
        <w:jc w:val="both"/>
      </w:pPr>
      <w:r>
        <w:rPr>
          <w:rFonts w:ascii="Arial" w:eastAsia="Arial" w:hAnsi="Arial" w:cs="Arial"/>
          <w:i/>
          <w:color w:val="202020"/>
        </w:rPr>
        <w:t>Emitida la propuesta de resolución provisional, se dará traslado al interesado para cumplir con el trámite de audiencia. El interesado, en el plazo de diez días, podrá presentar las alegaciones que con</w:t>
      </w:r>
      <w:r>
        <w:rPr>
          <w:rFonts w:ascii="Arial" w:eastAsia="Arial" w:hAnsi="Arial" w:cs="Arial"/>
          <w:i/>
          <w:color w:val="202020"/>
        </w:rPr>
        <w:t xml:space="preserve">sidere oportunas. </w:t>
      </w:r>
    </w:p>
    <w:p w:rsidR="00FF384B" w:rsidRDefault="003E3BA9">
      <w:pPr>
        <w:spacing w:after="143" w:line="248" w:lineRule="auto"/>
        <w:ind w:left="278" w:right="244" w:hanging="10"/>
        <w:jc w:val="both"/>
      </w:pPr>
      <w:r>
        <w:rPr>
          <w:rFonts w:ascii="Arial" w:eastAsia="Arial" w:hAnsi="Arial" w:cs="Arial"/>
          <w:i/>
          <w:color w:val="202020"/>
        </w:rPr>
        <w:t xml:space="preserve">Sin perjuicio de lo establecido en la legislación vigente de Procedimiento Administrativo Común, las convocatorias podrán prever que las comunicaciones a los interesados puedan efectuarse mediante notificación electrónica. </w:t>
      </w:r>
    </w:p>
    <w:p w:rsidR="00FF384B" w:rsidRDefault="003E3BA9">
      <w:pPr>
        <w:numPr>
          <w:ilvl w:val="0"/>
          <w:numId w:val="204"/>
        </w:numPr>
        <w:spacing w:after="143" w:line="248" w:lineRule="auto"/>
        <w:ind w:right="244" w:hanging="10"/>
        <w:jc w:val="both"/>
      </w:pPr>
      <w:r>
        <w:rPr>
          <w:noProof/>
        </w:rPr>
        <mc:AlternateContent>
          <mc:Choice Requires="wpg">
            <w:drawing>
              <wp:anchor distT="0" distB="0" distL="114300" distR="114300" simplePos="0" relativeHeight="2518251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0474" name="Group 47047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654" name="Picture 30654"/>
                          <pic:cNvPicPr/>
                        </pic:nvPicPr>
                        <pic:blipFill>
                          <a:blip r:embed="rId62"/>
                          <a:stretch>
                            <a:fillRect/>
                          </a:stretch>
                        </pic:blipFill>
                        <pic:spPr>
                          <a:xfrm rot="-5399999">
                            <a:off x="-1720849" y="1720849"/>
                            <a:ext cx="3797300" cy="355601"/>
                          </a:xfrm>
                          <a:prstGeom prst="rect">
                            <a:avLst/>
                          </a:prstGeom>
                        </pic:spPr>
                      </pic:pic>
                      <wps:wsp>
                        <wps:cNvPr id="30655" name="Rectangle 3065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w:t>
                              </w:r>
                              <w:r>
                                <w:rPr>
                                  <w:rFonts w:ascii="Arial" w:eastAsia="Arial" w:hAnsi="Arial" w:cs="Arial"/>
                                  <w:sz w:val="12"/>
                                </w:rPr>
                                <w:t xml:space="preserve">ación: 9792ADAG9QWZ53RMHD5RCHL7K | Verificación: https://candelaria.sedelectronica.es/ </w:t>
                              </w:r>
                            </w:p>
                          </w:txbxContent>
                        </wps:txbx>
                        <wps:bodyPr horzOverflow="overflow" vert="horz" lIns="0" tIns="0" rIns="0" bIns="0" rtlCol="0">
                          <a:noAutofit/>
                        </wps:bodyPr>
                      </wps:wsp>
                      <wps:wsp>
                        <wps:cNvPr id="30656" name="Rectangle 3065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0474" style="width:41.2715pt;height:299pt;position:absolute;mso-position-horizontal-relative:page;mso-position-horizontal:absolute;margin-left:653.71pt;mso-position-vertical-relative:page;margin-top:512.92pt;" coordsize="5241,37973">
                <v:shape id="Picture 30654" style="position:absolute;width:37973;height:3556;left:-17208;top:17208;rotation:-89;" filled="f">
                  <v:imagedata r:id="rId63"/>
                </v:shape>
                <v:rect id="Rectangle 306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65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353 </w:t>
                        </w:r>
                      </w:p>
                    </w:txbxContent>
                  </v:textbox>
                </v:rect>
                <w10:wrap type="square"/>
              </v:group>
            </w:pict>
          </mc:Fallback>
        </mc:AlternateContent>
      </w:r>
      <w:r>
        <w:rPr>
          <w:rFonts w:ascii="Arial" w:eastAsia="Arial" w:hAnsi="Arial" w:cs="Arial"/>
          <w:i/>
          <w:color w:val="202020"/>
        </w:rPr>
        <w:t>Se podrá prescindir del trámite de audiencia, cuando no figuren en el p</w:t>
      </w:r>
      <w:r>
        <w:rPr>
          <w:rFonts w:ascii="Arial" w:eastAsia="Arial" w:hAnsi="Arial" w:cs="Arial"/>
          <w:i/>
          <w:color w:val="202020"/>
        </w:rPr>
        <w:t xml:space="preserve">rocedimiento ni sean tenidos en cuenta en la resolución otros hechos ni otras alegaciones y pruebas que las aducidas por el interesado. En este caso, la propuesta de resolución tendrá el carácter de definitiva. </w:t>
      </w:r>
    </w:p>
    <w:p w:rsidR="00FF384B" w:rsidRDefault="003E3BA9">
      <w:pPr>
        <w:numPr>
          <w:ilvl w:val="0"/>
          <w:numId w:val="204"/>
        </w:numPr>
        <w:spacing w:after="143" w:line="248" w:lineRule="auto"/>
        <w:ind w:right="244" w:hanging="10"/>
        <w:jc w:val="both"/>
      </w:pPr>
      <w:r>
        <w:rPr>
          <w:rFonts w:ascii="Arial" w:eastAsia="Arial" w:hAnsi="Arial" w:cs="Arial"/>
          <w:i/>
          <w:color w:val="202020"/>
        </w:rPr>
        <w:t>Instruido el procedimiento, el órgano instru</w:t>
      </w:r>
      <w:r>
        <w:rPr>
          <w:rFonts w:ascii="Arial" w:eastAsia="Arial" w:hAnsi="Arial" w:cs="Arial"/>
          <w:i/>
          <w:color w:val="202020"/>
        </w:rPr>
        <w:t xml:space="preserve">ctor formulará la propuesta de resolución definitiva, que se notificará a los interesados propuestos como beneficiarios, en la forma que establezca la convocatoria. </w:t>
      </w:r>
    </w:p>
    <w:p w:rsidR="00FF384B" w:rsidRDefault="003E3BA9">
      <w:pPr>
        <w:spacing w:after="143" w:line="248" w:lineRule="auto"/>
        <w:ind w:left="278" w:right="244" w:hanging="10"/>
        <w:jc w:val="both"/>
      </w:pPr>
      <w:r>
        <w:rPr>
          <w:rFonts w:ascii="Arial" w:eastAsia="Arial" w:hAnsi="Arial" w:cs="Arial"/>
          <w:i/>
          <w:color w:val="202020"/>
        </w:rPr>
        <w:t xml:space="preserve">La convocatoria recogerá si la aceptación debe ser expresa o tácita. </w:t>
      </w:r>
    </w:p>
    <w:p w:rsidR="00FF384B" w:rsidRDefault="003E3BA9">
      <w:pPr>
        <w:spacing w:after="143" w:line="248" w:lineRule="auto"/>
        <w:ind w:left="278" w:right="244" w:hanging="10"/>
        <w:jc w:val="both"/>
      </w:pPr>
      <w:r>
        <w:rPr>
          <w:rFonts w:ascii="Arial" w:eastAsia="Arial" w:hAnsi="Arial" w:cs="Arial"/>
          <w:i/>
          <w:color w:val="202020"/>
        </w:rPr>
        <w:t>En el caso, de que s</w:t>
      </w:r>
      <w:r>
        <w:rPr>
          <w:rFonts w:ascii="Arial" w:eastAsia="Arial" w:hAnsi="Arial" w:cs="Arial"/>
          <w:i/>
          <w:color w:val="202020"/>
        </w:rPr>
        <w:t xml:space="preserve">e haya previsto la aceptación expresa, si ésta no se comunica, se considerará que el propuesto como beneficiario desiste de su solicitud. </w:t>
      </w:r>
    </w:p>
    <w:p w:rsidR="00FF384B" w:rsidRDefault="003E3BA9">
      <w:pPr>
        <w:spacing w:after="143" w:line="248" w:lineRule="auto"/>
        <w:ind w:left="278" w:right="244" w:hanging="10"/>
        <w:jc w:val="both"/>
      </w:pPr>
      <w:r>
        <w:rPr>
          <w:rFonts w:ascii="Arial" w:eastAsia="Arial" w:hAnsi="Arial" w:cs="Arial"/>
          <w:i/>
          <w:color w:val="202020"/>
        </w:rPr>
        <w:t xml:space="preserve">No obstante, se podrá prever que la aceptación se lleve a cabo con posterioridad a la concesión de la subvención. </w:t>
      </w:r>
    </w:p>
    <w:p w:rsidR="00FF384B" w:rsidRDefault="003E3BA9">
      <w:pPr>
        <w:numPr>
          <w:ilvl w:val="0"/>
          <w:numId w:val="204"/>
        </w:numPr>
        <w:spacing w:after="143" w:line="248" w:lineRule="auto"/>
        <w:ind w:right="244" w:hanging="10"/>
        <w:jc w:val="both"/>
      </w:pPr>
      <w:r>
        <w:rPr>
          <w:rFonts w:ascii="Arial" w:eastAsia="Arial" w:hAnsi="Arial" w:cs="Arial"/>
          <w:i/>
          <w:color w:val="202020"/>
        </w:rPr>
        <w:t>La</w:t>
      </w:r>
      <w:r>
        <w:rPr>
          <w:rFonts w:ascii="Arial" w:eastAsia="Arial" w:hAnsi="Arial" w:cs="Arial"/>
          <w:i/>
          <w:color w:val="202020"/>
        </w:rPr>
        <w:t xml:space="preserve">s propuestas de resolución, en ningún caso suponen la creación de derecho alguno a favor del beneficiario, mientras no se haya notificado la resolución definitiva de la concesión. </w:t>
      </w:r>
    </w:p>
    <w:p w:rsidR="00FF384B" w:rsidRDefault="003E3BA9">
      <w:pPr>
        <w:spacing w:after="142" w:line="248" w:lineRule="auto"/>
        <w:ind w:left="278" w:right="244" w:hanging="10"/>
        <w:jc w:val="both"/>
      </w:pPr>
      <w:r>
        <w:rPr>
          <w:rFonts w:ascii="Arial" w:eastAsia="Arial" w:hAnsi="Arial" w:cs="Arial"/>
          <w:color w:val="202020"/>
        </w:rPr>
        <w:t xml:space="preserve">Artículo 21. Resolución. </w:t>
      </w:r>
    </w:p>
    <w:p w:rsidR="00FF384B" w:rsidRDefault="003E3BA9">
      <w:pPr>
        <w:numPr>
          <w:ilvl w:val="0"/>
          <w:numId w:val="205"/>
        </w:numPr>
        <w:spacing w:after="143" w:line="248" w:lineRule="auto"/>
        <w:ind w:right="244" w:hanging="10"/>
        <w:jc w:val="both"/>
      </w:pPr>
      <w:r>
        <w:rPr>
          <w:rFonts w:ascii="Arial" w:eastAsia="Arial" w:hAnsi="Arial" w:cs="Arial"/>
          <w:i/>
          <w:color w:val="202020"/>
        </w:rPr>
        <w:t>Una vez aprobada la propuesta de resolución, el ó</w:t>
      </w:r>
      <w:r>
        <w:rPr>
          <w:rFonts w:ascii="Arial" w:eastAsia="Arial" w:hAnsi="Arial" w:cs="Arial"/>
          <w:i/>
          <w:color w:val="202020"/>
        </w:rPr>
        <w:t xml:space="preserve">rgano competente resolverá la concesión de las subvenciones. </w:t>
      </w:r>
    </w:p>
    <w:p w:rsidR="00FF384B" w:rsidRDefault="003E3BA9">
      <w:pPr>
        <w:numPr>
          <w:ilvl w:val="0"/>
          <w:numId w:val="205"/>
        </w:numPr>
        <w:spacing w:after="143" w:line="248" w:lineRule="auto"/>
        <w:ind w:right="244" w:hanging="10"/>
        <w:jc w:val="both"/>
      </w:pPr>
      <w:r>
        <w:rPr>
          <w:rFonts w:ascii="Arial" w:eastAsia="Arial" w:hAnsi="Arial" w:cs="Arial"/>
          <w:i/>
          <w:color w:val="202020"/>
        </w:rPr>
        <w:t xml:space="preserve">La resolución se motivará de conformidad con lo dispuesto en la presente ordenanza y en la convocatoria por la que se rige, debiendo quedar acreditados en el procedimiento los fundamentos de la </w:t>
      </w:r>
      <w:r>
        <w:rPr>
          <w:rFonts w:ascii="Arial" w:eastAsia="Arial" w:hAnsi="Arial" w:cs="Arial"/>
          <w:i/>
          <w:color w:val="202020"/>
        </w:rPr>
        <w:t xml:space="preserve">resolución que se adopte. </w:t>
      </w:r>
    </w:p>
    <w:p w:rsidR="00FF384B" w:rsidRDefault="003E3BA9">
      <w:pPr>
        <w:numPr>
          <w:ilvl w:val="0"/>
          <w:numId w:val="205"/>
        </w:numPr>
        <w:spacing w:after="143" w:line="248" w:lineRule="auto"/>
        <w:ind w:right="244" w:hanging="10"/>
        <w:jc w:val="both"/>
      </w:pPr>
      <w:r>
        <w:rPr>
          <w:rFonts w:ascii="Arial" w:eastAsia="Arial" w:hAnsi="Arial" w:cs="Arial"/>
          <w:i/>
          <w:color w:val="202020"/>
        </w:rPr>
        <w:t>En la resolución constará, en todo caso, el objeto de la subvención, el beneficiario o beneficiarios, la puntuación obtenida en la valoración, el importe de la subvención, con indicación del porcentaje, cuando la cuantificación s</w:t>
      </w:r>
      <w:r>
        <w:rPr>
          <w:rFonts w:ascii="Arial" w:eastAsia="Arial" w:hAnsi="Arial" w:cs="Arial"/>
          <w:i/>
          <w:color w:val="202020"/>
        </w:rPr>
        <w:t xml:space="preserve">e haya basado en este criterio, así como, de forma fundamentada, la desestimación y la no concesión de ayuda por inadmisión de la petición, desistimiento, renuncia o imposibilidad material sobrevenida del resto de solicitudes. </w:t>
      </w:r>
    </w:p>
    <w:p w:rsidR="00FF384B" w:rsidRDefault="003E3BA9">
      <w:pPr>
        <w:numPr>
          <w:ilvl w:val="0"/>
          <w:numId w:val="205"/>
        </w:numPr>
        <w:spacing w:after="143" w:line="248" w:lineRule="auto"/>
        <w:ind w:right="244" w:hanging="10"/>
        <w:jc w:val="both"/>
      </w:pPr>
      <w:r>
        <w:rPr>
          <w:rFonts w:ascii="Arial" w:eastAsia="Arial" w:hAnsi="Arial" w:cs="Arial"/>
          <w:i/>
          <w:color w:val="202020"/>
        </w:rPr>
        <w:t>La resolución deberá contener los recursos que contra la misma procedan, órgano administrativo o judicial ante el que hubieran de presentarse y plazo para interponerlos, sin perjuicio de que los interesados puedan ejercitar cualquier otro que estimen oport</w:t>
      </w:r>
      <w:r>
        <w:rPr>
          <w:rFonts w:ascii="Arial" w:eastAsia="Arial" w:hAnsi="Arial" w:cs="Arial"/>
          <w:i/>
          <w:color w:val="202020"/>
        </w:rPr>
        <w:t xml:space="preserve">uno. </w:t>
      </w:r>
    </w:p>
    <w:p w:rsidR="00FF384B" w:rsidRDefault="003E3BA9">
      <w:pPr>
        <w:numPr>
          <w:ilvl w:val="0"/>
          <w:numId w:val="205"/>
        </w:numPr>
        <w:spacing w:after="143" w:line="248" w:lineRule="auto"/>
        <w:ind w:right="244" w:hanging="10"/>
        <w:jc w:val="both"/>
      </w:pPr>
      <w:r>
        <w:rPr>
          <w:rFonts w:ascii="Arial" w:eastAsia="Arial" w:hAnsi="Arial" w:cs="Arial"/>
          <w:i/>
          <w:color w:val="202020"/>
        </w:rPr>
        <w:t>El plazo máximo para resolver y notificar no podrá exceder de seis meses. El plazo se computará a partir de la publicación de la correspondiente convocatoria, o desde la fecha de finalización del plazo de presentación de las solicitudes. Cada convoca</w:t>
      </w:r>
      <w:r>
        <w:rPr>
          <w:rFonts w:ascii="Arial" w:eastAsia="Arial" w:hAnsi="Arial" w:cs="Arial"/>
          <w:i/>
          <w:color w:val="202020"/>
        </w:rPr>
        <w:t xml:space="preserve">toria determinará la fecha de cómputo. </w:t>
      </w:r>
    </w:p>
    <w:p w:rsidR="00FF384B" w:rsidRDefault="003E3BA9">
      <w:pPr>
        <w:numPr>
          <w:ilvl w:val="0"/>
          <w:numId w:val="205"/>
        </w:numPr>
        <w:spacing w:after="143" w:line="248" w:lineRule="auto"/>
        <w:ind w:right="244" w:hanging="10"/>
        <w:jc w:val="both"/>
      </w:pPr>
      <w:r>
        <w:rPr>
          <w:rFonts w:ascii="Arial" w:eastAsia="Arial" w:hAnsi="Arial" w:cs="Arial"/>
          <w:i/>
          <w:color w:val="202020"/>
        </w:rPr>
        <w:t xml:space="preserve">La resolución será notificada a los solicitantes de conformidad con lo prescrito en la regulación del Procedimiento Administrativo Común. </w:t>
      </w:r>
    </w:p>
    <w:p w:rsidR="00FF384B" w:rsidRDefault="003E3BA9">
      <w:pPr>
        <w:numPr>
          <w:ilvl w:val="0"/>
          <w:numId w:val="205"/>
        </w:numPr>
        <w:spacing w:after="143" w:line="248" w:lineRule="auto"/>
        <w:ind w:right="244" w:hanging="10"/>
        <w:jc w:val="both"/>
      </w:pPr>
      <w:r>
        <w:rPr>
          <w:rFonts w:ascii="Arial" w:eastAsia="Arial" w:hAnsi="Arial" w:cs="Arial"/>
          <w:i/>
          <w:color w:val="202020"/>
        </w:rPr>
        <w:t>Se entenderá que la subvención es aceptada por el beneficiario si transcurrid</w:t>
      </w:r>
      <w:r>
        <w:rPr>
          <w:rFonts w:ascii="Arial" w:eastAsia="Arial" w:hAnsi="Arial" w:cs="Arial"/>
          <w:i/>
          <w:color w:val="202020"/>
        </w:rPr>
        <w:t xml:space="preserve">os diez días desde la recepción de la notificación el interesado no ejercita acto en contrario, salvo que en la convocatoria no se diga otra cosa. </w:t>
      </w:r>
    </w:p>
    <w:p w:rsidR="00FF384B" w:rsidRDefault="003E3BA9">
      <w:pPr>
        <w:numPr>
          <w:ilvl w:val="0"/>
          <w:numId w:val="205"/>
        </w:numPr>
        <w:spacing w:after="152" w:line="240" w:lineRule="auto"/>
        <w:ind w:right="244" w:hanging="10"/>
        <w:jc w:val="both"/>
      </w:pPr>
      <w:r>
        <w:rPr>
          <w:noProof/>
        </w:rPr>
        <mc:AlternateContent>
          <mc:Choice Requires="wpg">
            <w:drawing>
              <wp:anchor distT="0" distB="0" distL="114300" distR="114300" simplePos="0" relativeHeight="2518261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0563" name="Group 47056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799" name="Picture 30799"/>
                          <pic:cNvPicPr/>
                        </pic:nvPicPr>
                        <pic:blipFill>
                          <a:blip r:embed="rId62"/>
                          <a:stretch>
                            <a:fillRect/>
                          </a:stretch>
                        </pic:blipFill>
                        <pic:spPr>
                          <a:xfrm rot="-5399999">
                            <a:off x="-1720849" y="1720849"/>
                            <a:ext cx="3797300" cy="355601"/>
                          </a:xfrm>
                          <a:prstGeom prst="rect">
                            <a:avLst/>
                          </a:prstGeom>
                        </pic:spPr>
                      </pic:pic>
                      <wps:wsp>
                        <wps:cNvPr id="30800" name="Rectangle 3080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0801" name="Rectangle 3080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w:t>
                              </w:r>
                              <w:r>
                                <w:rPr>
                                  <w:rFonts w:ascii="Arial" w:eastAsia="Arial" w:hAnsi="Arial" w:cs="Arial"/>
                                  <w:sz w:val="12"/>
                                </w:rPr>
                                <w:t xml:space="preserve">ento firmado electrónicamente desde la plataforma esPublico Gestiona | Página 163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0563" style="width:41.2715pt;height:299pt;position:absolute;mso-position-horizontal-relative:page;mso-position-horizontal:absolute;margin-left:653.71pt;mso-position-vertical-relative:page;margin-top:512.92pt;" coordsize="5241,37973">
                <v:shape id="Picture 30799" style="position:absolute;width:37973;height:3556;left:-17208;top:17208;rotation:-89;" filled="f">
                  <v:imagedata r:id="rId63"/>
                </v:shape>
                <v:rect id="Rectangle 3080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80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353 </w:t>
                        </w:r>
                      </w:p>
                    </w:txbxContent>
                  </v:textbox>
                </v:rect>
                <w10:wrap type="square"/>
              </v:group>
            </w:pict>
          </mc:Fallback>
        </mc:AlternateContent>
      </w:r>
      <w:r>
        <w:rPr>
          <w:rFonts w:ascii="Arial" w:eastAsia="Arial" w:hAnsi="Arial" w:cs="Arial"/>
          <w:i/>
          <w:color w:val="202020"/>
        </w:rPr>
        <w:t>La resolución se publicará en el Boletín Oficial de la Provincia, en la sede electrónica del Ayuntamiento de Candelaria, y será notificada a la Base de Datos Nacional</w:t>
      </w:r>
      <w:r>
        <w:rPr>
          <w:rFonts w:ascii="Arial" w:eastAsia="Arial" w:hAnsi="Arial" w:cs="Arial"/>
          <w:i/>
          <w:color w:val="202020"/>
        </w:rPr>
        <w:t xml:space="preserve"> de Subvenciones. </w:t>
      </w:r>
    </w:p>
    <w:p w:rsidR="00FF384B" w:rsidRDefault="003E3BA9">
      <w:pPr>
        <w:spacing w:after="143" w:line="248" w:lineRule="auto"/>
        <w:ind w:left="278" w:right="244" w:hanging="10"/>
        <w:jc w:val="both"/>
      </w:pPr>
      <w:r>
        <w:rPr>
          <w:rFonts w:ascii="Arial" w:eastAsia="Arial" w:hAnsi="Arial" w:cs="Arial"/>
          <w:i/>
          <w:color w:val="202020"/>
        </w:rPr>
        <w:t>No será necesaria la publicación de los datos del beneficiario, cuando en razón del objeto de la subvención, pueda ser contraria al respeto y salvaguarda del honor, la intimidad personal, y familiar de las personas físicas en virtud de l</w:t>
      </w:r>
      <w:r>
        <w:rPr>
          <w:rFonts w:ascii="Arial" w:eastAsia="Arial" w:hAnsi="Arial" w:cs="Arial"/>
          <w:i/>
          <w:color w:val="202020"/>
        </w:rPr>
        <w:t xml:space="preserve">o establecido en la Ley Orgánica 1/1982, de 5 de mayo, de Protección Civil del Derecho al Honor, a la Intimidad Personal y Familiar y a la Propia Imagen, y haya sido previsto en su normativa reguladora. </w:t>
      </w:r>
    </w:p>
    <w:p w:rsidR="00FF384B" w:rsidRDefault="003E3BA9">
      <w:pPr>
        <w:numPr>
          <w:ilvl w:val="0"/>
          <w:numId w:val="205"/>
        </w:numPr>
        <w:spacing w:after="143" w:line="248" w:lineRule="auto"/>
        <w:ind w:right="244" w:hanging="10"/>
        <w:jc w:val="both"/>
      </w:pPr>
      <w:r>
        <w:rPr>
          <w:rFonts w:ascii="Arial" w:eastAsia="Arial" w:hAnsi="Arial" w:cs="Arial"/>
          <w:i/>
          <w:color w:val="202020"/>
        </w:rPr>
        <w:t>Transcurrido el plazo máximo sin que se haya notific</w:t>
      </w:r>
      <w:r>
        <w:rPr>
          <w:rFonts w:ascii="Arial" w:eastAsia="Arial" w:hAnsi="Arial" w:cs="Arial"/>
          <w:i/>
          <w:color w:val="202020"/>
        </w:rPr>
        <w:t xml:space="preserve">ado resolución expresa, el solicitante podrá entender desestimada, por silencio administrativo, su solicitud de subvención. </w:t>
      </w:r>
    </w:p>
    <w:p w:rsidR="00FF384B" w:rsidRDefault="003E3BA9">
      <w:pPr>
        <w:spacing w:after="142" w:line="248" w:lineRule="auto"/>
        <w:ind w:left="278" w:right="244" w:hanging="10"/>
        <w:jc w:val="both"/>
      </w:pPr>
      <w:r>
        <w:rPr>
          <w:rFonts w:ascii="Arial" w:eastAsia="Arial" w:hAnsi="Arial" w:cs="Arial"/>
          <w:color w:val="202020"/>
        </w:rPr>
        <w:t xml:space="preserve">Artículo 22. Reformulación de solicitudes. </w:t>
      </w:r>
    </w:p>
    <w:p w:rsidR="00FF384B" w:rsidRDefault="003E3BA9">
      <w:pPr>
        <w:numPr>
          <w:ilvl w:val="0"/>
          <w:numId w:val="206"/>
        </w:numPr>
        <w:spacing w:after="143" w:line="248" w:lineRule="auto"/>
        <w:ind w:right="244" w:hanging="10"/>
        <w:jc w:val="both"/>
      </w:pPr>
      <w:r>
        <w:rPr>
          <w:rFonts w:ascii="Arial" w:eastAsia="Arial" w:hAnsi="Arial" w:cs="Arial"/>
          <w:i/>
          <w:color w:val="202020"/>
        </w:rPr>
        <w:t xml:space="preserve">Cuando la subvención tenga por objeto la financiación de actividades a desarrollar por </w:t>
      </w:r>
      <w:r>
        <w:rPr>
          <w:rFonts w:ascii="Arial" w:eastAsia="Arial" w:hAnsi="Arial" w:cs="Arial"/>
          <w:i/>
          <w:color w:val="202020"/>
        </w:rPr>
        <w:t xml:space="preserve">el solicitante y el importe a conceder sea inferior al importe solicitado, a través de la resolución provisional señalada en el artículo 21 de la presente Ordenanza, se podrá instar al solicitante, si así se ha previsto en la convocatoria, a reformular su </w:t>
      </w:r>
      <w:r>
        <w:rPr>
          <w:rFonts w:ascii="Arial" w:eastAsia="Arial" w:hAnsi="Arial" w:cs="Arial"/>
          <w:i/>
          <w:color w:val="202020"/>
        </w:rPr>
        <w:t xml:space="preserve">petición para ajustar los compromisos y condiciones a la subvención otorgable. </w:t>
      </w:r>
    </w:p>
    <w:p w:rsidR="00FF384B" w:rsidRDefault="003E3BA9">
      <w:pPr>
        <w:numPr>
          <w:ilvl w:val="0"/>
          <w:numId w:val="206"/>
        </w:numPr>
        <w:spacing w:after="143" w:line="248" w:lineRule="auto"/>
        <w:ind w:right="244" w:hanging="10"/>
        <w:jc w:val="both"/>
      </w:pPr>
      <w:r>
        <w:rPr>
          <w:rFonts w:ascii="Arial" w:eastAsia="Arial" w:hAnsi="Arial" w:cs="Arial"/>
          <w:i/>
          <w:color w:val="202020"/>
        </w:rPr>
        <w:t xml:space="preserve">La Concejalía responsable de la tramitación, deberá informar previamente a la nueva propuesta de resolución. </w:t>
      </w:r>
    </w:p>
    <w:p w:rsidR="00FF384B" w:rsidRDefault="003E3BA9">
      <w:pPr>
        <w:numPr>
          <w:ilvl w:val="0"/>
          <w:numId w:val="206"/>
        </w:numPr>
        <w:spacing w:after="143" w:line="248" w:lineRule="auto"/>
        <w:ind w:right="244" w:hanging="10"/>
        <w:jc w:val="both"/>
      </w:pPr>
      <w:r>
        <w:rPr>
          <w:rFonts w:ascii="Arial" w:eastAsia="Arial" w:hAnsi="Arial" w:cs="Arial"/>
          <w:i/>
          <w:color w:val="202020"/>
        </w:rPr>
        <w:t xml:space="preserve">En todo caso, la reformulación de solicitudes deberá respetar el objeto, condiciones y finalidad de la subvención, así como los criterios de valoración establecidos. </w:t>
      </w:r>
    </w:p>
    <w:p w:rsidR="00FF384B" w:rsidRDefault="003E3BA9">
      <w:pPr>
        <w:numPr>
          <w:ilvl w:val="0"/>
          <w:numId w:val="206"/>
        </w:numPr>
        <w:spacing w:after="143" w:line="248" w:lineRule="auto"/>
        <w:ind w:right="244" w:hanging="10"/>
        <w:jc w:val="both"/>
      </w:pPr>
      <w:r>
        <w:rPr>
          <w:rFonts w:ascii="Arial" w:eastAsia="Arial" w:hAnsi="Arial" w:cs="Arial"/>
          <w:i/>
          <w:color w:val="202020"/>
        </w:rPr>
        <w:t>Si se hubiese instado la reformulación y el solicitante de la ayuda no contesta en el pla</w:t>
      </w:r>
      <w:r>
        <w:rPr>
          <w:rFonts w:ascii="Arial" w:eastAsia="Arial" w:hAnsi="Arial" w:cs="Arial"/>
          <w:i/>
          <w:color w:val="202020"/>
        </w:rPr>
        <w:t xml:space="preserve">zo otorgado, se mantendrá el contenido de la solicitud inicial. </w:t>
      </w:r>
    </w:p>
    <w:p w:rsidR="00FF384B" w:rsidRDefault="003E3BA9">
      <w:pPr>
        <w:spacing w:after="142" w:line="248" w:lineRule="auto"/>
        <w:ind w:left="278" w:right="244" w:hanging="10"/>
        <w:jc w:val="both"/>
      </w:pPr>
      <w:r>
        <w:rPr>
          <w:rFonts w:ascii="Arial" w:eastAsia="Arial" w:hAnsi="Arial" w:cs="Arial"/>
          <w:color w:val="202020"/>
        </w:rPr>
        <w:t xml:space="preserve">Artículo 23. Convocatoria abierta. </w:t>
      </w:r>
    </w:p>
    <w:p w:rsidR="00FF384B" w:rsidRDefault="003E3BA9">
      <w:pPr>
        <w:numPr>
          <w:ilvl w:val="0"/>
          <w:numId w:val="207"/>
        </w:numPr>
        <w:spacing w:after="143" w:line="248" w:lineRule="auto"/>
        <w:ind w:right="244" w:hanging="10"/>
        <w:jc w:val="both"/>
      </w:pPr>
      <w:r>
        <w:rPr>
          <w:rFonts w:ascii="Arial" w:eastAsia="Arial" w:hAnsi="Arial" w:cs="Arial"/>
          <w:i/>
          <w:color w:val="202020"/>
        </w:rPr>
        <w:t>Se denomina convocatoria abierta al acto administrativo por el que se acuerda, de forma simultánea, la realización de varios procedimientos de selección su</w:t>
      </w:r>
      <w:r>
        <w:rPr>
          <w:rFonts w:ascii="Arial" w:eastAsia="Arial" w:hAnsi="Arial" w:cs="Arial"/>
          <w:i/>
          <w:color w:val="202020"/>
        </w:rPr>
        <w:t xml:space="preserve">cesivos, a lo largo de un ejercicio presupuestario, para una misma línea de subvención. </w:t>
      </w:r>
    </w:p>
    <w:p w:rsidR="00FF384B" w:rsidRDefault="003E3BA9">
      <w:pPr>
        <w:numPr>
          <w:ilvl w:val="0"/>
          <w:numId w:val="207"/>
        </w:numPr>
        <w:spacing w:after="143" w:line="248" w:lineRule="auto"/>
        <w:ind w:right="244" w:hanging="10"/>
        <w:jc w:val="both"/>
      </w:pPr>
      <w:r>
        <w:rPr>
          <w:rFonts w:ascii="Arial" w:eastAsia="Arial" w:hAnsi="Arial" w:cs="Arial"/>
          <w:i/>
          <w:color w:val="202020"/>
        </w:rPr>
        <w:t xml:space="preserve">En la convocatoria abierta deberá concretarse el número de procedimientos sucesivos que se realizarán y, para cada uno de ellos: </w:t>
      </w:r>
    </w:p>
    <w:p w:rsidR="00FF384B" w:rsidRDefault="003E3BA9">
      <w:pPr>
        <w:numPr>
          <w:ilvl w:val="1"/>
          <w:numId w:val="207"/>
        </w:numPr>
        <w:spacing w:after="89" w:line="248" w:lineRule="auto"/>
        <w:ind w:right="244" w:hanging="259"/>
        <w:jc w:val="both"/>
      </w:pPr>
      <w:r>
        <w:rPr>
          <w:rFonts w:ascii="Arial" w:eastAsia="Arial" w:hAnsi="Arial" w:cs="Arial"/>
          <w:i/>
          <w:color w:val="202020"/>
        </w:rPr>
        <w:t xml:space="preserve">El importe máximo a otorgar. </w:t>
      </w:r>
    </w:p>
    <w:p w:rsidR="00FF384B" w:rsidRDefault="003E3BA9">
      <w:pPr>
        <w:numPr>
          <w:ilvl w:val="1"/>
          <w:numId w:val="207"/>
        </w:numPr>
        <w:spacing w:after="89" w:line="248" w:lineRule="auto"/>
        <w:ind w:right="244" w:hanging="259"/>
        <w:jc w:val="both"/>
      </w:pPr>
      <w:r>
        <w:rPr>
          <w:rFonts w:ascii="Arial" w:eastAsia="Arial" w:hAnsi="Arial" w:cs="Arial"/>
          <w:i/>
          <w:color w:val="202020"/>
        </w:rPr>
        <w:t>El plaz</w:t>
      </w:r>
      <w:r>
        <w:rPr>
          <w:rFonts w:ascii="Arial" w:eastAsia="Arial" w:hAnsi="Arial" w:cs="Arial"/>
          <w:i/>
          <w:color w:val="202020"/>
        </w:rPr>
        <w:t xml:space="preserve">o máximo de resolución de cada uno de los procedimientos. </w:t>
      </w:r>
    </w:p>
    <w:p w:rsidR="00FF384B" w:rsidRDefault="003E3BA9">
      <w:pPr>
        <w:numPr>
          <w:ilvl w:val="1"/>
          <w:numId w:val="207"/>
        </w:numPr>
        <w:spacing w:after="89" w:line="248" w:lineRule="auto"/>
        <w:ind w:right="244" w:hanging="259"/>
        <w:jc w:val="both"/>
      </w:pPr>
      <w:r>
        <w:rPr>
          <w:rFonts w:ascii="Arial" w:eastAsia="Arial" w:hAnsi="Arial" w:cs="Arial"/>
          <w:i/>
          <w:color w:val="202020"/>
        </w:rPr>
        <w:t xml:space="preserve">El plazo en que, para cada uno de ellos, podrán presentarse las solicitudes. </w:t>
      </w:r>
    </w:p>
    <w:p w:rsidR="00FF384B" w:rsidRDefault="003E3BA9">
      <w:pPr>
        <w:numPr>
          <w:ilvl w:val="0"/>
          <w:numId w:val="207"/>
        </w:numPr>
        <w:spacing w:after="143" w:line="248" w:lineRule="auto"/>
        <w:ind w:right="244" w:hanging="10"/>
        <w:jc w:val="both"/>
      </w:pPr>
      <w:r>
        <w:rPr>
          <w:rFonts w:ascii="Arial" w:eastAsia="Arial" w:hAnsi="Arial" w:cs="Arial"/>
          <w:i/>
          <w:color w:val="202020"/>
        </w:rPr>
        <w:t xml:space="preserve">En cada uno de los procedimientos deberán compararse las solicitudes presentadas en el correspondiente periodo de tiempo y acordar el otorgamiento sin superar la cuantía que para cada procedimiento se haya establecido en la convocatoria abierta.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8272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1027" name="Group 47102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0948" name="Picture 30948"/>
                          <pic:cNvPicPr/>
                        </pic:nvPicPr>
                        <pic:blipFill>
                          <a:blip r:embed="rId62"/>
                          <a:stretch>
                            <a:fillRect/>
                          </a:stretch>
                        </pic:blipFill>
                        <pic:spPr>
                          <a:xfrm rot="-5399999">
                            <a:off x="-1720849" y="1720849"/>
                            <a:ext cx="3797300" cy="355601"/>
                          </a:xfrm>
                          <a:prstGeom prst="rect">
                            <a:avLst/>
                          </a:prstGeom>
                        </pic:spPr>
                      </pic:pic>
                      <wps:wsp>
                        <wps:cNvPr id="30949" name="Rectangle 3094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w:t>
                              </w:r>
                              <w:r>
                                <w:rPr>
                                  <w:rFonts w:ascii="Arial" w:eastAsia="Arial" w:hAnsi="Arial" w:cs="Arial"/>
                                  <w:sz w:val="12"/>
                                </w:rPr>
                                <w:t xml:space="preserve">alidación: 9792ADAG9QWZ53RMHD5RCHL7K | Verificación: https://candelaria.sedelectronica.es/ </w:t>
                              </w:r>
                            </w:p>
                          </w:txbxContent>
                        </wps:txbx>
                        <wps:bodyPr horzOverflow="overflow" vert="horz" lIns="0" tIns="0" rIns="0" bIns="0" rtlCol="0">
                          <a:noAutofit/>
                        </wps:bodyPr>
                      </wps:wsp>
                      <wps:wsp>
                        <wps:cNvPr id="30950" name="Rectangle 3095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1027" style="width:41.2715pt;height:299pt;position:absolute;mso-position-horizontal-relative:page;mso-position-horizontal:absolute;margin-left:653.71pt;mso-position-vertical-relative:page;margin-top:512.92pt;" coordsize="5241,37973">
                <v:shape id="Picture 30948" style="position:absolute;width:37973;height:3556;left:-17208;top:17208;rotation:-89;" filled="f">
                  <v:imagedata r:id="rId63"/>
                </v:shape>
                <v:rect id="Rectangle 3094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095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353 </w:t>
                        </w:r>
                      </w:p>
                    </w:txbxContent>
                  </v:textbox>
                </v:rect>
                <w10:wrap type="square"/>
              </v:group>
            </w:pict>
          </mc:Fallback>
        </mc:AlternateContent>
      </w:r>
      <w:r>
        <w:rPr>
          <w:rFonts w:ascii="Arial" w:eastAsia="Arial" w:hAnsi="Arial" w:cs="Arial"/>
          <w:i/>
          <w:color w:val="202020"/>
        </w:rPr>
        <w:t>En los supuestos del artículo 25.1 a) de esta Ordenanza, las solici</w:t>
      </w:r>
      <w:r>
        <w:rPr>
          <w:rFonts w:ascii="Arial" w:eastAsia="Arial" w:hAnsi="Arial" w:cs="Arial"/>
          <w:i/>
          <w:color w:val="202020"/>
        </w:rPr>
        <w:t>tudes que cumpliendo los requisitos exigidos no hayan podido atenderse por falta de disponibilidad presupuestaria para ese procedimiento, podrán ser atendidas con cargo a los créditos del procedimiento siguiente, otorgándoseles prioridad sobre las peticion</w:t>
      </w:r>
      <w:r>
        <w:rPr>
          <w:rFonts w:ascii="Arial" w:eastAsia="Arial" w:hAnsi="Arial" w:cs="Arial"/>
          <w:i/>
          <w:color w:val="202020"/>
        </w:rPr>
        <w:t xml:space="preserve">es que se presenten dentro de dicho procedimiento, siempre que continúen cumpliendo los requisitos exigibles para su obtención. La convocatoria establecerá, si fuese necesario, la forma de acreditar el mantenimiento de los requisitos exigibles. </w:t>
      </w:r>
    </w:p>
    <w:p w:rsidR="00FF384B" w:rsidRDefault="003E3BA9">
      <w:pPr>
        <w:numPr>
          <w:ilvl w:val="0"/>
          <w:numId w:val="207"/>
        </w:numPr>
        <w:spacing w:after="143" w:line="248" w:lineRule="auto"/>
        <w:ind w:right="244" w:hanging="10"/>
        <w:jc w:val="both"/>
      </w:pPr>
      <w:r>
        <w:rPr>
          <w:rFonts w:ascii="Arial" w:eastAsia="Arial" w:hAnsi="Arial" w:cs="Arial"/>
          <w:i/>
          <w:color w:val="202020"/>
        </w:rPr>
        <w:t xml:space="preserve">Cuando a la finalización de un procedimiento se hayan concedido las subvenciones correspondientes y no se haya agotado el importe máximo a otorgar, se podrá trasladar la cantidad no aplicada a los posteriores procedimientos. </w:t>
      </w:r>
    </w:p>
    <w:p w:rsidR="00FF384B" w:rsidRDefault="003E3BA9">
      <w:pPr>
        <w:spacing w:after="143" w:line="248" w:lineRule="auto"/>
        <w:ind w:left="278" w:right="244" w:hanging="10"/>
        <w:jc w:val="both"/>
      </w:pPr>
      <w:r>
        <w:rPr>
          <w:rFonts w:ascii="Arial" w:eastAsia="Arial" w:hAnsi="Arial" w:cs="Arial"/>
          <w:i/>
          <w:color w:val="202020"/>
        </w:rPr>
        <w:t>Para poder hacer uso de esta p</w:t>
      </w:r>
      <w:r>
        <w:rPr>
          <w:rFonts w:ascii="Arial" w:eastAsia="Arial" w:hAnsi="Arial" w:cs="Arial"/>
          <w:i/>
          <w:color w:val="202020"/>
        </w:rPr>
        <w:t xml:space="preserve">osibilidad deberán cumplirse los siguientes requisitos: </w:t>
      </w:r>
    </w:p>
    <w:p w:rsidR="00FF384B" w:rsidRDefault="003E3BA9">
      <w:pPr>
        <w:numPr>
          <w:ilvl w:val="1"/>
          <w:numId w:val="207"/>
        </w:numPr>
        <w:spacing w:after="92" w:line="248" w:lineRule="auto"/>
        <w:ind w:right="244" w:hanging="259"/>
        <w:jc w:val="both"/>
      </w:pPr>
      <w:r>
        <w:rPr>
          <w:rFonts w:ascii="Arial" w:eastAsia="Arial" w:hAnsi="Arial" w:cs="Arial"/>
          <w:i/>
          <w:color w:val="202020"/>
        </w:rPr>
        <w:t xml:space="preserve">Deberá estar expresamente previsto en la convocatoria, donde se recogerán además los criterios para la asignación de los fondos no empleados entre los periodos restantes. </w:t>
      </w:r>
    </w:p>
    <w:p w:rsidR="00FF384B" w:rsidRDefault="003E3BA9">
      <w:pPr>
        <w:numPr>
          <w:ilvl w:val="1"/>
          <w:numId w:val="207"/>
        </w:numPr>
        <w:spacing w:after="143" w:line="248" w:lineRule="auto"/>
        <w:ind w:right="244" w:hanging="259"/>
        <w:jc w:val="both"/>
      </w:pPr>
      <w:r>
        <w:rPr>
          <w:rFonts w:ascii="Arial" w:eastAsia="Arial" w:hAnsi="Arial" w:cs="Arial"/>
          <w:i/>
          <w:color w:val="202020"/>
        </w:rPr>
        <w:t>Una vez recaída la resoluci</w:t>
      </w:r>
      <w:r>
        <w:rPr>
          <w:rFonts w:ascii="Arial" w:eastAsia="Arial" w:hAnsi="Arial" w:cs="Arial"/>
          <w:i/>
          <w:color w:val="202020"/>
        </w:rPr>
        <w:t xml:space="preserve">ón del procedimiento, el órgano concedente deberá acordar expresamente las cuantías a trasladar y el periodo en el que se aplicarán. c) El empleo de esta posibilidad no podrá suponer en ningún caso menoscabo de los derechos de los solicitantes del periodo </w:t>
      </w:r>
      <w:r>
        <w:rPr>
          <w:rFonts w:ascii="Arial" w:eastAsia="Arial" w:hAnsi="Arial" w:cs="Arial"/>
          <w:i/>
          <w:color w:val="202020"/>
        </w:rPr>
        <w:t xml:space="preserve">de origen. </w:t>
      </w:r>
    </w:p>
    <w:p w:rsidR="00FF384B" w:rsidRDefault="003E3BA9">
      <w:pPr>
        <w:spacing w:after="142" w:line="248" w:lineRule="auto"/>
        <w:ind w:left="278" w:right="244" w:hanging="10"/>
        <w:jc w:val="both"/>
      </w:pPr>
      <w:r>
        <w:rPr>
          <w:rFonts w:ascii="Arial" w:eastAsia="Arial" w:hAnsi="Arial" w:cs="Arial"/>
          <w:color w:val="202020"/>
        </w:rPr>
        <w:t xml:space="preserve">CAPÍTULO III. De régimen y procedimiento simplificado de concesión de subvenciones en concurrencia competitiva. </w:t>
      </w:r>
    </w:p>
    <w:p w:rsidR="00FF384B" w:rsidRDefault="003E3BA9">
      <w:pPr>
        <w:spacing w:after="142" w:line="248" w:lineRule="auto"/>
        <w:ind w:left="278" w:right="244" w:hanging="10"/>
        <w:jc w:val="both"/>
      </w:pPr>
      <w:r>
        <w:rPr>
          <w:rFonts w:ascii="Arial" w:eastAsia="Arial" w:hAnsi="Arial" w:cs="Arial"/>
          <w:color w:val="202020"/>
        </w:rPr>
        <w:t xml:space="preserve">Artículo 24. Procedimiento simplificado en concurrencia competitiva. </w:t>
      </w:r>
    </w:p>
    <w:p w:rsidR="00FF384B" w:rsidRDefault="003E3BA9">
      <w:pPr>
        <w:numPr>
          <w:ilvl w:val="0"/>
          <w:numId w:val="208"/>
        </w:numPr>
        <w:spacing w:after="143" w:line="248" w:lineRule="auto"/>
        <w:ind w:right="244" w:hanging="245"/>
        <w:jc w:val="both"/>
      </w:pPr>
      <w:r>
        <w:rPr>
          <w:rFonts w:ascii="Arial" w:eastAsia="Arial" w:hAnsi="Arial" w:cs="Arial"/>
          <w:i/>
          <w:color w:val="202020"/>
        </w:rPr>
        <w:t xml:space="preserve">No obstante lo dispuesto en los artículos anteriores, en las </w:t>
      </w:r>
      <w:r>
        <w:rPr>
          <w:rFonts w:ascii="Arial" w:eastAsia="Arial" w:hAnsi="Arial" w:cs="Arial"/>
          <w:i/>
          <w:color w:val="202020"/>
        </w:rPr>
        <w:t xml:space="preserve">convocatorias podrá aplicarse el procedimiento simplificado de concurrencia competitiva, regulado en esta ordenanza, en caso de uno los siguientes supuestos: </w:t>
      </w:r>
    </w:p>
    <w:p w:rsidR="00FF384B" w:rsidRDefault="003E3BA9">
      <w:pPr>
        <w:numPr>
          <w:ilvl w:val="1"/>
          <w:numId w:val="208"/>
        </w:numPr>
        <w:spacing w:after="98" w:line="240" w:lineRule="auto"/>
        <w:ind w:right="244" w:hanging="10"/>
        <w:jc w:val="both"/>
      </w:pPr>
      <w:r>
        <w:rPr>
          <w:rFonts w:ascii="Arial" w:eastAsia="Arial" w:hAnsi="Arial" w:cs="Arial"/>
          <w:i/>
          <w:color w:val="202020"/>
        </w:rPr>
        <w:t>Cuando el objeto y finalidad de la ayuda justifiquen que la prelación de las solicitudes, válidam</w:t>
      </w:r>
      <w:r>
        <w:rPr>
          <w:rFonts w:ascii="Arial" w:eastAsia="Arial" w:hAnsi="Arial" w:cs="Arial"/>
          <w:i/>
          <w:color w:val="202020"/>
        </w:rPr>
        <w:t>ente presentadas y que cumplan los requisitos que se establezcan, se fije únicamente en función de su fecha de presentación, dentro de un plazo limitado, con el fin de adjudicar las subvenciones dentro del crédito disponible. Dicha justificación deberá que</w:t>
      </w:r>
      <w:r>
        <w:rPr>
          <w:rFonts w:ascii="Arial" w:eastAsia="Arial" w:hAnsi="Arial" w:cs="Arial"/>
          <w:i/>
          <w:color w:val="202020"/>
        </w:rPr>
        <w:t xml:space="preserve">dar debidamente motivada en el procedimiento de aprobación de la convocatoria. </w:t>
      </w:r>
    </w:p>
    <w:p w:rsidR="00FF384B" w:rsidRDefault="003E3BA9">
      <w:pPr>
        <w:numPr>
          <w:ilvl w:val="1"/>
          <w:numId w:val="208"/>
        </w:numPr>
        <w:spacing w:after="92" w:line="248" w:lineRule="auto"/>
        <w:ind w:right="244" w:hanging="10"/>
        <w:jc w:val="both"/>
      </w:pPr>
      <w:r>
        <w:rPr>
          <w:rFonts w:ascii="Arial" w:eastAsia="Arial" w:hAnsi="Arial" w:cs="Arial"/>
          <w:i/>
          <w:color w:val="202020"/>
        </w:rPr>
        <w:t>Cuando las convocatorias prevean que la subvención se concederá a todos los que reúnan los requisitos para su otorgamiento y solo se aplicarán criterios de evaluación para cuan</w:t>
      </w:r>
      <w:r>
        <w:rPr>
          <w:rFonts w:ascii="Arial" w:eastAsia="Arial" w:hAnsi="Arial" w:cs="Arial"/>
          <w:i/>
          <w:color w:val="202020"/>
        </w:rPr>
        <w:t xml:space="preserve">tificar, dentro del crédito consignado en la convocatoria, el importe de dicha subvención. </w:t>
      </w:r>
    </w:p>
    <w:p w:rsidR="00FF384B" w:rsidRDefault="003E3BA9">
      <w:pPr>
        <w:numPr>
          <w:ilvl w:val="1"/>
          <w:numId w:val="208"/>
        </w:numPr>
        <w:spacing w:after="98" w:line="240" w:lineRule="auto"/>
        <w:ind w:right="244" w:hanging="10"/>
        <w:jc w:val="both"/>
      </w:pPr>
      <w:r>
        <w:rPr>
          <w:rFonts w:ascii="Arial" w:eastAsia="Arial" w:hAnsi="Arial" w:cs="Arial"/>
          <w:i/>
          <w:color w:val="202020"/>
        </w:rPr>
        <w:t xml:space="preserve">Cuando el crédito consignado en la convocatoria fuera suficiente para atender a todas las solicitudes que reúnan los requisitos establecidos, una vez finalizado el plazo de presentación, no siendo necesario establecer una prelación entre las mismas. </w:t>
      </w:r>
    </w:p>
    <w:p w:rsidR="00FF384B" w:rsidRDefault="003E3BA9">
      <w:pPr>
        <w:numPr>
          <w:ilvl w:val="0"/>
          <w:numId w:val="208"/>
        </w:numPr>
        <w:spacing w:after="143" w:line="248" w:lineRule="auto"/>
        <w:ind w:right="244" w:hanging="245"/>
        <w:jc w:val="both"/>
      </w:pPr>
      <w:r>
        <w:rPr>
          <w:rFonts w:ascii="Arial" w:eastAsia="Arial" w:hAnsi="Arial" w:cs="Arial"/>
          <w:i/>
          <w:color w:val="202020"/>
        </w:rPr>
        <w:t>En lo</w:t>
      </w:r>
      <w:r>
        <w:rPr>
          <w:rFonts w:ascii="Arial" w:eastAsia="Arial" w:hAnsi="Arial" w:cs="Arial"/>
          <w:i/>
          <w:color w:val="202020"/>
        </w:rPr>
        <w:t xml:space="preserve">s supuestos a) y b) las solicitudes de ayuda se podrán resolver individualmente. </w:t>
      </w:r>
    </w:p>
    <w:p w:rsidR="00FF384B" w:rsidRDefault="003E3BA9">
      <w:pPr>
        <w:numPr>
          <w:ilvl w:val="0"/>
          <w:numId w:val="208"/>
        </w:numPr>
        <w:spacing w:after="143" w:line="248" w:lineRule="auto"/>
        <w:ind w:right="244" w:hanging="245"/>
        <w:jc w:val="both"/>
      </w:pPr>
      <w:r>
        <w:rPr>
          <w:rFonts w:ascii="Arial" w:eastAsia="Arial" w:hAnsi="Arial" w:cs="Arial"/>
          <w:i/>
          <w:color w:val="202020"/>
        </w:rPr>
        <w:t xml:space="preserve">En todos los supuestos del procedimiento simplificado de concurrencia competitiva, la convocatoria también podrá realizarse como convocatoria abierta. </w:t>
      </w:r>
    </w:p>
    <w:p w:rsidR="00FF384B" w:rsidRDefault="003E3BA9">
      <w:pPr>
        <w:spacing w:after="142" w:line="248" w:lineRule="auto"/>
        <w:ind w:left="278" w:right="244" w:hanging="10"/>
        <w:jc w:val="both"/>
      </w:pPr>
      <w:r>
        <w:rPr>
          <w:rFonts w:ascii="Arial" w:eastAsia="Arial" w:hAnsi="Arial" w:cs="Arial"/>
          <w:color w:val="202020"/>
        </w:rPr>
        <w:t xml:space="preserve">Artículo 25. Aspectos </w:t>
      </w:r>
      <w:r>
        <w:rPr>
          <w:rFonts w:ascii="Arial" w:eastAsia="Arial" w:hAnsi="Arial" w:cs="Arial"/>
          <w:color w:val="202020"/>
        </w:rPr>
        <w:t xml:space="preserve">específicos del procedimiento simplificado. </w:t>
      </w:r>
    </w:p>
    <w:p w:rsidR="00FF384B" w:rsidRDefault="003E3BA9">
      <w:pPr>
        <w:spacing w:after="143" w:line="248" w:lineRule="auto"/>
        <w:ind w:left="278" w:right="244" w:hanging="10"/>
        <w:jc w:val="both"/>
      </w:pPr>
      <w:r>
        <w:rPr>
          <w:rFonts w:ascii="Arial" w:eastAsia="Arial" w:hAnsi="Arial" w:cs="Arial"/>
          <w:i/>
          <w:color w:val="202020"/>
        </w:rPr>
        <w:t xml:space="preserve">Son aspectos específicos a incluir en el citado procedimiento: </w:t>
      </w:r>
    </w:p>
    <w:p w:rsidR="00FF384B" w:rsidRDefault="003E3BA9">
      <w:pPr>
        <w:numPr>
          <w:ilvl w:val="1"/>
          <w:numId w:val="208"/>
        </w:numPr>
        <w:spacing w:after="92" w:line="248" w:lineRule="auto"/>
        <w:ind w:right="244" w:hanging="10"/>
        <w:jc w:val="both"/>
      </w:pPr>
      <w:r>
        <w:rPr>
          <w:rFonts w:ascii="Arial" w:eastAsia="Arial" w:hAnsi="Arial" w:cs="Arial"/>
          <w:i/>
          <w:color w:val="202020"/>
        </w:rPr>
        <w:t>La convocatoria, recogerá, que la concesión se efectúa por el procedimiento simplificado. Asimismo, se deberá indicar si se trata de una convocator</w:t>
      </w:r>
      <w:r>
        <w:rPr>
          <w:rFonts w:ascii="Arial" w:eastAsia="Arial" w:hAnsi="Arial" w:cs="Arial"/>
          <w:i/>
          <w:color w:val="202020"/>
        </w:rPr>
        <w:t xml:space="preserve">ia abierta. </w:t>
      </w:r>
    </w:p>
    <w:p w:rsidR="00FF384B" w:rsidRDefault="003E3BA9">
      <w:pPr>
        <w:numPr>
          <w:ilvl w:val="1"/>
          <w:numId w:val="208"/>
        </w:numPr>
        <w:spacing w:after="95" w:line="248" w:lineRule="auto"/>
        <w:ind w:right="244" w:hanging="10"/>
        <w:jc w:val="both"/>
      </w:pPr>
      <w:r>
        <w:rPr>
          <w:noProof/>
        </w:rPr>
        <mc:AlternateContent>
          <mc:Choice Requires="wpg">
            <w:drawing>
              <wp:anchor distT="0" distB="0" distL="114300" distR="114300" simplePos="0" relativeHeight="2518282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1342" name="Group 47134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094" name="Picture 31094"/>
                          <pic:cNvPicPr/>
                        </pic:nvPicPr>
                        <pic:blipFill>
                          <a:blip r:embed="rId62"/>
                          <a:stretch>
                            <a:fillRect/>
                          </a:stretch>
                        </pic:blipFill>
                        <pic:spPr>
                          <a:xfrm rot="-5399999">
                            <a:off x="-1720849" y="1720849"/>
                            <a:ext cx="3797300" cy="355601"/>
                          </a:xfrm>
                          <a:prstGeom prst="rect">
                            <a:avLst/>
                          </a:prstGeom>
                        </pic:spPr>
                      </pic:pic>
                      <wps:wsp>
                        <wps:cNvPr id="31095" name="Rectangle 3109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096" name="Rectangle 3109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1342" style="width:41.2715pt;height:299pt;position:absolute;mso-position-horizontal-relative:page;mso-position-horizontal:absolute;margin-left:653.71pt;mso-position-vertical-relative:page;margin-top:512.92pt;" coordsize="5241,37973">
                <v:shape id="Picture 31094" style="position:absolute;width:37973;height:3556;left:-17208;top:17208;rotation:-89;" filled="f">
                  <v:imagedata r:id="rId63"/>
                </v:shape>
                <v:rect id="Rectangle 3109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09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353 </w:t>
                        </w:r>
                      </w:p>
                    </w:txbxContent>
                  </v:textbox>
                </v:rect>
                <w10:wrap type="square"/>
              </v:group>
            </w:pict>
          </mc:Fallback>
        </mc:AlternateContent>
      </w:r>
      <w:r>
        <w:rPr>
          <w:rFonts w:ascii="Arial" w:eastAsia="Arial" w:hAnsi="Arial" w:cs="Arial"/>
          <w:i/>
          <w:color w:val="202020"/>
        </w:rPr>
        <w:t xml:space="preserve">Posibilidad de realizar pagos anticipados, y </w:t>
      </w:r>
      <w:r>
        <w:rPr>
          <w:rFonts w:ascii="Arial" w:eastAsia="Arial" w:hAnsi="Arial" w:cs="Arial"/>
          <w:i/>
          <w:color w:val="202020"/>
        </w:rPr>
        <w:t xml:space="preserve">porcentajes del mismo, que podrá alcanzar el 100% de la subvención concedida </w:t>
      </w:r>
    </w:p>
    <w:p w:rsidR="00FF384B" w:rsidRDefault="003E3BA9">
      <w:pPr>
        <w:numPr>
          <w:ilvl w:val="1"/>
          <w:numId w:val="208"/>
        </w:numPr>
        <w:spacing w:after="92" w:line="248" w:lineRule="auto"/>
        <w:ind w:right="244" w:hanging="10"/>
        <w:jc w:val="both"/>
      </w:pPr>
      <w:r>
        <w:rPr>
          <w:rFonts w:ascii="Arial" w:eastAsia="Arial" w:hAnsi="Arial" w:cs="Arial"/>
          <w:i/>
          <w:color w:val="202020"/>
        </w:rPr>
        <w:t xml:space="preserve">Aceptación por los solicitantes, de la reformulación automática de la subvención, en función de la subvención concedida. </w:t>
      </w:r>
    </w:p>
    <w:p w:rsidR="00FF384B" w:rsidRDefault="003E3BA9">
      <w:pPr>
        <w:numPr>
          <w:ilvl w:val="1"/>
          <w:numId w:val="208"/>
        </w:numPr>
        <w:spacing w:after="95" w:line="248" w:lineRule="auto"/>
        <w:ind w:right="244" w:hanging="10"/>
        <w:jc w:val="both"/>
      </w:pPr>
      <w:r>
        <w:rPr>
          <w:rFonts w:ascii="Arial" w:eastAsia="Arial" w:hAnsi="Arial" w:cs="Arial"/>
          <w:i/>
          <w:color w:val="202020"/>
        </w:rPr>
        <w:t xml:space="preserve">La </w:t>
      </w:r>
      <w:r>
        <w:rPr>
          <w:rFonts w:ascii="Arial" w:eastAsia="Arial" w:hAnsi="Arial" w:cs="Arial"/>
          <w:i/>
          <w:color w:val="202020"/>
        </w:rPr>
        <w:t xml:space="preserve">notificación, si así se recoge en las convocatorias, podrá efectuarse por publicación en la sede electrónica o en el tablón municipal. </w:t>
      </w:r>
    </w:p>
    <w:p w:rsidR="00FF384B" w:rsidRDefault="003E3BA9">
      <w:pPr>
        <w:numPr>
          <w:ilvl w:val="1"/>
          <w:numId w:val="208"/>
        </w:numPr>
        <w:spacing w:after="92" w:line="248" w:lineRule="auto"/>
        <w:ind w:right="244" w:hanging="10"/>
        <w:jc w:val="both"/>
      </w:pPr>
      <w:r>
        <w:rPr>
          <w:rFonts w:ascii="Arial" w:eastAsia="Arial" w:hAnsi="Arial" w:cs="Arial"/>
          <w:i/>
          <w:color w:val="202020"/>
        </w:rPr>
        <w:t>La forma de acreditar el Trámite de audiencia, que se entenderá cumplido, si en la propuesta de resolución se recoge jun</w:t>
      </w:r>
      <w:r>
        <w:rPr>
          <w:rFonts w:ascii="Arial" w:eastAsia="Arial" w:hAnsi="Arial" w:cs="Arial"/>
          <w:i/>
          <w:color w:val="202020"/>
        </w:rPr>
        <w:t xml:space="preserve">to con el importe de la subvención el importe a justificar. </w:t>
      </w:r>
    </w:p>
    <w:p w:rsidR="00FF384B" w:rsidRDefault="003E3BA9">
      <w:pPr>
        <w:numPr>
          <w:ilvl w:val="1"/>
          <w:numId w:val="208"/>
        </w:numPr>
        <w:spacing w:after="92" w:line="248" w:lineRule="auto"/>
        <w:ind w:right="244" w:hanging="10"/>
        <w:jc w:val="both"/>
      </w:pPr>
      <w:r>
        <w:rPr>
          <w:rFonts w:ascii="Arial" w:eastAsia="Arial" w:hAnsi="Arial" w:cs="Arial"/>
          <w:i/>
          <w:color w:val="202020"/>
        </w:rPr>
        <w:t xml:space="preserve">La resolución provisional, que tendrá carácter definitivo, en el caso de no presentar reclamaciones en el plazo de 10 días. </w:t>
      </w:r>
    </w:p>
    <w:p w:rsidR="00FF384B" w:rsidRDefault="003E3BA9">
      <w:pPr>
        <w:numPr>
          <w:ilvl w:val="1"/>
          <w:numId w:val="208"/>
        </w:numPr>
        <w:spacing w:after="92" w:line="248" w:lineRule="auto"/>
        <w:ind w:right="244" w:hanging="10"/>
        <w:jc w:val="both"/>
      </w:pPr>
      <w:r>
        <w:rPr>
          <w:rFonts w:ascii="Arial" w:eastAsia="Arial" w:hAnsi="Arial" w:cs="Arial"/>
          <w:i/>
          <w:color w:val="202020"/>
        </w:rPr>
        <w:t xml:space="preserve">En la resolución de adjudicación se indicará, junto con la subvención </w:t>
      </w:r>
      <w:r>
        <w:rPr>
          <w:rFonts w:ascii="Arial" w:eastAsia="Arial" w:hAnsi="Arial" w:cs="Arial"/>
          <w:i/>
          <w:color w:val="202020"/>
        </w:rPr>
        <w:t xml:space="preserve">concedida, el porcentaje que ésta supone sobre el importe de la actividad, que tendrá carácter de reformulación. </w:t>
      </w:r>
    </w:p>
    <w:p w:rsidR="00FF384B" w:rsidRDefault="003E3BA9">
      <w:pPr>
        <w:numPr>
          <w:ilvl w:val="1"/>
          <w:numId w:val="208"/>
        </w:numPr>
        <w:spacing w:after="86" w:line="248" w:lineRule="auto"/>
        <w:ind w:right="244" w:hanging="10"/>
        <w:jc w:val="both"/>
      </w:pPr>
      <w:r>
        <w:rPr>
          <w:rFonts w:ascii="Arial" w:eastAsia="Arial" w:hAnsi="Arial" w:cs="Arial"/>
          <w:i/>
          <w:color w:val="202020"/>
        </w:rPr>
        <w:t xml:space="preserve">Aceptación de la subvención, que se producirá con carácter automático si el interesado no manifiesta oposición en su contra en el plazo de 10 </w:t>
      </w:r>
      <w:r>
        <w:rPr>
          <w:rFonts w:ascii="Arial" w:eastAsia="Arial" w:hAnsi="Arial" w:cs="Arial"/>
          <w:i/>
          <w:color w:val="202020"/>
        </w:rPr>
        <w:t xml:space="preserve">días. i) La justificación se realizará mediante cuenta justificativa simplificada. </w:t>
      </w:r>
    </w:p>
    <w:p w:rsidR="00FF384B" w:rsidRDefault="003E3BA9">
      <w:pPr>
        <w:spacing w:after="79"/>
        <w:ind w:left="283"/>
      </w:pPr>
      <w:r>
        <w:rPr>
          <w:rFonts w:ascii="Arial" w:eastAsia="Arial" w:hAnsi="Arial" w:cs="Arial"/>
          <w:i/>
          <w:color w:val="202020"/>
        </w:rPr>
        <w:t xml:space="preserve"> </w:t>
      </w:r>
    </w:p>
    <w:p w:rsidR="00FF384B" w:rsidRDefault="003E3BA9">
      <w:pPr>
        <w:spacing w:after="13" w:line="247" w:lineRule="auto"/>
        <w:ind w:left="268" w:right="239"/>
        <w:jc w:val="both"/>
      </w:pPr>
      <w:r>
        <w:rPr>
          <w:rFonts w:ascii="Arial" w:eastAsia="Arial" w:hAnsi="Arial" w:cs="Arial"/>
          <w:b/>
          <w:i/>
        </w:rPr>
        <w:t xml:space="preserve">CAPÍTULO IV. Del régimen y procedimiento de concesión directa de las subvenciones.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Artículo 26. Subvenciones previstas nominativamente en el presupuesto general munici</w:t>
      </w:r>
      <w:r>
        <w:rPr>
          <w:rFonts w:ascii="Arial" w:eastAsia="Arial" w:hAnsi="Arial" w:cs="Arial"/>
          <w:b/>
          <w:i/>
        </w:rPr>
        <w:t xml:space="preserve">pal. </w:t>
      </w:r>
    </w:p>
    <w:p w:rsidR="00FF384B" w:rsidRDefault="003E3BA9">
      <w:pPr>
        <w:spacing w:after="0"/>
        <w:ind w:left="283"/>
      </w:pPr>
      <w:r>
        <w:rPr>
          <w:rFonts w:ascii="Arial" w:eastAsia="Arial" w:hAnsi="Arial" w:cs="Arial"/>
          <w:b/>
          <w:i/>
        </w:rPr>
        <w:t xml:space="preserve"> </w:t>
      </w:r>
    </w:p>
    <w:p w:rsidR="00FF384B" w:rsidRDefault="003E3BA9">
      <w:pPr>
        <w:numPr>
          <w:ilvl w:val="0"/>
          <w:numId w:val="209"/>
        </w:numPr>
        <w:spacing w:after="4" w:line="247" w:lineRule="auto"/>
        <w:ind w:right="244" w:hanging="10"/>
        <w:jc w:val="both"/>
      </w:pPr>
      <w:r>
        <w:rPr>
          <w:rFonts w:ascii="Arial" w:eastAsia="Arial" w:hAnsi="Arial" w:cs="Arial"/>
          <w:i/>
        </w:rPr>
        <w:t>La concesión de las subvenciones previstas nominativamente en el presupuesto general municipal, se regirán por las bases de ejecución del presupuesto, por el presente capítulo, por las disposiciones de esta Ordenanza y en la normativa de subvenciones vigen</w:t>
      </w:r>
      <w:r>
        <w:rPr>
          <w:rFonts w:ascii="Arial" w:eastAsia="Arial" w:hAnsi="Arial" w:cs="Arial"/>
          <w:i/>
        </w:rPr>
        <w:t>tes que les son aplicables en cuanto a requisitos de los beneficiarios, obligaciones de los mismos, pagos, gastos subvencionables, justificación de la subvención, incumplimiento y formas de reintegro, control financiero, sanciones, etc., y por la resolució</w:t>
      </w:r>
      <w:r>
        <w:rPr>
          <w:rFonts w:ascii="Arial" w:eastAsia="Arial" w:hAnsi="Arial" w:cs="Arial"/>
          <w:i/>
        </w:rPr>
        <w:t xml:space="preserve">n o el convenio a través del cual se canalizan, salvo excepciones justificadas, que establecerán las condiciones y los compromisos específicos. </w:t>
      </w:r>
    </w:p>
    <w:p w:rsidR="00FF384B" w:rsidRDefault="003E3BA9">
      <w:pPr>
        <w:spacing w:after="0"/>
        <w:ind w:left="283"/>
      </w:pPr>
      <w:r>
        <w:rPr>
          <w:rFonts w:ascii="Arial" w:eastAsia="Arial" w:hAnsi="Arial" w:cs="Arial"/>
          <w:i/>
        </w:rPr>
        <w:t xml:space="preserve"> </w:t>
      </w:r>
    </w:p>
    <w:p w:rsidR="00FF384B" w:rsidRDefault="003E3BA9">
      <w:pPr>
        <w:numPr>
          <w:ilvl w:val="0"/>
          <w:numId w:val="209"/>
        </w:numPr>
        <w:spacing w:after="352" w:line="247" w:lineRule="auto"/>
        <w:ind w:right="244" w:hanging="10"/>
        <w:jc w:val="both"/>
      </w:pPr>
      <w:r>
        <w:rPr>
          <w:rFonts w:ascii="Arial" w:eastAsia="Arial" w:hAnsi="Arial" w:cs="Arial"/>
          <w:i/>
        </w:rPr>
        <w:t xml:space="preserve">La resolución, o en su caso el convenio, deberá contener necesariamente los elementos siguientes: </w:t>
      </w:r>
    </w:p>
    <w:p w:rsidR="00FF384B" w:rsidRDefault="003E3BA9">
      <w:pPr>
        <w:numPr>
          <w:ilvl w:val="1"/>
          <w:numId w:val="209"/>
        </w:numPr>
        <w:spacing w:after="171" w:line="247" w:lineRule="auto"/>
        <w:ind w:right="244" w:hanging="273"/>
        <w:jc w:val="both"/>
      </w:pPr>
      <w:r>
        <w:rPr>
          <w:rFonts w:ascii="Arial" w:eastAsia="Arial" w:hAnsi="Arial" w:cs="Arial"/>
          <w:i/>
        </w:rPr>
        <w:t xml:space="preserve">Determinación del objeto de la subvención. </w:t>
      </w:r>
    </w:p>
    <w:p w:rsidR="00FF384B" w:rsidRDefault="003E3BA9">
      <w:pPr>
        <w:numPr>
          <w:ilvl w:val="1"/>
          <w:numId w:val="209"/>
        </w:numPr>
        <w:spacing w:after="169" w:line="247" w:lineRule="auto"/>
        <w:ind w:right="244" w:hanging="273"/>
        <w:jc w:val="both"/>
      </w:pPr>
      <w:r>
        <w:rPr>
          <w:rFonts w:ascii="Arial" w:eastAsia="Arial" w:hAnsi="Arial" w:cs="Arial"/>
          <w:i/>
        </w:rPr>
        <w:t xml:space="preserve">Cuantía de la subvención. </w:t>
      </w:r>
    </w:p>
    <w:p w:rsidR="00FF384B" w:rsidRDefault="003E3BA9">
      <w:pPr>
        <w:numPr>
          <w:ilvl w:val="1"/>
          <w:numId w:val="209"/>
        </w:numPr>
        <w:spacing w:after="171" w:line="247" w:lineRule="auto"/>
        <w:ind w:right="244" w:hanging="273"/>
        <w:jc w:val="both"/>
      </w:pPr>
      <w:r>
        <w:rPr>
          <w:rFonts w:ascii="Arial" w:eastAsia="Arial" w:hAnsi="Arial" w:cs="Arial"/>
          <w:i/>
        </w:rPr>
        <w:t xml:space="preserve">Condiciones y compromisos. </w:t>
      </w:r>
    </w:p>
    <w:p w:rsidR="00FF384B" w:rsidRDefault="003E3BA9">
      <w:pPr>
        <w:numPr>
          <w:ilvl w:val="1"/>
          <w:numId w:val="209"/>
        </w:numPr>
        <w:spacing w:after="169" w:line="247" w:lineRule="auto"/>
        <w:ind w:right="244" w:hanging="273"/>
        <w:jc w:val="both"/>
      </w:pPr>
      <w:r>
        <w:rPr>
          <w:rFonts w:ascii="Arial" w:eastAsia="Arial" w:hAnsi="Arial" w:cs="Arial"/>
          <w:i/>
        </w:rPr>
        <w:t xml:space="preserve">Crédito presupuestario. </w:t>
      </w:r>
    </w:p>
    <w:p w:rsidR="00FF384B" w:rsidRDefault="003E3BA9">
      <w:pPr>
        <w:numPr>
          <w:ilvl w:val="1"/>
          <w:numId w:val="209"/>
        </w:numPr>
        <w:spacing w:after="169" w:line="247" w:lineRule="auto"/>
        <w:ind w:right="244" w:hanging="273"/>
        <w:jc w:val="both"/>
      </w:pPr>
      <w:r>
        <w:rPr>
          <w:noProof/>
        </w:rPr>
        <mc:AlternateContent>
          <mc:Choice Requires="wpg">
            <w:drawing>
              <wp:anchor distT="0" distB="0" distL="114300" distR="114300" simplePos="0" relativeHeight="2518292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1576" name="Group 47157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188" name="Picture 31188"/>
                          <pic:cNvPicPr/>
                        </pic:nvPicPr>
                        <pic:blipFill>
                          <a:blip r:embed="rId62"/>
                          <a:stretch>
                            <a:fillRect/>
                          </a:stretch>
                        </pic:blipFill>
                        <pic:spPr>
                          <a:xfrm rot="-5399999">
                            <a:off x="-1720849" y="1720849"/>
                            <a:ext cx="3797300" cy="355601"/>
                          </a:xfrm>
                          <a:prstGeom prst="rect">
                            <a:avLst/>
                          </a:prstGeom>
                        </pic:spPr>
                      </pic:pic>
                      <wps:wsp>
                        <wps:cNvPr id="31189" name="Rectangle 311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190" name="Rectangle 3119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w:t>
                              </w:r>
                              <w:r>
                                <w:rPr>
                                  <w:rFonts w:ascii="Arial" w:eastAsia="Arial" w:hAnsi="Arial" w:cs="Arial"/>
                                  <w:sz w:val="12"/>
                                </w:rPr>
                                <w:t xml:space="preserve">mente desde la plataforma esPublico Gestiona | Página 166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1576" style="width:41.2715pt;height:299pt;position:absolute;mso-position-horizontal-relative:page;mso-position-horizontal:absolute;margin-left:653.71pt;mso-position-vertical-relative:page;margin-top:512.92pt;" coordsize="5241,37973">
                <v:shape id="Picture 31188" style="position:absolute;width:37973;height:3556;left:-17208;top:17208;rotation:-89;" filled="f">
                  <v:imagedata r:id="rId63"/>
                </v:shape>
                <v:rect id="Rectangle 311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19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353 </w:t>
                        </w:r>
                      </w:p>
                    </w:txbxContent>
                  </v:textbox>
                </v:rect>
                <w10:wrap type="square"/>
              </v:group>
            </w:pict>
          </mc:Fallback>
        </mc:AlternateContent>
      </w:r>
      <w:r>
        <w:rPr>
          <w:rFonts w:ascii="Arial" w:eastAsia="Arial" w:hAnsi="Arial" w:cs="Arial"/>
          <w:i/>
        </w:rPr>
        <w:t xml:space="preserve">Compatibilidad o incompatibilidad con otras subvenciones, ayudas e ingresos. </w:t>
      </w:r>
    </w:p>
    <w:p w:rsidR="00FF384B" w:rsidRDefault="003E3BA9">
      <w:pPr>
        <w:numPr>
          <w:ilvl w:val="1"/>
          <w:numId w:val="209"/>
        </w:numPr>
        <w:spacing w:after="171" w:line="247" w:lineRule="auto"/>
        <w:ind w:right="244" w:hanging="273"/>
        <w:jc w:val="both"/>
      </w:pPr>
      <w:r>
        <w:rPr>
          <w:rFonts w:ascii="Arial" w:eastAsia="Arial" w:hAnsi="Arial" w:cs="Arial"/>
          <w:i/>
        </w:rPr>
        <w:t xml:space="preserve">Plazos y modos de pago de la subvención así como las medidas de garantía. </w:t>
      </w:r>
    </w:p>
    <w:p w:rsidR="00FF384B" w:rsidRDefault="003E3BA9">
      <w:pPr>
        <w:numPr>
          <w:ilvl w:val="1"/>
          <w:numId w:val="209"/>
        </w:numPr>
        <w:spacing w:after="4" w:line="247" w:lineRule="auto"/>
        <w:ind w:right="244" w:hanging="273"/>
        <w:jc w:val="both"/>
      </w:pPr>
      <w:r>
        <w:rPr>
          <w:rFonts w:ascii="Arial" w:eastAsia="Arial" w:hAnsi="Arial" w:cs="Arial"/>
          <w:i/>
        </w:rPr>
        <w:t>Plazos y forma de justificación por p</w:t>
      </w:r>
      <w:r>
        <w:rPr>
          <w:rFonts w:ascii="Arial" w:eastAsia="Arial" w:hAnsi="Arial" w:cs="Arial"/>
          <w:i/>
        </w:rPr>
        <w:t xml:space="preserve">arte del beneficiario del cumplimiento de la </w:t>
      </w:r>
    </w:p>
    <w:p w:rsidR="00FF384B" w:rsidRDefault="003E3BA9">
      <w:pPr>
        <w:spacing w:after="171" w:line="247" w:lineRule="auto"/>
        <w:ind w:left="278" w:right="244" w:hanging="10"/>
        <w:jc w:val="both"/>
      </w:pPr>
      <w:r>
        <w:rPr>
          <w:rFonts w:ascii="Arial" w:eastAsia="Arial" w:hAnsi="Arial" w:cs="Arial"/>
          <w:i/>
        </w:rPr>
        <w:t xml:space="preserve">finalidad para la que se concedió la subvención y de la aplicación de los fondos percibidos. </w:t>
      </w:r>
    </w:p>
    <w:p w:rsidR="00FF384B" w:rsidRDefault="003E3BA9">
      <w:pPr>
        <w:spacing w:after="0"/>
        <w:ind w:left="283"/>
      </w:pPr>
      <w:r>
        <w:rPr>
          <w:rFonts w:ascii="Arial" w:eastAsia="Arial" w:hAnsi="Arial" w:cs="Arial"/>
          <w:i/>
        </w:rPr>
        <w:t xml:space="preserve"> </w:t>
      </w:r>
    </w:p>
    <w:p w:rsidR="00FF384B" w:rsidRDefault="003E3BA9">
      <w:pPr>
        <w:numPr>
          <w:ilvl w:val="0"/>
          <w:numId w:val="209"/>
        </w:numPr>
        <w:spacing w:after="4" w:line="247" w:lineRule="auto"/>
        <w:ind w:right="244" w:hanging="10"/>
        <w:jc w:val="both"/>
      </w:pPr>
      <w:r>
        <w:rPr>
          <w:rFonts w:ascii="Arial" w:eastAsia="Arial" w:hAnsi="Arial" w:cs="Arial"/>
          <w:i/>
        </w:rPr>
        <w:t xml:space="preserve">El procedimiento para su concesión se inicia de oficio por el órgano gestor, o a instancia del interesado, siendo </w:t>
      </w:r>
      <w:r>
        <w:rPr>
          <w:rFonts w:ascii="Arial" w:eastAsia="Arial" w:hAnsi="Arial" w:cs="Arial"/>
          <w:i/>
        </w:rPr>
        <w:t>requisito imprescindible la existencia de consignación específica y crédito suficiente en el presupuesto general municipal a favor de la persona pública o privada a la que va destinada la subvención, y terminará con la resolución de concesión, y en su caso</w:t>
      </w:r>
      <w:r>
        <w:rPr>
          <w:rFonts w:ascii="Arial" w:eastAsia="Arial" w:hAnsi="Arial" w:cs="Arial"/>
          <w:i/>
        </w:rPr>
        <w:t xml:space="preserve">, con la suscripción de un convenio. </w:t>
      </w:r>
    </w:p>
    <w:p w:rsidR="00FF384B" w:rsidRDefault="003E3BA9">
      <w:pPr>
        <w:spacing w:after="0"/>
        <w:ind w:left="283"/>
      </w:pPr>
      <w:r>
        <w:rPr>
          <w:rFonts w:ascii="Arial" w:eastAsia="Arial" w:hAnsi="Arial" w:cs="Arial"/>
          <w:i/>
        </w:rPr>
        <w:t xml:space="preserve"> </w:t>
      </w:r>
    </w:p>
    <w:p w:rsidR="00FF384B" w:rsidRDefault="003E3BA9">
      <w:pPr>
        <w:numPr>
          <w:ilvl w:val="0"/>
          <w:numId w:val="209"/>
        </w:numPr>
        <w:spacing w:after="4" w:line="247" w:lineRule="auto"/>
        <w:ind w:right="244" w:hanging="10"/>
        <w:jc w:val="both"/>
      </w:pPr>
      <w:r>
        <w:rPr>
          <w:rFonts w:ascii="Arial" w:eastAsia="Arial" w:hAnsi="Arial" w:cs="Arial"/>
          <w:i/>
        </w:rPr>
        <w:t xml:space="preserve">El acto de concesión o el convenio tendrán el carácter de bases reguladoras de la concesión.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27. Subvenciones concedidas de forma directa y excepcional, en que se acrediten razones de interés público, social, económico o humanitario. </w:t>
      </w:r>
    </w:p>
    <w:p w:rsidR="00FF384B" w:rsidRDefault="003E3BA9">
      <w:pPr>
        <w:spacing w:after="0"/>
        <w:ind w:left="283"/>
      </w:pPr>
      <w:r>
        <w:rPr>
          <w:rFonts w:ascii="Arial" w:eastAsia="Arial" w:hAnsi="Arial" w:cs="Arial"/>
          <w:b/>
          <w:i/>
        </w:rPr>
        <w:t xml:space="preserve"> </w:t>
      </w:r>
    </w:p>
    <w:p w:rsidR="00FF384B" w:rsidRDefault="003E3BA9">
      <w:pPr>
        <w:numPr>
          <w:ilvl w:val="0"/>
          <w:numId w:val="210"/>
        </w:numPr>
        <w:spacing w:after="4" w:line="247" w:lineRule="auto"/>
        <w:ind w:right="244" w:hanging="10"/>
        <w:jc w:val="both"/>
      </w:pPr>
      <w:r>
        <w:rPr>
          <w:rFonts w:ascii="Arial" w:eastAsia="Arial" w:hAnsi="Arial" w:cs="Arial"/>
          <w:i/>
        </w:rPr>
        <w:t>Podrán concederse de forma directa, con carácter excepcional, aquellas subvenciones en que se acrediten</w:t>
      </w:r>
      <w:r>
        <w:rPr>
          <w:rFonts w:ascii="Arial" w:eastAsia="Arial" w:hAnsi="Arial" w:cs="Arial"/>
          <w:i/>
        </w:rPr>
        <w:t xml:space="preserve"> razones de interés público, social, económico o humanitario. </w:t>
      </w:r>
    </w:p>
    <w:p w:rsidR="00FF384B" w:rsidRDefault="003E3BA9">
      <w:pPr>
        <w:spacing w:after="0"/>
        <w:ind w:left="283"/>
      </w:pPr>
      <w:r>
        <w:rPr>
          <w:rFonts w:ascii="Arial" w:eastAsia="Arial" w:hAnsi="Arial" w:cs="Arial"/>
          <w:i/>
        </w:rPr>
        <w:t xml:space="preserve"> </w:t>
      </w:r>
    </w:p>
    <w:p w:rsidR="00FF384B" w:rsidRDefault="003E3BA9">
      <w:pPr>
        <w:numPr>
          <w:ilvl w:val="0"/>
          <w:numId w:val="210"/>
        </w:numPr>
        <w:spacing w:after="4" w:line="247" w:lineRule="auto"/>
        <w:ind w:right="244" w:hanging="10"/>
        <w:jc w:val="both"/>
      </w:pPr>
      <w:r>
        <w:rPr>
          <w:rFonts w:ascii="Arial" w:eastAsia="Arial" w:hAnsi="Arial" w:cs="Arial"/>
          <w:i/>
        </w:rPr>
        <w:t xml:space="preserve">Estas subvenciones se regirán por el presente capítulo, por las bases de ejecución del presupuesto general municipal, de acuerdo con la normativa de Subvenciones vigente. </w:t>
      </w:r>
    </w:p>
    <w:p w:rsidR="00FF384B" w:rsidRDefault="003E3BA9">
      <w:pPr>
        <w:spacing w:after="0"/>
        <w:ind w:left="283"/>
      </w:pPr>
      <w:r>
        <w:rPr>
          <w:rFonts w:ascii="Arial" w:eastAsia="Arial" w:hAnsi="Arial" w:cs="Arial"/>
          <w:i/>
        </w:rPr>
        <w:t xml:space="preserve"> </w:t>
      </w:r>
    </w:p>
    <w:p w:rsidR="00FF384B" w:rsidRDefault="003E3BA9">
      <w:pPr>
        <w:numPr>
          <w:ilvl w:val="0"/>
          <w:numId w:val="210"/>
        </w:numPr>
        <w:spacing w:after="4" w:line="247" w:lineRule="auto"/>
        <w:ind w:right="244" w:hanging="10"/>
        <w:jc w:val="both"/>
      </w:pPr>
      <w:r>
        <w:rPr>
          <w:rFonts w:ascii="Arial" w:eastAsia="Arial" w:hAnsi="Arial" w:cs="Arial"/>
          <w:i/>
        </w:rPr>
        <w:t xml:space="preserve">El procedimiento </w:t>
      </w:r>
      <w:r>
        <w:rPr>
          <w:rFonts w:ascii="Arial" w:eastAsia="Arial" w:hAnsi="Arial" w:cs="Arial"/>
          <w:i/>
        </w:rPr>
        <w:t xml:space="preserve">para la concesión de las subvenciones de forma directa se iniciará de oficio o a solicitud del interesado y se instrumentará mediante resolución o mediante convenio. </w:t>
      </w:r>
    </w:p>
    <w:p w:rsidR="00FF384B" w:rsidRDefault="003E3BA9">
      <w:pPr>
        <w:spacing w:after="0"/>
        <w:ind w:left="283"/>
      </w:pPr>
      <w:r>
        <w:rPr>
          <w:rFonts w:ascii="Arial" w:eastAsia="Arial" w:hAnsi="Arial" w:cs="Arial"/>
          <w:i/>
        </w:rPr>
        <w:t xml:space="preserve"> </w:t>
      </w:r>
    </w:p>
    <w:p w:rsidR="00FF384B" w:rsidRDefault="003E3BA9">
      <w:pPr>
        <w:numPr>
          <w:ilvl w:val="0"/>
          <w:numId w:val="210"/>
        </w:numPr>
        <w:spacing w:after="4" w:line="247" w:lineRule="auto"/>
        <w:ind w:right="244" w:hanging="10"/>
        <w:jc w:val="both"/>
      </w:pPr>
      <w:r>
        <w:rPr>
          <w:rFonts w:ascii="Arial" w:eastAsia="Arial" w:hAnsi="Arial" w:cs="Arial"/>
          <w:i/>
        </w:rPr>
        <w:t>El órgano municipal responsable, en función de la materia, una vez recabado el document</w:t>
      </w:r>
      <w:r>
        <w:rPr>
          <w:rFonts w:ascii="Arial" w:eastAsia="Arial" w:hAnsi="Arial" w:cs="Arial"/>
          <w:i/>
        </w:rPr>
        <w:t>o contable de retención de gasto, con el límite del importe consignado en el presupuesto, y previo el informe preceptivo de la Intervención municipal, someterá la propuesta de la concesión de las subvenciones al órgano competente para su aprobación. Dado e</w:t>
      </w:r>
      <w:r>
        <w:rPr>
          <w:rFonts w:ascii="Arial" w:eastAsia="Arial" w:hAnsi="Arial" w:cs="Arial"/>
          <w:i/>
        </w:rPr>
        <w:t xml:space="preserve">l carácter excepcional del procedimiento la resolución deberá ser aprobada por el Ayuntamiento Pleno de Candelaria. </w:t>
      </w:r>
    </w:p>
    <w:p w:rsidR="00FF384B" w:rsidRDefault="003E3BA9">
      <w:pPr>
        <w:spacing w:after="158"/>
        <w:ind w:left="283"/>
      </w:pPr>
      <w:r>
        <w:rPr>
          <w:rFonts w:ascii="Arial" w:eastAsia="Arial" w:hAnsi="Arial" w:cs="Arial"/>
          <w:i/>
        </w:rPr>
        <w:t xml:space="preserve"> </w:t>
      </w:r>
    </w:p>
    <w:p w:rsidR="00FF384B" w:rsidRDefault="003E3BA9">
      <w:pPr>
        <w:numPr>
          <w:ilvl w:val="0"/>
          <w:numId w:val="210"/>
        </w:numPr>
        <w:spacing w:after="158" w:line="247" w:lineRule="auto"/>
        <w:ind w:right="244" w:hanging="10"/>
        <w:jc w:val="both"/>
      </w:pPr>
      <w:r>
        <w:rPr>
          <w:rFonts w:ascii="Arial" w:eastAsia="Arial" w:hAnsi="Arial" w:cs="Arial"/>
          <w:i/>
        </w:rPr>
        <w:t>En el expediente se incluirán los siguientes documentos elaborados por el órgano competente para la gestión de las subvenciones:</w:t>
      </w:r>
      <w:r>
        <w:rPr>
          <w:rFonts w:ascii="Times New Roman" w:eastAsia="Times New Roman" w:hAnsi="Times New Roman" w:cs="Times New Roman"/>
          <w:sz w:val="24"/>
        </w:rPr>
        <w:t xml:space="preserve"> </w:t>
      </w:r>
    </w:p>
    <w:p w:rsidR="00FF384B" w:rsidRDefault="003E3BA9">
      <w:pPr>
        <w:numPr>
          <w:ilvl w:val="1"/>
          <w:numId w:val="210"/>
        </w:numPr>
        <w:spacing w:after="4" w:line="247" w:lineRule="auto"/>
        <w:ind w:right="244" w:firstLine="360"/>
        <w:jc w:val="both"/>
      </w:pPr>
      <w:r>
        <w:rPr>
          <w:rFonts w:ascii="Arial" w:eastAsia="Arial" w:hAnsi="Arial" w:cs="Arial"/>
          <w:i/>
        </w:rPr>
        <w:t>Una mem</w:t>
      </w:r>
      <w:r>
        <w:rPr>
          <w:rFonts w:ascii="Arial" w:eastAsia="Arial" w:hAnsi="Arial" w:cs="Arial"/>
          <w:i/>
        </w:rPr>
        <w:t xml:space="preserve">oria justificativa con el siguiente contenido mínimo: </w:t>
      </w:r>
    </w:p>
    <w:p w:rsidR="00FF384B" w:rsidRDefault="003E3BA9">
      <w:pPr>
        <w:spacing w:after="4" w:line="247" w:lineRule="auto"/>
        <w:ind w:left="653" w:right="244" w:hanging="10"/>
        <w:jc w:val="both"/>
      </w:pPr>
      <w:r>
        <w:rPr>
          <w:rFonts w:ascii="Arial" w:eastAsia="Arial" w:hAnsi="Arial" w:cs="Arial"/>
          <w:i/>
        </w:rPr>
        <w:t xml:space="preserve">Antecedentes. </w:t>
      </w:r>
    </w:p>
    <w:p w:rsidR="00FF384B" w:rsidRDefault="003E3BA9">
      <w:pPr>
        <w:spacing w:after="4" w:line="247" w:lineRule="auto"/>
        <w:ind w:left="653" w:right="244" w:hanging="10"/>
        <w:jc w:val="both"/>
      </w:pPr>
      <w:r>
        <w:rPr>
          <w:rFonts w:ascii="Arial" w:eastAsia="Arial" w:hAnsi="Arial" w:cs="Arial"/>
          <w:i/>
        </w:rPr>
        <w:t xml:space="preserve">Objetivos. </w:t>
      </w:r>
    </w:p>
    <w:p w:rsidR="00FF384B" w:rsidRDefault="003E3BA9">
      <w:pPr>
        <w:spacing w:after="4" w:line="247" w:lineRule="auto"/>
        <w:ind w:left="653" w:right="244" w:hanging="10"/>
        <w:jc w:val="both"/>
      </w:pPr>
      <w:r>
        <w:rPr>
          <w:rFonts w:ascii="Arial" w:eastAsia="Arial" w:hAnsi="Arial" w:cs="Arial"/>
          <w:i/>
        </w:rPr>
        <w:t xml:space="preserve">Compromisos que se adquieren. </w:t>
      </w:r>
    </w:p>
    <w:p w:rsidR="00FF384B" w:rsidRDefault="003E3BA9">
      <w:pPr>
        <w:spacing w:after="4" w:line="247" w:lineRule="auto"/>
        <w:ind w:left="653" w:right="244" w:hanging="10"/>
        <w:jc w:val="both"/>
      </w:pPr>
      <w:r>
        <w:rPr>
          <w:rFonts w:ascii="Arial" w:eastAsia="Arial" w:hAnsi="Arial" w:cs="Arial"/>
          <w:i/>
        </w:rPr>
        <w:t xml:space="preserve">Razones que motivan la concesión de la subvención. </w:t>
      </w:r>
    </w:p>
    <w:p w:rsidR="00FF384B" w:rsidRDefault="003E3BA9">
      <w:pPr>
        <w:spacing w:after="4" w:line="247" w:lineRule="auto"/>
        <w:ind w:left="268" w:right="244" w:firstLine="360"/>
        <w:jc w:val="both"/>
      </w:pPr>
      <w:r>
        <w:rPr>
          <w:noProof/>
        </w:rPr>
        <mc:AlternateContent>
          <mc:Choice Requires="wpg">
            <w:drawing>
              <wp:anchor distT="0" distB="0" distL="114300" distR="114300" simplePos="0" relativeHeight="2518302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1904" name="Group 47190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301" name="Picture 31301"/>
                          <pic:cNvPicPr/>
                        </pic:nvPicPr>
                        <pic:blipFill>
                          <a:blip r:embed="rId62"/>
                          <a:stretch>
                            <a:fillRect/>
                          </a:stretch>
                        </pic:blipFill>
                        <pic:spPr>
                          <a:xfrm rot="-5399999">
                            <a:off x="-1720849" y="1720849"/>
                            <a:ext cx="3797300" cy="355601"/>
                          </a:xfrm>
                          <a:prstGeom prst="rect">
                            <a:avLst/>
                          </a:prstGeom>
                        </pic:spPr>
                      </pic:pic>
                      <wps:wsp>
                        <wps:cNvPr id="31302" name="Rectangle 3130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303" name="Rectangle 3130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1904" style="width:41.2715pt;height:299pt;position:absolute;mso-position-horizontal-relative:page;mso-position-horizontal:absolute;margin-left:653.71pt;mso-position-vertical-relative:page;margin-top:512.92pt;" coordsize="5241,37973">
                <v:shape id="Picture 31301" style="position:absolute;width:37973;height:3556;left:-17208;top:17208;rotation:-89;" filled="f">
                  <v:imagedata r:id="rId63"/>
                </v:shape>
                <v:rect id="Rectangle 3130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30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353 </w:t>
                        </w:r>
                      </w:p>
                    </w:txbxContent>
                  </v:textbox>
                </v:rect>
                <w10:wrap type="square"/>
              </v:group>
            </w:pict>
          </mc:Fallback>
        </mc:AlternateContent>
      </w:r>
      <w:r>
        <w:rPr>
          <w:rFonts w:ascii="Arial" w:eastAsia="Arial" w:hAnsi="Arial" w:cs="Arial"/>
          <w:i/>
        </w:rPr>
        <w:t>Justificación detallada de las razones que acreditan el inter</w:t>
      </w:r>
      <w:r>
        <w:rPr>
          <w:rFonts w:ascii="Arial" w:eastAsia="Arial" w:hAnsi="Arial" w:cs="Arial"/>
          <w:i/>
        </w:rPr>
        <w:t xml:space="preserve">és público, social, económico o humanitario. </w:t>
      </w:r>
    </w:p>
    <w:p w:rsidR="00FF384B" w:rsidRDefault="003E3BA9">
      <w:pPr>
        <w:spacing w:after="0"/>
        <w:ind w:left="643"/>
      </w:pPr>
      <w:r>
        <w:rPr>
          <w:rFonts w:ascii="Arial" w:eastAsia="Arial" w:hAnsi="Arial" w:cs="Arial"/>
          <w:i/>
        </w:rPr>
        <w:t xml:space="preserve"> </w:t>
      </w:r>
    </w:p>
    <w:p w:rsidR="00FF384B" w:rsidRDefault="003E3BA9">
      <w:pPr>
        <w:numPr>
          <w:ilvl w:val="1"/>
          <w:numId w:val="210"/>
        </w:numPr>
        <w:spacing w:after="4" w:line="247" w:lineRule="auto"/>
        <w:ind w:right="244" w:firstLine="360"/>
        <w:jc w:val="both"/>
      </w:pPr>
      <w:r>
        <w:rPr>
          <w:rFonts w:ascii="Arial" w:eastAsia="Arial" w:hAnsi="Arial" w:cs="Arial"/>
          <w:i/>
        </w:rPr>
        <w:t xml:space="preserve">Una memoria económica en la que se detallen los efectos económicos y su forma de financiación, indicando el coste total de la actividad a subvencionar, el importe de la subvención y aplicación presupuestaria </w:t>
      </w:r>
      <w:r>
        <w:rPr>
          <w:rFonts w:ascii="Arial" w:eastAsia="Arial" w:hAnsi="Arial" w:cs="Arial"/>
          <w:i/>
        </w:rPr>
        <w:t xml:space="preserve">a la que se imputa el gasto, así como, en su caso, el carácter plurianual y distribución temporal del mismo. </w:t>
      </w:r>
    </w:p>
    <w:p w:rsidR="00FF384B" w:rsidRDefault="003E3BA9">
      <w:pPr>
        <w:spacing w:after="0"/>
        <w:ind w:left="643"/>
      </w:pPr>
      <w:r>
        <w:rPr>
          <w:rFonts w:ascii="Arial" w:eastAsia="Arial" w:hAnsi="Arial" w:cs="Arial"/>
          <w:i/>
        </w:rPr>
        <w:t xml:space="preserve"> </w:t>
      </w:r>
    </w:p>
    <w:p w:rsidR="00FF384B" w:rsidRDefault="003E3BA9">
      <w:pPr>
        <w:numPr>
          <w:ilvl w:val="0"/>
          <w:numId w:val="210"/>
        </w:numPr>
        <w:spacing w:after="4" w:line="247" w:lineRule="auto"/>
        <w:ind w:right="244" w:hanging="10"/>
        <w:jc w:val="both"/>
      </w:pPr>
      <w:r>
        <w:rPr>
          <w:rFonts w:ascii="Arial" w:eastAsia="Arial" w:hAnsi="Arial" w:cs="Arial"/>
          <w:i/>
        </w:rPr>
        <w:t xml:space="preserve">La resolución o el convenio inicial, deberán contener, en todo caso, los datos requeridos en el artículo citado anteriormente.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 </w:t>
      </w:r>
      <w:r>
        <w:rPr>
          <w:rFonts w:ascii="Arial" w:eastAsia="Arial" w:hAnsi="Arial" w:cs="Arial"/>
          <w:i/>
        </w:rPr>
        <w:t xml:space="preserve">No obstante, las ayudas de emergencia social, se regirá por el actual Protocolo para la Concesión de Prestaciones Económicas de Servicios Sociales del Ilustre Ayuntamiento de Candelaria. </w:t>
      </w:r>
    </w:p>
    <w:p w:rsidR="00FF384B" w:rsidRDefault="003E3BA9">
      <w:pPr>
        <w:spacing w:after="90"/>
        <w:ind w:left="283"/>
      </w:pPr>
      <w:r>
        <w:rPr>
          <w:rFonts w:ascii="Arial" w:eastAsia="Arial" w:hAnsi="Arial" w:cs="Arial"/>
          <w:i/>
        </w:rPr>
        <w:t xml:space="preserve"> </w:t>
      </w:r>
    </w:p>
    <w:p w:rsidR="00FF384B" w:rsidRDefault="003E3BA9">
      <w:pPr>
        <w:spacing w:after="71" w:line="247" w:lineRule="auto"/>
        <w:ind w:left="268" w:right="239"/>
        <w:jc w:val="both"/>
      </w:pPr>
      <w:r>
        <w:rPr>
          <w:rFonts w:ascii="Arial" w:eastAsia="Arial" w:hAnsi="Arial" w:cs="Arial"/>
          <w:b/>
          <w:i/>
        </w:rPr>
        <w:t>Artículo 28. Información de las subvenciones concedidas de forma d</w:t>
      </w:r>
      <w:r>
        <w:rPr>
          <w:rFonts w:ascii="Arial" w:eastAsia="Arial" w:hAnsi="Arial" w:cs="Arial"/>
          <w:b/>
          <w:i/>
        </w:rPr>
        <w:t>irecta</w:t>
      </w:r>
      <w:r>
        <w:rPr>
          <w:rFonts w:ascii="Times New Roman" w:eastAsia="Times New Roman" w:hAnsi="Times New Roman" w:cs="Times New Roman"/>
          <w:sz w:val="24"/>
        </w:rPr>
        <w:t xml:space="preserve"> </w:t>
      </w:r>
    </w:p>
    <w:p w:rsidR="00FF384B" w:rsidRDefault="003E3BA9">
      <w:pPr>
        <w:numPr>
          <w:ilvl w:val="0"/>
          <w:numId w:val="211"/>
        </w:numPr>
        <w:spacing w:after="4" w:line="247" w:lineRule="auto"/>
        <w:ind w:right="244" w:hanging="10"/>
        <w:jc w:val="both"/>
      </w:pPr>
      <w:r>
        <w:rPr>
          <w:rFonts w:ascii="Arial" w:eastAsia="Arial" w:hAnsi="Arial" w:cs="Arial"/>
          <w:i/>
        </w:rPr>
        <w:t>Las Concejalías delegadas de la actividad municipal podrán remitir información, en su caso, sobre las subvenciones concedidas de forma directa con carácter semestral elaborando un informe que determine, como mínimo, las subvenciones concedidas, obj</w:t>
      </w:r>
      <w:r>
        <w:rPr>
          <w:rFonts w:ascii="Arial" w:eastAsia="Arial" w:hAnsi="Arial" w:cs="Arial"/>
          <w:i/>
        </w:rPr>
        <w:t xml:space="preserve">eto, beneficiario y cuantía. </w:t>
      </w:r>
    </w:p>
    <w:p w:rsidR="00FF384B" w:rsidRDefault="003E3BA9">
      <w:pPr>
        <w:spacing w:after="0"/>
        <w:ind w:left="283"/>
      </w:pPr>
      <w:r>
        <w:rPr>
          <w:rFonts w:ascii="Arial" w:eastAsia="Arial" w:hAnsi="Arial" w:cs="Arial"/>
          <w:i/>
        </w:rPr>
        <w:t xml:space="preserve"> </w:t>
      </w:r>
    </w:p>
    <w:p w:rsidR="00FF384B" w:rsidRDefault="003E3BA9">
      <w:pPr>
        <w:numPr>
          <w:ilvl w:val="0"/>
          <w:numId w:val="211"/>
        </w:numPr>
        <w:spacing w:after="4" w:line="247" w:lineRule="auto"/>
        <w:ind w:right="244" w:hanging="10"/>
        <w:jc w:val="both"/>
      </w:pPr>
      <w:r>
        <w:rPr>
          <w:rFonts w:ascii="Arial" w:eastAsia="Arial" w:hAnsi="Arial" w:cs="Arial"/>
          <w:i/>
        </w:rPr>
        <w:t xml:space="preserve">De dicho informe se dará cuenta, para su conocimiento, a la Comisión Informativa del Pleno.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29. Subvenciones establecidas por una norma de rango legal. </w:t>
      </w:r>
    </w:p>
    <w:p w:rsidR="00FF384B" w:rsidRDefault="003E3BA9">
      <w:pPr>
        <w:spacing w:after="0"/>
        <w:ind w:left="283"/>
      </w:pPr>
      <w:r>
        <w:rPr>
          <w:rFonts w:ascii="Arial" w:eastAsia="Arial" w:hAnsi="Arial" w:cs="Arial"/>
          <w:i/>
        </w:rPr>
        <w:t xml:space="preserve"> </w:t>
      </w:r>
    </w:p>
    <w:p w:rsidR="00FF384B" w:rsidRDefault="003E3BA9">
      <w:pPr>
        <w:numPr>
          <w:ilvl w:val="0"/>
          <w:numId w:val="212"/>
        </w:numPr>
        <w:spacing w:after="4" w:line="247" w:lineRule="auto"/>
        <w:ind w:right="244" w:hanging="10"/>
        <w:jc w:val="both"/>
      </w:pPr>
      <w:r>
        <w:rPr>
          <w:rFonts w:ascii="Arial" w:eastAsia="Arial" w:hAnsi="Arial" w:cs="Arial"/>
          <w:i/>
        </w:rPr>
        <w:t>Las subvenciones que vengan establecidas por una norma de</w:t>
      </w:r>
      <w:r>
        <w:rPr>
          <w:rFonts w:ascii="Arial" w:eastAsia="Arial" w:hAnsi="Arial" w:cs="Arial"/>
          <w:i/>
        </w:rPr>
        <w:t xml:space="preserve"> rango legal, se otorgarán conforme al procedimiento que en ella se indique. No obstante, deberá tenerse en cuenta, en todo caso, lo establecido en esta Ordenanza de subvenciones vigentes, sobre instrucción y resolución del procedimiento. </w:t>
      </w:r>
    </w:p>
    <w:p w:rsidR="00FF384B" w:rsidRDefault="003E3BA9">
      <w:pPr>
        <w:spacing w:after="0"/>
        <w:ind w:left="283"/>
      </w:pPr>
      <w:r>
        <w:rPr>
          <w:rFonts w:ascii="Arial" w:eastAsia="Arial" w:hAnsi="Arial" w:cs="Arial"/>
          <w:i/>
        </w:rPr>
        <w:t xml:space="preserve"> </w:t>
      </w:r>
    </w:p>
    <w:p w:rsidR="00FF384B" w:rsidRDefault="003E3BA9">
      <w:pPr>
        <w:numPr>
          <w:ilvl w:val="0"/>
          <w:numId w:val="212"/>
        </w:numPr>
        <w:spacing w:after="4" w:line="247" w:lineRule="auto"/>
        <w:ind w:right="244" w:hanging="10"/>
        <w:jc w:val="both"/>
      </w:pPr>
      <w:r>
        <w:rPr>
          <w:rFonts w:ascii="Arial" w:eastAsia="Arial" w:hAnsi="Arial" w:cs="Arial"/>
          <w:i/>
        </w:rPr>
        <w:t>Para que sea e</w:t>
      </w:r>
      <w:r>
        <w:rPr>
          <w:rFonts w:ascii="Arial" w:eastAsia="Arial" w:hAnsi="Arial" w:cs="Arial"/>
          <w:i/>
        </w:rPr>
        <w:t xml:space="preserve">xigible el pago de las subvenciones a las que se refiere este artículo, será necesaria la existencia de crédito adecuado y suficiente en el correspondiente ejercicio presupuestario.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TÍTULO IV. GESTIÓN Y JUSTIFICACIÓN DE LAS SUBVENCIONES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CAPÍTULO I. Gestión y justificación.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Artículo 30. Justificación de las Subvenciones, y sus plazos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b/>
          <w:i/>
        </w:rPr>
        <w:t>1.</w:t>
      </w:r>
      <w:r>
        <w:rPr>
          <w:rFonts w:ascii="Arial" w:eastAsia="Arial" w:hAnsi="Arial" w:cs="Arial"/>
          <w:i/>
        </w:rPr>
        <w:t xml:space="preserve"> La justificación del cumplimiento de las condiciones impuestas y de la consecución de los objetivos previstos en el acto de concesión de la subvenció</w:t>
      </w:r>
      <w:r>
        <w:rPr>
          <w:rFonts w:ascii="Arial" w:eastAsia="Arial" w:hAnsi="Arial" w:cs="Arial"/>
          <w:i/>
        </w:rPr>
        <w:t>n, se realizará en las condiciones prevista en los artículos 22 y 23 del Decreto 36/2009, de 31 de marzo, por el que se establece el régimen general de subvenciones de la Comunidad Autónoma de Canarias, esto es:</w:t>
      </w:r>
      <w:r>
        <w:rPr>
          <w:rFonts w:ascii="Times New Roman" w:eastAsia="Times New Roman" w:hAnsi="Times New Roman" w:cs="Times New Roman"/>
          <w:sz w:val="24"/>
        </w:rPr>
        <w:t xml:space="preserve"> </w:t>
      </w:r>
    </w:p>
    <w:p w:rsidR="00FF384B" w:rsidRDefault="003E3BA9">
      <w:pPr>
        <w:spacing w:after="95"/>
        <w:ind w:left="283"/>
      </w:pPr>
      <w:r>
        <w:rPr>
          <w:rFonts w:ascii="Arial" w:eastAsia="Arial" w:hAnsi="Arial" w:cs="Arial"/>
          <w:i/>
        </w:rPr>
        <w:t xml:space="preserve"> </w:t>
      </w:r>
    </w:p>
    <w:p w:rsidR="00FF384B" w:rsidRDefault="003E3BA9">
      <w:pPr>
        <w:numPr>
          <w:ilvl w:val="0"/>
          <w:numId w:val="213"/>
        </w:numPr>
        <w:spacing w:after="83" w:line="247" w:lineRule="auto"/>
        <w:ind w:right="244" w:hanging="259"/>
        <w:jc w:val="both"/>
      </w:pPr>
      <w:r>
        <w:rPr>
          <w:noProof/>
        </w:rPr>
        <mc:AlternateContent>
          <mc:Choice Requires="wpg">
            <w:drawing>
              <wp:anchor distT="0" distB="0" distL="114300" distR="114300" simplePos="0" relativeHeight="2518312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2110" name="Group 47211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421" name="Picture 31421"/>
                          <pic:cNvPicPr/>
                        </pic:nvPicPr>
                        <pic:blipFill>
                          <a:blip r:embed="rId62"/>
                          <a:stretch>
                            <a:fillRect/>
                          </a:stretch>
                        </pic:blipFill>
                        <pic:spPr>
                          <a:xfrm rot="-5399999">
                            <a:off x="-1720849" y="1720849"/>
                            <a:ext cx="3797300" cy="355601"/>
                          </a:xfrm>
                          <a:prstGeom prst="rect">
                            <a:avLst/>
                          </a:prstGeom>
                        </pic:spPr>
                      </pic:pic>
                      <wps:wsp>
                        <wps:cNvPr id="31422" name="Rectangle 3142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w:t>
                              </w:r>
                              <w:r>
                                <w:rPr>
                                  <w:rFonts w:ascii="Arial" w:eastAsia="Arial" w:hAnsi="Arial" w:cs="Arial"/>
                                  <w:sz w:val="12"/>
                                </w:rPr>
                                <w:t xml:space="preserve">HL7K | Verificación: https://candelaria.sedelectronica.es/ </w:t>
                              </w:r>
                            </w:p>
                          </w:txbxContent>
                        </wps:txbx>
                        <wps:bodyPr horzOverflow="overflow" vert="horz" lIns="0" tIns="0" rIns="0" bIns="0" rtlCol="0">
                          <a:noAutofit/>
                        </wps:bodyPr>
                      </wps:wsp>
                      <wps:wsp>
                        <wps:cNvPr id="31423" name="Rectangle 3142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2110" style="width:41.2715pt;height:299pt;position:absolute;mso-position-horizontal-relative:page;mso-position-horizontal:absolute;margin-left:653.71pt;mso-position-vertical-relative:page;margin-top:512.92pt;" coordsize="5241,37973">
                <v:shape id="Picture 31421" style="position:absolute;width:37973;height:3556;left:-17208;top:17208;rotation:-89;" filled="f">
                  <v:imagedata r:id="rId63"/>
                </v:shape>
                <v:rect id="Rectangle 3142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42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353 </w:t>
                        </w:r>
                      </w:p>
                    </w:txbxContent>
                  </v:textbox>
                </v:rect>
                <w10:wrap type="square"/>
              </v:group>
            </w:pict>
          </mc:Fallback>
        </mc:AlternateContent>
      </w:r>
      <w:r>
        <w:rPr>
          <w:rFonts w:ascii="Arial" w:eastAsia="Arial" w:hAnsi="Arial" w:cs="Arial"/>
          <w:i/>
        </w:rPr>
        <w:t>Cuenta justificativa, adoptando una de las formas previstas en este Decreto.</w:t>
      </w:r>
      <w:r>
        <w:rPr>
          <w:rFonts w:ascii="Times New Roman" w:eastAsia="Times New Roman" w:hAnsi="Times New Roman" w:cs="Times New Roman"/>
          <w:sz w:val="24"/>
        </w:rPr>
        <w:t xml:space="preserve"> </w:t>
      </w:r>
    </w:p>
    <w:p w:rsidR="00FF384B" w:rsidRDefault="003E3BA9">
      <w:pPr>
        <w:numPr>
          <w:ilvl w:val="0"/>
          <w:numId w:val="213"/>
        </w:numPr>
        <w:spacing w:after="4" w:line="247" w:lineRule="auto"/>
        <w:ind w:right="244" w:hanging="259"/>
        <w:jc w:val="both"/>
      </w:pPr>
      <w:r>
        <w:rPr>
          <w:rFonts w:ascii="Arial" w:eastAsia="Arial" w:hAnsi="Arial" w:cs="Arial"/>
          <w:i/>
        </w:rPr>
        <w:t>Presentación de estad</w:t>
      </w:r>
      <w:r>
        <w:rPr>
          <w:rFonts w:ascii="Arial" w:eastAsia="Arial" w:hAnsi="Arial" w:cs="Arial"/>
          <w:i/>
        </w:rPr>
        <w:t>os contables.</w:t>
      </w:r>
      <w:r>
        <w:rPr>
          <w:rFonts w:ascii="Times New Roman" w:eastAsia="Times New Roman" w:hAnsi="Times New Roman" w:cs="Times New Roman"/>
          <w:sz w:val="24"/>
        </w:rPr>
        <w:t xml:space="preserve"> </w:t>
      </w:r>
    </w:p>
    <w:p w:rsidR="00FF384B" w:rsidRDefault="003E3BA9">
      <w:pPr>
        <w:spacing w:after="136"/>
        <w:ind w:left="283"/>
      </w:pPr>
      <w:r>
        <w:rPr>
          <w:rFonts w:ascii="Arial" w:eastAsia="Arial" w:hAnsi="Arial" w:cs="Arial"/>
          <w:b/>
          <w:i/>
        </w:rPr>
        <w:t xml:space="preserve"> </w:t>
      </w:r>
    </w:p>
    <w:p w:rsidR="00FF384B" w:rsidRDefault="003E3BA9">
      <w:pPr>
        <w:spacing w:after="153" w:line="247" w:lineRule="auto"/>
        <w:ind w:left="268" w:right="244" w:firstLine="708"/>
        <w:jc w:val="both"/>
      </w:pPr>
      <w:r>
        <w:rPr>
          <w:rFonts w:ascii="Arial" w:eastAsia="Arial" w:hAnsi="Arial" w:cs="Arial"/>
          <w:i/>
        </w:rPr>
        <w:t xml:space="preserve">La justificación de la subvención tendrá la estructura y el alcance que se determine en las correspondientes bases reguladoras. </w:t>
      </w:r>
    </w:p>
    <w:p w:rsidR="00FF384B" w:rsidRDefault="003E3BA9">
      <w:pPr>
        <w:spacing w:after="0"/>
        <w:ind w:left="283"/>
      </w:pPr>
      <w:r>
        <w:rPr>
          <w:rFonts w:ascii="Arial" w:eastAsia="Arial" w:hAnsi="Arial" w:cs="Arial"/>
          <w:i/>
        </w:rPr>
        <w:t xml:space="preserve"> </w:t>
      </w:r>
    </w:p>
    <w:p w:rsidR="00FF384B" w:rsidRDefault="003E3BA9">
      <w:pPr>
        <w:numPr>
          <w:ilvl w:val="0"/>
          <w:numId w:val="214"/>
        </w:numPr>
        <w:spacing w:after="4" w:line="247" w:lineRule="auto"/>
        <w:ind w:right="244" w:hanging="247"/>
        <w:jc w:val="both"/>
      </w:pPr>
      <w:r>
        <w:rPr>
          <w:rFonts w:ascii="Arial" w:eastAsia="Arial" w:hAnsi="Arial" w:cs="Arial"/>
          <w:i/>
        </w:rPr>
        <w:t>La realización y justificación del proyecto, de la actividad, o la adopción del comportamiento objeto de subvención, deberán producirse en los plazos que se establezcan en las bases reguladoras, en las convocatorias o en las resoluciones o convenios en los</w:t>
      </w:r>
      <w:r>
        <w:rPr>
          <w:rFonts w:ascii="Arial" w:eastAsia="Arial" w:hAnsi="Arial" w:cs="Arial"/>
          <w:i/>
        </w:rPr>
        <w:t xml:space="preserve"> casos de concesión directa.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214"/>
        </w:numPr>
        <w:spacing w:after="4" w:line="247" w:lineRule="auto"/>
        <w:ind w:right="244" w:hanging="247"/>
        <w:jc w:val="both"/>
      </w:pPr>
      <w:r>
        <w:rPr>
          <w:rFonts w:ascii="Arial" w:eastAsia="Arial" w:hAnsi="Arial" w:cs="Arial"/>
          <w:i/>
        </w:rPr>
        <w:t>En las convocatorias se fijará el plazo de inicio del periodo de justificación y su final.</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214"/>
        </w:numPr>
        <w:spacing w:after="4" w:line="247" w:lineRule="auto"/>
        <w:ind w:right="244" w:hanging="247"/>
        <w:jc w:val="both"/>
      </w:pPr>
      <w:r>
        <w:rPr>
          <w:rFonts w:ascii="Arial" w:eastAsia="Arial" w:hAnsi="Arial" w:cs="Arial"/>
          <w:i/>
        </w:rPr>
        <w:t>Excepcionalmente, y si por razones justificadas debidamente motivadas no pudiera realizarse o justificarse en el plazo previsto, e</w:t>
      </w:r>
      <w:r>
        <w:rPr>
          <w:rFonts w:ascii="Arial" w:eastAsia="Arial" w:hAnsi="Arial" w:cs="Arial"/>
          <w:i/>
        </w:rPr>
        <w:t>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Artículo 31. R</w:t>
      </w:r>
      <w:r>
        <w:rPr>
          <w:rFonts w:ascii="Arial" w:eastAsia="Arial" w:hAnsi="Arial" w:cs="Arial"/>
          <w:b/>
          <w:i/>
        </w:rPr>
        <w:t xml:space="preserve">equisitos de los gastos subvencionables.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Se admitirán como gastos subvencionables, con carácter general, los que cumplan los siguientes requisitos: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rFonts w:ascii="Arial" w:eastAsia="Arial" w:hAnsi="Arial" w:cs="Arial"/>
          <w:i/>
        </w:rPr>
        <w:t xml:space="preserve">Desde un punto de vista cualitativo, aquellos gastos que indubitadamente respondan a la naturaleza de </w:t>
      </w:r>
      <w:r>
        <w:rPr>
          <w:rFonts w:ascii="Arial" w:eastAsia="Arial" w:hAnsi="Arial" w:cs="Arial"/>
          <w:i/>
        </w:rPr>
        <w:t xml:space="preserve">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rFonts w:ascii="Arial" w:eastAsia="Arial" w:hAnsi="Arial" w:cs="Arial"/>
          <w:i/>
        </w:rPr>
        <w:t xml:space="preserve">Desde un punto de vista cuantitativo, aquellos gastos cuyo coste de adquisición no supere el valor de mercado.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rFonts w:ascii="Arial" w:eastAsia="Arial" w:hAnsi="Arial" w:cs="Arial"/>
          <w:i/>
        </w:rPr>
        <w:t>Desde un punto de vista temporal, los gastos deberán corresponder al período marcado por la convocatoria de la subvención o por el convenio de colaboración. En general, si el período subvencionado corresponde a un ejercicio presupuestario, se admitirán úni</w:t>
      </w:r>
      <w:r>
        <w:rPr>
          <w:rFonts w:ascii="Arial" w:eastAsia="Arial" w:hAnsi="Arial" w:cs="Arial"/>
          <w:i/>
        </w:rPr>
        <w:t xml:space="preserve">camente aquellos gastos que se devenguen en el año de concesión de la subvención o de aprobación del convenio, en cualquier momento del año.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rFonts w:ascii="Arial" w:eastAsia="Arial" w:hAnsi="Arial" w:cs="Arial"/>
          <w:i/>
        </w:rPr>
        <w:t>Se considerarán gastos realizados aquellos cuyo documento acreditativo corresponda al año en que fue aprobada la</w:t>
      </w:r>
      <w:r>
        <w:rPr>
          <w:rFonts w:ascii="Arial" w:eastAsia="Arial" w:hAnsi="Arial" w:cs="Arial"/>
          <w:i/>
        </w:rPr>
        <w:t xml:space="preserve"> aportación pública y hayan sido abonados cuando se presente la justificación.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rFonts w:ascii="Arial" w:eastAsia="Arial" w:hAnsi="Arial" w:cs="Arial"/>
          <w:i/>
        </w:rPr>
        <w:t xml:space="preserve">Desde un punto de vista financiero, los gastos deberán acreditarse, mediante la oportuna acreditación de pago. </w:t>
      </w:r>
    </w:p>
    <w:p w:rsidR="00FF384B" w:rsidRDefault="003E3BA9">
      <w:pPr>
        <w:spacing w:after="0"/>
        <w:ind w:left="283"/>
      </w:pPr>
      <w:r>
        <w:rPr>
          <w:rFonts w:ascii="Arial" w:eastAsia="Arial" w:hAnsi="Arial" w:cs="Arial"/>
          <w:i/>
        </w:rPr>
        <w:t xml:space="preserve"> </w:t>
      </w:r>
    </w:p>
    <w:p w:rsidR="00FF384B" w:rsidRDefault="003E3BA9">
      <w:pPr>
        <w:numPr>
          <w:ilvl w:val="0"/>
          <w:numId w:val="215"/>
        </w:numPr>
        <w:spacing w:after="4" w:line="247" w:lineRule="auto"/>
        <w:ind w:right="244" w:hanging="10"/>
        <w:jc w:val="both"/>
      </w:pPr>
      <w:r>
        <w:rPr>
          <w:noProof/>
        </w:rPr>
        <mc:AlternateContent>
          <mc:Choice Requires="wpg">
            <w:drawing>
              <wp:anchor distT="0" distB="0" distL="114300" distR="114300" simplePos="0" relativeHeight="2518323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2701" name="Group 4727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525" name="Picture 31525"/>
                          <pic:cNvPicPr/>
                        </pic:nvPicPr>
                        <pic:blipFill>
                          <a:blip r:embed="rId62"/>
                          <a:stretch>
                            <a:fillRect/>
                          </a:stretch>
                        </pic:blipFill>
                        <pic:spPr>
                          <a:xfrm rot="-5399999">
                            <a:off x="-1720849" y="1720849"/>
                            <a:ext cx="3797300" cy="355601"/>
                          </a:xfrm>
                          <a:prstGeom prst="rect">
                            <a:avLst/>
                          </a:prstGeom>
                        </pic:spPr>
                      </pic:pic>
                      <wps:wsp>
                        <wps:cNvPr id="31526" name="Rectangle 315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1527" name="Rectangle 3152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169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2701" style="width:41.2715pt;height:299pt;position:absolute;mso-position-horizontal-relative:page;mso-position-horizontal:absolute;margin-left:653.71pt;mso-position-vertical-relative:page;margin-top:512.92pt;" coordsize="5241,37973">
                <v:shape id="Picture 31525" style="position:absolute;width:37973;height:3556;left:-17208;top:17208;rotation:-89;" filled="f">
                  <v:imagedata r:id="rId63"/>
                </v:shape>
                <v:rect id="Rectangle 315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5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353 </w:t>
                        </w:r>
                      </w:p>
                    </w:txbxContent>
                  </v:textbox>
                </v:rect>
                <w10:wrap type="square"/>
              </v:group>
            </w:pict>
          </mc:Fallback>
        </mc:AlternateContent>
      </w:r>
      <w:r>
        <w:rPr>
          <w:rFonts w:ascii="Arial" w:eastAsia="Arial" w:hAnsi="Arial" w:cs="Arial"/>
          <w:i/>
        </w:rPr>
        <w:t xml:space="preserve">Se consideran válidos aquellos gastos que correspondiendo al año en que fue aprobada la subvención y sean abonados en </w:t>
      </w:r>
      <w:r>
        <w:rPr>
          <w:rFonts w:ascii="Arial" w:eastAsia="Arial" w:hAnsi="Arial" w:cs="Arial"/>
          <w:i/>
        </w:rPr>
        <w:t xml:space="preserve">el ejercicio siguiente, siempre que el abono se realice antes de la fecha de presentación de la justificación.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32. Gastos directos y gastos indirectos.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Se consideran, con carácter general, como gastos subvencionables: </w:t>
      </w:r>
    </w:p>
    <w:p w:rsidR="00FF384B" w:rsidRDefault="003E3BA9">
      <w:pPr>
        <w:spacing w:after="0"/>
        <w:ind w:left="283"/>
      </w:pPr>
      <w:r>
        <w:rPr>
          <w:rFonts w:ascii="Arial" w:eastAsia="Arial" w:hAnsi="Arial" w:cs="Arial"/>
          <w:i/>
        </w:rPr>
        <w:t xml:space="preserve"> </w:t>
      </w:r>
    </w:p>
    <w:p w:rsidR="00FF384B" w:rsidRDefault="003E3BA9">
      <w:pPr>
        <w:numPr>
          <w:ilvl w:val="0"/>
          <w:numId w:val="216"/>
        </w:numPr>
        <w:spacing w:after="4" w:line="247" w:lineRule="auto"/>
        <w:ind w:right="244" w:hanging="10"/>
        <w:jc w:val="both"/>
      </w:pPr>
      <w:r>
        <w:rPr>
          <w:rFonts w:ascii="Arial" w:eastAsia="Arial" w:hAnsi="Arial" w:cs="Arial"/>
          <w:i/>
        </w:rPr>
        <w:t xml:space="preserve">Gastos directos, aquellos derivados específicamente del desarrollo de la actividad o programa subvencionados. </w:t>
      </w:r>
    </w:p>
    <w:p w:rsidR="00FF384B" w:rsidRDefault="003E3BA9">
      <w:pPr>
        <w:spacing w:after="0"/>
        <w:ind w:left="283"/>
      </w:pPr>
      <w:r>
        <w:rPr>
          <w:rFonts w:ascii="Arial" w:eastAsia="Arial" w:hAnsi="Arial" w:cs="Arial"/>
          <w:i/>
        </w:rPr>
        <w:t xml:space="preserve"> </w:t>
      </w:r>
    </w:p>
    <w:p w:rsidR="00FF384B" w:rsidRDefault="003E3BA9">
      <w:pPr>
        <w:numPr>
          <w:ilvl w:val="0"/>
          <w:numId w:val="216"/>
        </w:numPr>
        <w:spacing w:after="4" w:line="247" w:lineRule="auto"/>
        <w:ind w:right="244" w:hanging="10"/>
        <w:jc w:val="both"/>
      </w:pPr>
      <w:r>
        <w:rPr>
          <w:rFonts w:ascii="Arial" w:eastAsia="Arial" w:hAnsi="Arial" w:cs="Arial"/>
          <w:i/>
        </w:rPr>
        <w:t>Gastos indirectos, aquellos costes variables imputables a varias de las actividades que el beneficiario desarrolla o bien costes de estructura,</w:t>
      </w:r>
      <w:r>
        <w:rPr>
          <w:rFonts w:ascii="Arial" w:eastAsia="Arial" w:hAnsi="Arial" w:cs="Arial"/>
          <w:i/>
        </w:rPr>
        <w:t xml:space="preserve"> que sin ser directamente imputables a la actividad concreta subvencionada, sean necesarios para que ésta se lleve a cabo. Serán gastos subvencionables siempre y cuando la convocatoria de la subvención o el convenio de colaboración así lo prevean.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 xml:space="preserve">El criterio de imputación por el beneficiario a la actividad subvencionada se realizará en la proporción máxima que recoja la convocatoria de acuerdo con principios y normas de contabilidad generalmente admitidas y, en todo caso, en la medida en que tales </w:t>
      </w:r>
      <w:r>
        <w:rPr>
          <w:rFonts w:ascii="Arial" w:eastAsia="Arial" w:hAnsi="Arial" w:cs="Arial"/>
          <w:i/>
        </w:rPr>
        <w:t xml:space="preserve">costes correspondan al período en que efectivamente se realice la actividad. </w:t>
      </w:r>
    </w:p>
    <w:p w:rsidR="00FF384B" w:rsidRDefault="003E3BA9">
      <w:pPr>
        <w:spacing w:after="0"/>
        <w:ind w:left="991"/>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33. Gastos subvencionables en bienes y servicios financiados con aplicaciones presupuestarias de gasto corriente.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1. Las subvenciones, tanto de concurrencia pública</w:t>
      </w:r>
      <w:r>
        <w:rPr>
          <w:rFonts w:ascii="Arial" w:eastAsia="Arial" w:hAnsi="Arial" w:cs="Arial"/>
          <w:i/>
        </w:rPr>
        <w:t xml:space="preserve"> como de concesión directa, que estén recogidas en el capítulo IV del presupuesto municipal (-transferencias corrientes-), deben referirse a gastos en bienes y servicios necesarios para el ejercicio de actividades, debiendo tener alguna de estas cualidades</w:t>
      </w: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numPr>
          <w:ilvl w:val="0"/>
          <w:numId w:val="217"/>
        </w:numPr>
        <w:spacing w:after="4" w:line="247" w:lineRule="auto"/>
        <w:ind w:right="244" w:hanging="259"/>
        <w:jc w:val="both"/>
      </w:pPr>
      <w:r>
        <w:rPr>
          <w:rFonts w:ascii="Arial" w:eastAsia="Arial" w:hAnsi="Arial" w:cs="Arial"/>
          <w:i/>
        </w:rPr>
        <w:t xml:space="preserve">Bienes fungibles </w:t>
      </w:r>
    </w:p>
    <w:p w:rsidR="00FF384B" w:rsidRDefault="003E3BA9">
      <w:pPr>
        <w:numPr>
          <w:ilvl w:val="0"/>
          <w:numId w:val="217"/>
        </w:numPr>
        <w:spacing w:after="4" w:line="247" w:lineRule="auto"/>
        <w:ind w:right="244" w:hanging="259"/>
        <w:jc w:val="both"/>
      </w:pPr>
      <w:r>
        <w:rPr>
          <w:rFonts w:ascii="Arial" w:eastAsia="Arial" w:hAnsi="Arial" w:cs="Arial"/>
          <w:i/>
        </w:rPr>
        <w:t xml:space="preserve">Duración previsiblemente inferior a un ejercicio presupuestario. </w:t>
      </w:r>
    </w:p>
    <w:p w:rsidR="00FF384B" w:rsidRDefault="003E3BA9">
      <w:pPr>
        <w:numPr>
          <w:ilvl w:val="0"/>
          <w:numId w:val="217"/>
        </w:numPr>
        <w:spacing w:after="4" w:line="247" w:lineRule="auto"/>
        <w:ind w:right="244" w:hanging="259"/>
        <w:jc w:val="both"/>
      </w:pPr>
      <w:r>
        <w:rPr>
          <w:rFonts w:ascii="Arial" w:eastAsia="Arial" w:hAnsi="Arial" w:cs="Arial"/>
          <w:i/>
        </w:rPr>
        <w:t xml:space="preserve">No ser susceptibles de inclusión en el inventario. </w:t>
      </w:r>
    </w:p>
    <w:p w:rsidR="00FF384B" w:rsidRDefault="003E3BA9">
      <w:pPr>
        <w:numPr>
          <w:ilvl w:val="0"/>
          <w:numId w:val="217"/>
        </w:numPr>
        <w:spacing w:after="4" w:line="247" w:lineRule="auto"/>
        <w:ind w:right="244" w:hanging="259"/>
        <w:jc w:val="both"/>
      </w:pPr>
      <w:r>
        <w:rPr>
          <w:rFonts w:ascii="Arial" w:eastAsia="Arial" w:hAnsi="Arial" w:cs="Arial"/>
          <w:i/>
        </w:rPr>
        <w:t xml:space="preserve">Gastos que presumiblemente sean reiterativos, pudiendo incluirse: </w:t>
      </w:r>
    </w:p>
    <w:p w:rsidR="00FF384B" w:rsidRDefault="003E3BA9">
      <w:pPr>
        <w:spacing w:after="0"/>
        <w:ind w:left="283"/>
      </w:pPr>
      <w:r>
        <w:rPr>
          <w:rFonts w:ascii="Arial" w:eastAsia="Arial" w:hAnsi="Arial" w:cs="Arial"/>
          <w:i/>
        </w:rPr>
        <w:t xml:space="preserve"> </w:t>
      </w:r>
    </w:p>
    <w:p w:rsidR="00FF384B" w:rsidRDefault="003E3BA9">
      <w:pPr>
        <w:numPr>
          <w:ilvl w:val="1"/>
          <w:numId w:val="217"/>
        </w:numPr>
        <w:spacing w:after="4" w:line="247" w:lineRule="auto"/>
        <w:ind w:right="244" w:hanging="360"/>
        <w:jc w:val="both"/>
      </w:pPr>
      <w:r>
        <w:rPr>
          <w:rFonts w:ascii="Arial" w:eastAsia="Arial" w:hAnsi="Arial" w:cs="Arial"/>
          <w:i/>
        </w:rPr>
        <w:t xml:space="preserve">Arrendamiento de bienes muebles e inmuebles. </w:t>
      </w:r>
    </w:p>
    <w:p w:rsidR="00FF384B" w:rsidRDefault="003E3BA9">
      <w:pPr>
        <w:numPr>
          <w:ilvl w:val="1"/>
          <w:numId w:val="217"/>
        </w:numPr>
        <w:spacing w:after="4" w:line="247" w:lineRule="auto"/>
        <w:ind w:right="244" w:hanging="360"/>
        <w:jc w:val="both"/>
      </w:pPr>
      <w:r>
        <w:rPr>
          <w:rFonts w:ascii="Arial" w:eastAsia="Arial" w:hAnsi="Arial" w:cs="Arial"/>
          <w:i/>
        </w:rPr>
        <w:t>Gastos de reparación, mantenimiento y conservación de bienes propios o arrendados. Las reparaciones importantes y de gran entidad que supongan un evidente incremento de capacidad y rendimiento o alargamiento de la vida útil del bien no podrán incluirse en</w:t>
      </w:r>
      <w:r>
        <w:rPr>
          <w:rFonts w:ascii="Arial" w:eastAsia="Arial" w:hAnsi="Arial" w:cs="Arial"/>
          <w:i/>
        </w:rPr>
        <w:t xml:space="preserve"> el capítulo IV por tratarse de obras de inversión. </w:t>
      </w:r>
    </w:p>
    <w:p w:rsidR="00FF384B" w:rsidRDefault="003E3BA9">
      <w:pPr>
        <w:numPr>
          <w:ilvl w:val="1"/>
          <w:numId w:val="217"/>
        </w:numPr>
        <w:spacing w:after="4" w:line="247" w:lineRule="auto"/>
        <w:ind w:right="244" w:hanging="360"/>
        <w:jc w:val="both"/>
      </w:pPr>
      <w:r>
        <w:rPr>
          <w:rFonts w:ascii="Arial" w:eastAsia="Arial" w:hAnsi="Arial" w:cs="Arial"/>
          <w:i/>
        </w:rPr>
        <w:t xml:space="preserve">Adquisición de material de oficina no inventariable. </w:t>
      </w:r>
    </w:p>
    <w:p w:rsidR="00FF384B" w:rsidRDefault="003E3BA9">
      <w:pPr>
        <w:numPr>
          <w:ilvl w:val="1"/>
          <w:numId w:val="217"/>
        </w:numPr>
        <w:spacing w:after="4" w:line="247" w:lineRule="auto"/>
        <w:ind w:right="244" w:hanging="360"/>
        <w:jc w:val="both"/>
      </w:pPr>
      <w:r>
        <w:rPr>
          <w:rFonts w:ascii="Arial" w:eastAsia="Arial" w:hAnsi="Arial" w:cs="Arial"/>
          <w:i/>
        </w:rPr>
        <w:t xml:space="preserve">Suministros de agua, gas, energía eléctrica, teléfono, no incluidos en el precio de los arrendamientos. </w:t>
      </w:r>
    </w:p>
    <w:p w:rsidR="00FF384B" w:rsidRDefault="003E3BA9">
      <w:pPr>
        <w:numPr>
          <w:ilvl w:val="1"/>
          <w:numId w:val="217"/>
        </w:numPr>
        <w:spacing w:after="4" w:line="247" w:lineRule="auto"/>
        <w:ind w:right="244" w:hanging="360"/>
        <w:jc w:val="both"/>
      </w:pPr>
      <w:r>
        <w:rPr>
          <w:rFonts w:ascii="Arial" w:eastAsia="Arial" w:hAnsi="Arial" w:cs="Arial"/>
          <w:i/>
        </w:rPr>
        <w:t>Vestuario y otras prendas necesarias para el</w:t>
      </w:r>
      <w:r>
        <w:rPr>
          <w:rFonts w:ascii="Arial" w:eastAsia="Arial" w:hAnsi="Arial" w:cs="Arial"/>
          <w:i/>
        </w:rPr>
        <w:t xml:space="preserve"> ejercicio de una actividad concreta y específica. </w:t>
      </w:r>
    </w:p>
    <w:p w:rsidR="00FF384B" w:rsidRDefault="003E3BA9">
      <w:pPr>
        <w:numPr>
          <w:ilvl w:val="1"/>
          <w:numId w:val="217"/>
        </w:numPr>
        <w:spacing w:after="4" w:line="247" w:lineRule="auto"/>
        <w:ind w:right="244" w:hanging="360"/>
        <w:jc w:val="both"/>
      </w:pPr>
      <w:r>
        <w:rPr>
          <w:rFonts w:ascii="Arial" w:eastAsia="Arial" w:hAnsi="Arial" w:cs="Arial"/>
          <w:i/>
        </w:rPr>
        <w:t xml:space="preserve">Productos farmacéuticos, sanitarios y de limpieza. </w:t>
      </w:r>
    </w:p>
    <w:p w:rsidR="00FF384B" w:rsidRDefault="003E3BA9">
      <w:pPr>
        <w:numPr>
          <w:ilvl w:val="1"/>
          <w:numId w:val="217"/>
        </w:numPr>
        <w:spacing w:after="4" w:line="247" w:lineRule="auto"/>
        <w:ind w:right="244" w:hanging="360"/>
        <w:jc w:val="both"/>
      </w:pPr>
      <w:r>
        <w:rPr>
          <w:rFonts w:ascii="Arial" w:eastAsia="Arial" w:hAnsi="Arial" w:cs="Arial"/>
          <w:i/>
        </w:rPr>
        <w:t xml:space="preserve">Otros gastos diversos, entre ellos los de publicidad, la organización de reuniones y conferencias. </w:t>
      </w:r>
    </w:p>
    <w:p w:rsidR="00FF384B" w:rsidRDefault="003E3BA9">
      <w:pPr>
        <w:numPr>
          <w:ilvl w:val="1"/>
          <w:numId w:val="217"/>
        </w:numPr>
        <w:spacing w:after="4" w:line="247" w:lineRule="auto"/>
        <w:ind w:right="244" w:hanging="360"/>
        <w:jc w:val="both"/>
      </w:pPr>
      <w:r>
        <w:rPr>
          <w:rFonts w:ascii="Arial" w:eastAsia="Arial" w:hAnsi="Arial" w:cs="Arial"/>
          <w:i/>
        </w:rPr>
        <w:t xml:space="preserve">e) Servicios profesionales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noProof/>
        </w:rPr>
        <mc:AlternateContent>
          <mc:Choice Requires="wpg">
            <w:drawing>
              <wp:anchor distT="0" distB="0" distL="114300" distR="114300" simplePos="0" relativeHeight="2518333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3182" name="Group 47318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647" name="Picture 31647"/>
                          <pic:cNvPicPr/>
                        </pic:nvPicPr>
                        <pic:blipFill>
                          <a:blip r:embed="rId62"/>
                          <a:stretch>
                            <a:fillRect/>
                          </a:stretch>
                        </pic:blipFill>
                        <pic:spPr>
                          <a:xfrm rot="-5399999">
                            <a:off x="-1720849" y="1720849"/>
                            <a:ext cx="3797300" cy="355601"/>
                          </a:xfrm>
                          <a:prstGeom prst="rect">
                            <a:avLst/>
                          </a:prstGeom>
                        </pic:spPr>
                      </pic:pic>
                      <wps:wsp>
                        <wps:cNvPr id="31648" name="Rectangle 3164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w:t>
                              </w:r>
                              <w:r>
                                <w:rPr>
                                  <w:rFonts w:ascii="Arial" w:eastAsia="Arial" w:hAnsi="Arial" w:cs="Arial"/>
                                  <w:sz w:val="12"/>
                                </w:rPr>
                                <w:t xml:space="preserve">92ADAG9QWZ53RMHD5RCHL7K | Verificación: https://candelaria.sedelectronica.es/ </w:t>
                              </w:r>
                            </w:p>
                          </w:txbxContent>
                        </wps:txbx>
                        <wps:bodyPr horzOverflow="overflow" vert="horz" lIns="0" tIns="0" rIns="0" bIns="0" rtlCol="0">
                          <a:noAutofit/>
                        </wps:bodyPr>
                      </wps:wsp>
                      <wps:wsp>
                        <wps:cNvPr id="31649" name="Rectangle 3164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3182" style="width:41.2715pt;height:299pt;position:absolute;mso-position-horizontal-relative:page;mso-position-horizontal:absolute;margin-left:653.71pt;mso-position-vertical-relative:page;margin-top:512.92pt;" coordsize="5241,37973">
                <v:shape id="Picture 31647" style="position:absolute;width:37973;height:3556;left:-17208;top:17208;rotation:-89;" filled="f">
                  <v:imagedata r:id="rId63"/>
                </v:shape>
                <v:rect id="Rectangle 3164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64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353 </w:t>
                        </w:r>
                      </w:p>
                    </w:txbxContent>
                  </v:textbox>
                </v:rect>
                <w10:wrap type="square"/>
              </v:group>
            </w:pict>
          </mc:Fallback>
        </mc:AlternateContent>
      </w:r>
      <w:r>
        <w:rPr>
          <w:rFonts w:ascii="Arial" w:eastAsia="Arial" w:hAnsi="Arial" w:cs="Arial"/>
          <w:i/>
        </w:rPr>
        <w:t>Todos ellos, siempre y cuando no estén excluidos en la convocatoria de la subven</w:t>
      </w:r>
      <w:r>
        <w:rPr>
          <w:rFonts w:ascii="Arial" w:eastAsia="Arial" w:hAnsi="Arial" w:cs="Arial"/>
          <w:i/>
        </w:rPr>
        <w:t xml:space="preserve">ción o en el convenio de colaboración.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2. En ningún caso podrá efectuarse adquisición de bienes inventariables con cargo a capítulo IV del presupuesto de Gastos -Transferencias Corrientes.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w:t>
      </w:r>
      <w:r>
        <w:rPr>
          <w:rFonts w:ascii="Arial" w:eastAsia="Arial" w:hAnsi="Arial" w:cs="Arial"/>
          <w:b/>
          <w:i/>
        </w:rPr>
        <w:tab/>
        <w:t xml:space="preserve">34. </w:t>
      </w:r>
      <w:r>
        <w:rPr>
          <w:rFonts w:ascii="Arial" w:eastAsia="Arial" w:hAnsi="Arial" w:cs="Arial"/>
          <w:b/>
          <w:i/>
        </w:rPr>
        <w:tab/>
        <w:t xml:space="preserve">Gastos </w:t>
      </w:r>
      <w:r>
        <w:rPr>
          <w:rFonts w:ascii="Arial" w:eastAsia="Arial" w:hAnsi="Arial" w:cs="Arial"/>
          <w:b/>
          <w:i/>
        </w:rPr>
        <w:tab/>
        <w:t xml:space="preserve">correspondientes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adquisición, </w:t>
      </w:r>
      <w:r>
        <w:rPr>
          <w:rFonts w:ascii="Arial" w:eastAsia="Arial" w:hAnsi="Arial" w:cs="Arial"/>
          <w:b/>
          <w:i/>
        </w:rPr>
        <w:tab/>
        <w:t>construcción, rehabilitación y mejora de bienes inventariables y de amortización.</w:t>
      </w:r>
      <w:r>
        <w:rPr>
          <w:rFonts w:ascii="Times New Roman" w:eastAsia="Times New Roman" w:hAnsi="Times New Roman" w:cs="Times New Roman"/>
          <w:sz w:val="24"/>
        </w:rPr>
        <w:t xml:space="preserve"> </w:t>
      </w:r>
    </w:p>
    <w:p w:rsidR="00FF384B" w:rsidRDefault="003E3BA9">
      <w:pPr>
        <w:spacing w:after="131"/>
        <w:ind w:left="643"/>
      </w:pPr>
      <w:r>
        <w:rPr>
          <w:rFonts w:ascii="Arial" w:eastAsia="Arial" w:hAnsi="Arial" w:cs="Arial"/>
          <w:b/>
          <w:i/>
          <w:color w:val="202020"/>
        </w:rPr>
        <w:t xml:space="preserve"> </w:t>
      </w:r>
    </w:p>
    <w:p w:rsidR="00FF384B" w:rsidRDefault="003E3BA9">
      <w:pPr>
        <w:numPr>
          <w:ilvl w:val="0"/>
          <w:numId w:val="218"/>
        </w:numPr>
        <w:spacing w:after="4" w:line="247" w:lineRule="auto"/>
        <w:ind w:right="244" w:hanging="10"/>
        <w:jc w:val="both"/>
      </w:pPr>
      <w:r>
        <w:rPr>
          <w:rFonts w:ascii="Arial" w:eastAsia="Arial" w:hAnsi="Arial" w:cs="Arial"/>
          <w:i/>
        </w:rPr>
        <w:t>Los gastos correspondientes a la adquisición, construcción, rehabilitación y mejora de bienes inventariables,</w:t>
      </w:r>
      <w:r>
        <w:rPr>
          <w:rFonts w:ascii="Arial" w:eastAsia="Arial" w:hAnsi="Arial" w:cs="Arial"/>
          <w:i/>
        </w:rPr>
        <w:t xml:space="preserve"> únicamente serán subvencionables cuando la convocatoria de la subvención, o en su caso, el convenio de colaboración, expresamente lo prevean. </w:t>
      </w:r>
    </w:p>
    <w:p w:rsidR="00FF384B" w:rsidRDefault="003E3BA9">
      <w:pPr>
        <w:spacing w:after="0"/>
        <w:ind w:left="283"/>
      </w:pPr>
      <w:r>
        <w:rPr>
          <w:rFonts w:ascii="Arial" w:eastAsia="Arial" w:hAnsi="Arial" w:cs="Arial"/>
          <w:i/>
        </w:rPr>
        <w:t xml:space="preserve"> </w:t>
      </w:r>
    </w:p>
    <w:p w:rsidR="00FF384B" w:rsidRDefault="003E3BA9">
      <w:pPr>
        <w:tabs>
          <w:tab w:val="center" w:pos="283"/>
          <w:tab w:val="center" w:pos="3322"/>
        </w:tabs>
        <w:spacing w:after="359" w:line="247" w:lineRule="auto"/>
      </w:pPr>
      <w:r>
        <w:tab/>
      </w:r>
      <w:r>
        <w:rPr>
          <w:rFonts w:ascii="Arial" w:eastAsia="Arial" w:hAnsi="Arial" w:cs="Arial"/>
          <w:i/>
        </w:rPr>
        <w:t xml:space="preserve"> </w:t>
      </w:r>
      <w:r>
        <w:rPr>
          <w:rFonts w:ascii="Arial" w:eastAsia="Arial" w:hAnsi="Arial" w:cs="Arial"/>
          <w:i/>
        </w:rPr>
        <w:tab/>
        <w:t xml:space="preserve">En todo caso, se seguirán las siguientes reglas: </w:t>
      </w:r>
    </w:p>
    <w:p w:rsidR="00FF384B" w:rsidRDefault="003E3BA9">
      <w:pPr>
        <w:numPr>
          <w:ilvl w:val="1"/>
          <w:numId w:val="218"/>
        </w:numPr>
        <w:spacing w:after="172" w:line="247" w:lineRule="auto"/>
        <w:ind w:right="244" w:firstLine="360"/>
        <w:jc w:val="both"/>
      </w:pPr>
      <w:r>
        <w:rPr>
          <w:rFonts w:ascii="Arial" w:eastAsia="Arial" w:hAnsi="Arial" w:cs="Arial"/>
          <w:i/>
        </w:rPr>
        <w:t>Las bases reguladoras fijarán el periodo durante el cual la persona beneficiaria deberá destinar los bienes al fin concreto para el cual se concedió la subvención, que no podrá ser inferior a cinco años en caso de bienes inscribibles en un registro público</w:t>
      </w:r>
      <w:r>
        <w:rPr>
          <w:rFonts w:ascii="Arial" w:eastAsia="Arial" w:hAnsi="Arial" w:cs="Arial"/>
          <w:i/>
        </w:rPr>
        <w:t xml:space="preserve">, ni a dos años para el resto de bienes. </w:t>
      </w:r>
    </w:p>
    <w:p w:rsidR="00FF384B" w:rsidRDefault="003E3BA9">
      <w:pPr>
        <w:spacing w:after="4" w:line="247" w:lineRule="auto"/>
        <w:ind w:left="268" w:right="244" w:firstLine="360"/>
        <w:jc w:val="both"/>
      </w:pPr>
      <w:r>
        <w:rPr>
          <w:rFonts w:ascii="Arial" w:eastAsia="Arial" w:hAnsi="Arial" w:cs="Arial"/>
          <w:i/>
        </w:rPr>
        <w:t>En el caso de bienes inscribibles en un registro público, deberá hacerse constar en la escritura esta circunstancia, así como el importe de la subvención concedida, debiendo ser objeto estos extremos de inscripción</w:t>
      </w:r>
      <w:r>
        <w:rPr>
          <w:rFonts w:ascii="Arial" w:eastAsia="Arial" w:hAnsi="Arial" w:cs="Arial"/>
          <w:i/>
        </w:rPr>
        <w:t xml:space="preserve"> en el registro público correspondiente. </w:t>
      </w:r>
    </w:p>
    <w:p w:rsidR="00FF384B" w:rsidRDefault="003E3BA9">
      <w:pPr>
        <w:numPr>
          <w:ilvl w:val="1"/>
          <w:numId w:val="218"/>
        </w:numPr>
        <w:spacing w:after="4" w:line="250" w:lineRule="auto"/>
        <w:ind w:right="244" w:firstLine="360"/>
        <w:jc w:val="both"/>
      </w:pPr>
      <w:r>
        <w:rPr>
          <w:rFonts w:ascii="Arial" w:eastAsia="Arial" w:hAnsi="Arial" w:cs="Arial"/>
          <w:i/>
        </w:rPr>
        <w:t xml:space="preserve">El incumplimiento de la obligación de destino referida en la letra anterior, que se </w:t>
      </w:r>
    </w:p>
    <w:p w:rsidR="00FF384B" w:rsidRDefault="003E3BA9">
      <w:pPr>
        <w:spacing w:after="174" w:line="247" w:lineRule="auto"/>
        <w:ind w:left="278" w:right="244" w:hanging="10"/>
        <w:jc w:val="both"/>
      </w:pPr>
      <w:r>
        <w:rPr>
          <w:rFonts w:ascii="Arial" w:eastAsia="Arial" w:hAnsi="Arial" w:cs="Arial"/>
          <w:i/>
        </w:rPr>
        <w:t>producirá en todo caso con la enajenación o el gravamen del bien, será causa de reintegro, quedando el bien afecto al pago del re</w:t>
      </w:r>
      <w:r>
        <w:rPr>
          <w:rFonts w:ascii="Arial" w:eastAsia="Arial" w:hAnsi="Arial" w:cs="Arial"/>
          <w:i/>
        </w:rPr>
        <w:t xml:space="preserve">integro cualquiera que sea su poseedor, salvo que resulte ser un tercero protegido por la fe pública registral, o se justifique la adquisición de los bienes con buena fe y justo título o en establecimiento mercantil o industrial, en caso de bienes muebles </w:t>
      </w:r>
      <w:r>
        <w:rPr>
          <w:rFonts w:ascii="Arial" w:eastAsia="Arial" w:hAnsi="Arial" w:cs="Arial"/>
          <w:i/>
        </w:rPr>
        <w:t xml:space="preserve">no inscribibles. </w:t>
      </w:r>
    </w:p>
    <w:p w:rsidR="00FF384B" w:rsidRDefault="003E3BA9">
      <w:pPr>
        <w:numPr>
          <w:ilvl w:val="0"/>
          <w:numId w:val="218"/>
        </w:numPr>
        <w:spacing w:after="4" w:line="247" w:lineRule="auto"/>
        <w:ind w:right="244" w:hanging="10"/>
        <w:jc w:val="both"/>
      </w:pPr>
      <w:r>
        <w:rPr>
          <w:rFonts w:ascii="Arial" w:eastAsia="Arial" w:hAnsi="Arial" w:cs="Arial"/>
          <w:i/>
        </w:rPr>
        <w:t>Como regla general no se admitirán como gastos subvencionables los destinados a la amortización de bienes inventariables. Excepcionalmente podrán admitirse siempre y cuando la convocatoria de la subvención o, en su caso, el convenio de co</w:t>
      </w:r>
      <w:r>
        <w:rPr>
          <w:rFonts w:ascii="Arial" w:eastAsia="Arial" w:hAnsi="Arial" w:cs="Arial"/>
          <w:i/>
        </w:rPr>
        <w:t xml:space="preserve">laboración así lo expresen y se especifiquen las reglas especiales en esta materia. </w:t>
      </w:r>
    </w:p>
    <w:p w:rsidR="00FF384B" w:rsidRDefault="003E3BA9">
      <w:pPr>
        <w:spacing w:after="0"/>
        <w:ind w:left="283"/>
      </w:pPr>
      <w:r>
        <w:rPr>
          <w:rFonts w:ascii="Arial" w:eastAsia="Arial" w:hAnsi="Arial" w:cs="Arial"/>
          <w:i/>
        </w:rPr>
        <w:t xml:space="preserve"> </w:t>
      </w:r>
    </w:p>
    <w:p w:rsidR="00FF384B" w:rsidRDefault="003E3BA9">
      <w:pPr>
        <w:numPr>
          <w:ilvl w:val="0"/>
          <w:numId w:val="218"/>
        </w:numPr>
        <w:spacing w:after="4" w:line="247" w:lineRule="auto"/>
        <w:ind w:right="244" w:hanging="10"/>
        <w:jc w:val="both"/>
      </w:pPr>
      <w:r>
        <w:rPr>
          <w:rFonts w:ascii="Arial" w:eastAsia="Arial" w:hAnsi="Arial" w:cs="Arial"/>
          <w:i/>
        </w:rPr>
        <w:t xml:space="preserve">En todo caso, el carácter subvencionable del gasto de amortización de bienes inventariables, estará sujeto a las siguientes condiciones: </w:t>
      </w:r>
    </w:p>
    <w:p w:rsidR="00FF384B" w:rsidRDefault="003E3BA9">
      <w:pPr>
        <w:spacing w:after="0"/>
        <w:ind w:left="283"/>
      </w:pPr>
      <w:r>
        <w:rPr>
          <w:rFonts w:ascii="Arial" w:eastAsia="Arial" w:hAnsi="Arial" w:cs="Arial"/>
          <w:i/>
        </w:rPr>
        <w:t xml:space="preserve"> </w:t>
      </w:r>
    </w:p>
    <w:p w:rsidR="00FF384B" w:rsidRDefault="003E3BA9">
      <w:pPr>
        <w:numPr>
          <w:ilvl w:val="0"/>
          <w:numId w:val="219"/>
        </w:numPr>
        <w:spacing w:after="4" w:line="247" w:lineRule="auto"/>
        <w:ind w:right="244" w:hanging="257"/>
        <w:jc w:val="both"/>
      </w:pPr>
      <w:r>
        <w:rPr>
          <w:rFonts w:ascii="Arial" w:eastAsia="Arial" w:hAnsi="Arial" w:cs="Arial"/>
          <w:i/>
        </w:rPr>
        <w:t xml:space="preserve">Que las subvenciones no hayan contribuido a la compra de los bienes. </w:t>
      </w:r>
    </w:p>
    <w:p w:rsidR="00FF384B" w:rsidRDefault="003E3BA9">
      <w:pPr>
        <w:spacing w:after="0"/>
        <w:ind w:left="283"/>
      </w:pPr>
      <w:r>
        <w:rPr>
          <w:rFonts w:ascii="Arial" w:eastAsia="Arial" w:hAnsi="Arial" w:cs="Arial"/>
          <w:i/>
        </w:rPr>
        <w:t xml:space="preserve"> </w:t>
      </w:r>
    </w:p>
    <w:p w:rsidR="00FF384B" w:rsidRDefault="003E3BA9">
      <w:pPr>
        <w:numPr>
          <w:ilvl w:val="0"/>
          <w:numId w:val="219"/>
        </w:numPr>
        <w:spacing w:after="4" w:line="247" w:lineRule="auto"/>
        <w:ind w:right="244" w:hanging="257"/>
        <w:jc w:val="both"/>
      </w:pPr>
      <w:r>
        <w:rPr>
          <w:rFonts w:ascii="Arial" w:eastAsia="Arial" w:hAnsi="Arial" w:cs="Arial"/>
          <w:i/>
        </w:rPr>
        <w:t xml:space="preserve">Que la amortización se calcule de conformidad con las normas de contabilidad generalmente aceptadas. </w:t>
      </w:r>
    </w:p>
    <w:p w:rsidR="00FF384B" w:rsidRDefault="003E3BA9">
      <w:pPr>
        <w:spacing w:after="0"/>
        <w:ind w:left="283"/>
      </w:pPr>
      <w:r>
        <w:rPr>
          <w:rFonts w:ascii="Arial" w:eastAsia="Arial" w:hAnsi="Arial" w:cs="Arial"/>
          <w:i/>
        </w:rPr>
        <w:t xml:space="preserve"> </w:t>
      </w:r>
    </w:p>
    <w:p w:rsidR="00FF384B" w:rsidRDefault="003E3BA9">
      <w:pPr>
        <w:numPr>
          <w:ilvl w:val="0"/>
          <w:numId w:val="219"/>
        </w:numPr>
        <w:spacing w:after="4" w:line="247" w:lineRule="auto"/>
        <w:ind w:right="244" w:hanging="257"/>
        <w:jc w:val="both"/>
      </w:pPr>
      <w:r>
        <w:rPr>
          <w:rFonts w:ascii="Arial" w:eastAsia="Arial" w:hAnsi="Arial" w:cs="Arial"/>
          <w:i/>
        </w:rPr>
        <w:t xml:space="preserve">Que el coste se refiera exclusivamente al período subvencionable.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Artículo 35</w:t>
      </w:r>
      <w:r>
        <w:rPr>
          <w:rFonts w:ascii="Arial" w:eastAsia="Arial" w:hAnsi="Arial" w:cs="Arial"/>
          <w:b/>
          <w:i/>
        </w:rPr>
        <w:t xml:space="preserve">. Gastos de superior cuantía. </w:t>
      </w:r>
    </w:p>
    <w:p w:rsidR="00FF384B" w:rsidRDefault="003E3BA9">
      <w:pPr>
        <w:spacing w:after="0"/>
        <w:ind w:left="283"/>
      </w:pPr>
      <w:r>
        <w:rPr>
          <w:rFonts w:ascii="Arial" w:eastAsia="Arial" w:hAnsi="Arial" w:cs="Arial"/>
          <w:i/>
        </w:rPr>
        <w:t xml:space="preserve"> </w:t>
      </w:r>
    </w:p>
    <w:p w:rsidR="00FF384B" w:rsidRDefault="003E3BA9">
      <w:pPr>
        <w:numPr>
          <w:ilvl w:val="0"/>
          <w:numId w:val="220"/>
        </w:numPr>
        <w:spacing w:after="4" w:line="247" w:lineRule="auto"/>
        <w:ind w:right="244" w:hanging="10"/>
        <w:jc w:val="both"/>
      </w:pPr>
      <w:r>
        <w:rPr>
          <w:noProof/>
        </w:rPr>
        <mc:AlternateContent>
          <mc:Choice Requires="wpg">
            <w:drawing>
              <wp:anchor distT="0" distB="0" distL="114300" distR="114300" simplePos="0" relativeHeight="2518343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3507" name="Group 47350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748" name="Picture 31748"/>
                          <pic:cNvPicPr/>
                        </pic:nvPicPr>
                        <pic:blipFill>
                          <a:blip r:embed="rId62"/>
                          <a:stretch>
                            <a:fillRect/>
                          </a:stretch>
                        </pic:blipFill>
                        <pic:spPr>
                          <a:xfrm rot="-5399999">
                            <a:off x="-1720849" y="1720849"/>
                            <a:ext cx="3797300" cy="355601"/>
                          </a:xfrm>
                          <a:prstGeom prst="rect">
                            <a:avLst/>
                          </a:prstGeom>
                        </pic:spPr>
                      </pic:pic>
                      <wps:wsp>
                        <wps:cNvPr id="31749" name="Rectangle 3174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750" name="Rectangle 3175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3507" style="width:41.2715pt;height:299pt;position:absolute;mso-position-horizontal-relative:page;mso-position-horizontal:absolute;margin-left:653.71pt;mso-position-vertical-relative:page;margin-top:512.92pt;" coordsize="5241,37973">
                <v:shape id="Picture 31748" style="position:absolute;width:37973;height:3556;left:-17208;top:17208;rotation:-89;" filled="f">
                  <v:imagedata r:id="rId63"/>
                </v:shape>
                <v:rect id="Rectangle 3174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75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353 </w:t>
                        </w:r>
                      </w:p>
                    </w:txbxContent>
                  </v:textbox>
                </v:rect>
                <w10:wrap type="square"/>
              </v:group>
            </w:pict>
          </mc:Fallback>
        </mc:AlternateContent>
      </w:r>
      <w:r>
        <w:rPr>
          <w:rFonts w:ascii="Arial" w:eastAsia="Arial" w:hAnsi="Arial" w:cs="Arial"/>
          <w:i/>
        </w:rPr>
        <w:t>Cuando el importe del gas</w:t>
      </w:r>
      <w:r>
        <w:rPr>
          <w:rFonts w:ascii="Arial" w:eastAsia="Arial" w:hAnsi="Arial" w:cs="Arial"/>
          <w:i/>
        </w:rPr>
        <w:t>to subvencionable supere las cuantías establecidas en las bases de ejecución del presupuesto general municipal para el contrato menor, tanto en el supuesto de coste por ejecución de obra, como en el supuesto de suministro de bienes de equipo o prestación d</w:t>
      </w:r>
      <w:r>
        <w:rPr>
          <w:rFonts w:ascii="Arial" w:eastAsia="Arial" w:hAnsi="Arial" w:cs="Arial"/>
          <w:i/>
        </w:rPr>
        <w:t xml:space="preserve">e servicios por empresas de consultoría o asistencia técnica, el beneficiario deberá solicitar como mínimo tres ofertas de diferentes proveedores, previamente a la contracción del compromiso para la prestación del servicio o la entrega del bien, salvo que </w:t>
      </w:r>
      <w:r>
        <w:rPr>
          <w:rFonts w:ascii="Arial" w:eastAsia="Arial" w:hAnsi="Arial" w:cs="Arial"/>
          <w:i/>
        </w:rPr>
        <w:t xml:space="preserve">por las especiales características de los gastos subvencionables no exista en el mercado suficiente número de entidades que lo suministren o presten, o salvo que el gasto se hubiera realizado con anterioridad a la solicitud de la subvención. </w:t>
      </w:r>
    </w:p>
    <w:p w:rsidR="00FF384B" w:rsidRDefault="003E3BA9">
      <w:pPr>
        <w:spacing w:after="0"/>
        <w:ind w:left="283"/>
      </w:pPr>
      <w:r>
        <w:rPr>
          <w:rFonts w:ascii="Arial" w:eastAsia="Arial" w:hAnsi="Arial" w:cs="Arial"/>
          <w:i/>
        </w:rPr>
        <w:t xml:space="preserve"> </w:t>
      </w:r>
    </w:p>
    <w:p w:rsidR="00FF384B" w:rsidRDefault="003E3BA9">
      <w:pPr>
        <w:numPr>
          <w:ilvl w:val="0"/>
          <w:numId w:val="220"/>
        </w:numPr>
        <w:spacing w:after="4" w:line="247" w:lineRule="auto"/>
        <w:ind w:right="244" w:hanging="10"/>
        <w:jc w:val="both"/>
      </w:pPr>
      <w:r>
        <w:rPr>
          <w:rFonts w:ascii="Arial" w:eastAsia="Arial" w:hAnsi="Arial" w:cs="Arial"/>
          <w:i/>
        </w:rPr>
        <w:t>Las ofertas</w:t>
      </w:r>
      <w:r>
        <w:rPr>
          <w:rFonts w:ascii="Arial" w:eastAsia="Arial" w:hAnsi="Arial" w:cs="Arial"/>
          <w:i/>
        </w:rPr>
        <w:t xml:space="preserve"> presentadas deberán aportarse con la justificación o, en su caso, en la solicitud de la subvención. La elección entre las ofertas presentadas deberá realizarse conforme a criterios de eficiencia y economía, debiendo justificarse expresamente en la memoria</w:t>
      </w:r>
      <w:r>
        <w:rPr>
          <w:rFonts w:ascii="Arial" w:eastAsia="Arial" w:hAnsi="Arial" w:cs="Arial"/>
          <w:i/>
        </w:rPr>
        <w:t xml:space="preserve"> de evaluación la elección cuando no recaiga en la propuesta económica más ventajosa, o la inexistencia en el mercado de diversidad de proveedores o prestadores del servicio de que se trate.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36. Gastos financieros, gastos de asesoría jurídica o financiera, gastos notariales y registrales, gastos periciales, gastos de administración específicos y gastos de naturaleza tributaria. </w:t>
      </w:r>
    </w:p>
    <w:p w:rsidR="00FF384B" w:rsidRDefault="003E3BA9">
      <w:pPr>
        <w:spacing w:after="0"/>
        <w:ind w:left="283"/>
      </w:pPr>
      <w:r>
        <w:rPr>
          <w:rFonts w:ascii="Arial" w:eastAsia="Arial" w:hAnsi="Arial" w:cs="Arial"/>
          <w:b/>
          <w:i/>
        </w:rPr>
        <w:t xml:space="preserve"> </w:t>
      </w:r>
    </w:p>
    <w:p w:rsidR="00FF384B" w:rsidRDefault="003E3BA9">
      <w:pPr>
        <w:spacing w:after="4" w:line="247" w:lineRule="auto"/>
        <w:ind w:left="278" w:right="244" w:hanging="10"/>
        <w:jc w:val="both"/>
      </w:pPr>
      <w:r>
        <w:rPr>
          <w:rFonts w:ascii="Arial" w:eastAsia="Arial" w:hAnsi="Arial" w:cs="Arial"/>
          <w:i/>
        </w:rPr>
        <w:t>1. Los gastos financieros, los gastos de asesoría jurí</w:t>
      </w:r>
      <w:r>
        <w:rPr>
          <w:rFonts w:ascii="Arial" w:eastAsia="Arial" w:hAnsi="Arial" w:cs="Arial"/>
          <w:i/>
        </w:rPr>
        <w:t>dica o financiera, los gastos notariales y registrales y los gastos periciales para la realización del proyecto subvencionado y los de administración específicos son subvencionables si están directamente relacionados con la actividad subvencionada y son in</w:t>
      </w:r>
      <w:r>
        <w:rPr>
          <w:rFonts w:ascii="Arial" w:eastAsia="Arial" w:hAnsi="Arial" w:cs="Arial"/>
          <w:i/>
        </w:rPr>
        <w:t xml:space="preserve">dispensables </w:t>
      </w:r>
    </w:p>
    <w:p w:rsidR="00FF384B" w:rsidRDefault="003E3BA9">
      <w:pPr>
        <w:spacing w:after="4" w:line="247" w:lineRule="auto"/>
        <w:ind w:left="278" w:right="244" w:hanging="10"/>
        <w:jc w:val="both"/>
      </w:pPr>
      <w:r>
        <w:rPr>
          <w:rFonts w:ascii="Arial" w:eastAsia="Arial" w:hAnsi="Arial" w:cs="Arial"/>
          <w:i/>
        </w:rPr>
        <w:t>para la adecuada preparación o ejecución de la misma, y siempre que así se prevea en las bases reguladoras o convocatoria. Con carácter excepcional, los gastos de garantía bancaria podrán ser subvencionados cuando así lo prevea la normativa r</w:t>
      </w:r>
      <w:r>
        <w:rPr>
          <w:rFonts w:ascii="Arial" w:eastAsia="Arial" w:hAnsi="Arial" w:cs="Arial"/>
          <w:i/>
        </w:rPr>
        <w:t xml:space="preserve">eguladora de la subvención.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En ningún caso se considerarán gastos subvencionables los siguientes: </w:t>
      </w:r>
    </w:p>
    <w:p w:rsidR="00FF384B" w:rsidRDefault="003E3BA9">
      <w:pPr>
        <w:spacing w:after="0"/>
        <w:ind w:left="283"/>
      </w:pPr>
      <w:r>
        <w:rPr>
          <w:rFonts w:ascii="Arial" w:eastAsia="Arial" w:hAnsi="Arial" w:cs="Arial"/>
          <w:i/>
        </w:rPr>
        <w:t xml:space="preserve"> </w:t>
      </w:r>
    </w:p>
    <w:p w:rsidR="00FF384B" w:rsidRDefault="003E3BA9">
      <w:pPr>
        <w:numPr>
          <w:ilvl w:val="0"/>
          <w:numId w:val="221"/>
        </w:numPr>
        <w:spacing w:after="4" w:line="247" w:lineRule="auto"/>
        <w:ind w:right="244" w:hanging="259"/>
        <w:jc w:val="both"/>
      </w:pPr>
      <w:r>
        <w:rPr>
          <w:rFonts w:ascii="Arial" w:eastAsia="Arial" w:hAnsi="Arial" w:cs="Arial"/>
          <w:i/>
        </w:rPr>
        <w:t xml:space="preserve">Los intereses deudores de las cuentas bancarias. </w:t>
      </w:r>
    </w:p>
    <w:p w:rsidR="00FF384B" w:rsidRDefault="003E3BA9">
      <w:pPr>
        <w:numPr>
          <w:ilvl w:val="0"/>
          <w:numId w:val="221"/>
        </w:numPr>
        <w:spacing w:after="4" w:line="247" w:lineRule="auto"/>
        <w:ind w:right="244" w:hanging="259"/>
        <w:jc w:val="both"/>
      </w:pPr>
      <w:r>
        <w:rPr>
          <w:rFonts w:ascii="Arial" w:eastAsia="Arial" w:hAnsi="Arial" w:cs="Arial"/>
          <w:i/>
        </w:rPr>
        <w:t xml:space="preserve">Los intereses, recargos y sanciones administrativas y penales. </w:t>
      </w:r>
    </w:p>
    <w:p w:rsidR="00FF384B" w:rsidRDefault="003E3BA9">
      <w:pPr>
        <w:numPr>
          <w:ilvl w:val="0"/>
          <w:numId w:val="221"/>
        </w:numPr>
        <w:spacing w:after="4" w:line="247" w:lineRule="auto"/>
        <w:ind w:right="244" w:hanging="259"/>
        <w:jc w:val="both"/>
      </w:pPr>
      <w:r>
        <w:rPr>
          <w:rFonts w:ascii="Arial" w:eastAsia="Arial" w:hAnsi="Arial" w:cs="Arial"/>
          <w:i/>
        </w:rPr>
        <w:t>Los gastos de procedimientos judiciale</w:t>
      </w:r>
      <w:r>
        <w:rPr>
          <w:rFonts w:ascii="Arial" w:eastAsia="Arial" w:hAnsi="Arial" w:cs="Arial"/>
          <w:i/>
        </w:rPr>
        <w:t xml:space="preserve">s. </w:t>
      </w:r>
    </w:p>
    <w:p w:rsidR="00FF384B" w:rsidRDefault="003E3BA9">
      <w:pPr>
        <w:spacing w:after="0"/>
        <w:ind w:left="283"/>
      </w:pPr>
      <w:r>
        <w:rPr>
          <w:rFonts w:ascii="Arial" w:eastAsia="Arial" w:hAnsi="Arial" w:cs="Arial"/>
          <w:i/>
        </w:rPr>
        <w:t xml:space="preserve"> </w:t>
      </w:r>
    </w:p>
    <w:p w:rsidR="00FF384B" w:rsidRDefault="003E3BA9">
      <w:pPr>
        <w:numPr>
          <w:ilvl w:val="0"/>
          <w:numId w:val="222"/>
        </w:numPr>
        <w:spacing w:after="4" w:line="247" w:lineRule="auto"/>
        <w:ind w:right="244" w:hanging="10"/>
        <w:jc w:val="both"/>
      </w:pPr>
      <w:r>
        <w:rPr>
          <w:rFonts w:ascii="Arial" w:eastAsia="Arial" w:hAnsi="Arial" w:cs="Arial"/>
          <w:i/>
        </w:rPr>
        <w:t>Los tributos son gasto subvencionable cuando la persona beneficiaria de la subvención los abona efectivamente. En ningún caso se consideran gastos subvencionables los impuestos indirectos cuando sean susceptibles de recuperación o compensación ni los</w:t>
      </w:r>
      <w:r>
        <w:rPr>
          <w:rFonts w:ascii="Arial" w:eastAsia="Arial" w:hAnsi="Arial" w:cs="Arial"/>
          <w:i/>
        </w:rPr>
        <w:t xml:space="preserve"> impuestos personales sobre la renta.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En cuanto al Impuesto General Indirectos Canario (IGIC) únicamente serán gastos subvencionables aquellas cantidades abonadas por el beneficiario que representen un coste real, es decir que haya sido efectivamente ab</w:t>
      </w:r>
      <w:r>
        <w:rPr>
          <w:rFonts w:ascii="Arial" w:eastAsia="Arial" w:hAnsi="Arial" w:cs="Arial"/>
          <w:i/>
        </w:rPr>
        <w:t xml:space="preserve">onado, y que no sea deducible. </w:t>
      </w:r>
    </w:p>
    <w:p w:rsidR="00FF384B" w:rsidRDefault="003E3BA9">
      <w:pPr>
        <w:spacing w:after="0"/>
        <w:ind w:left="991"/>
      </w:pPr>
      <w:r>
        <w:rPr>
          <w:rFonts w:ascii="Arial" w:eastAsia="Arial" w:hAnsi="Arial" w:cs="Arial"/>
          <w:i/>
        </w:rPr>
        <w:t xml:space="preserve"> </w:t>
      </w:r>
    </w:p>
    <w:p w:rsidR="00FF384B" w:rsidRDefault="003E3BA9">
      <w:pPr>
        <w:numPr>
          <w:ilvl w:val="0"/>
          <w:numId w:val="222"/>
        </w:numPr>
        <w:spacing w:after="4" w:line="247" w:lineRule="auto"/>
        <w:ind w:right="244" w:hanging="10"/>
        <w:jc w:val="both"/>
      </w:pPr>
      <w:r>
        <w:rPr>
          <w:noProof/>
        </w:rPr>
        <mc:AlternateContent>
          <mc:Choice Requires="wpg">
            <w:drawing>
              <wp:anchor distT="0" distB="0" distL="114300" distR="114300" simplePos="0" relativeHeight="2518353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3965" name="Group 47396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857" name="Picture 31857"/>
                          <pic:cNvPicPr/>
                        </pic:nvPicPr>
                        <pic:blipFill>
                          <a:blip r:embed="rId62"/>
                          <a:stretch>
                            <a:fillRect/>
                          </a:stretch>
                        </pic:blipFill>
                        <pic:spPr>
                          <a:xfrm rot="-5399999">
                            <a:off x="-1720849" y="1720849"/>
                            <a:ext cx="3797300" cy="355601"/>
                          </a:xfrm>
                          <a:prstGeom prst="rect">
                            <a:avLst/>
                          </a:prstGeom>
                        </pic:spPr>
                      </pic:pic>
                      <wps:wsp>
                        <wps:cNvPr id="31858" name="Rectangle 3185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859" name="Rectangle 3185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3965" style="width:41.2715pt;height:299pt;position:absolute;mso-position-horizontal-relative:page;mso-position-horizontal:absolute;margin-left:653.71pt;mso-position-vertical-relative:page;margin-top:512.92pt;" coordsize="5241,37973">
                <v:shape id="Picture 31857" style="position:absolute;width:37973;height:3556;left:-17208;top:17208;rotation:-89;" filled="f">
                  <v:imagedata r:id="rId63"/>
                </v:shape>
                <v:rect id="Rectangle 3185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85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353 </w:t>
                        </w:r>
                      </w:p>
                    </w:txbxContent>
                  </v:textbox>
                </v:rect>
                <w10:wrap type="square"/>
              </v:group>
            </w:pict>
          </mc:Fallback>
        </mc:AlternateContent>
      </w:r>
      <w:r>
        <w:rPr>
          <w:rFonts w:ascii="Arial" w:eastAsia="Arial" w:hAnsi="Arial" w:cs="Arial"/>
          <w:i/>
        </w:rPr>
        <w:t>Los costes indirectos habrán de imputarse por el beneficiario a la actividad subvencionada en la parte que razonablemente corresponda de acuerdo con principios y normas de contabilidad generalmente admitidas y, en todo caso, en la medida que tales costes c</w:t>
      </w:r>
      <w:r>
        <w:rPr>
          <w:rFonts w:ascii="Arial" w:eastAsia="Arial" w:hAnsi="Arial" w:cs="Arial"/>
          <w:i/>
        </w:rPr>
        <w:t xml:space="preserve">orrespondan al periodo en que efectivamente se realiza la actividad.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37. Subcontratación. </w:t>
      </w:r>
    </w:p>
    <w:p w:rsidR="00FF384B" w:rsidRDefault="003E3BA9">
      <w:pPr>
        <w:spacing w:after="0"/>
        <w:ind w:left="283"/>
      </w:pPr>
      <w:r>
        <w:rPr>
          <w:rFonts w:ascii="Arial" w:eastAsia="Arial" w:hAnsi="Arial" w:cs="Arial"/>
          <w:i/>
        </w:rPr>
        <w:t xml:space="preserve"> </w:t>
      </w:r>
    </w:p>
    <w:p w:rsidR="00FF384B" w:rsidRDefault="003E3BA9">
      <w:pPr>
        <w:numPr>
          <w:ilvl w:val="0"/>
          <w:numId w:val="223"/>
        </w:numPr>
        <w:spacing w:after="4" w:line="247" w:lineRule="auto"/>
        <w:ind w:right="244" w:hanging="10"/>
        <w:jc w:val="both"/>
      </w:pPr>
      <w:r>
        <w:rPr>
          <w:rFonts w:ascii="Arial" w:eastAsia="Arial" w:hAnsi="Arial" w:cs="Arial"/>
          <w:i/>
        </w:rPr>
        <w:t xml:space="preserve">Se entiende subcontratación, cuando el beneficiario concierta con terceras personas la ejecución total o parcial de la actividad que constituye objeto </w:t>
      </w:r>
      <w:r>
        <w:rPr>
          <w:rFonts w:ascii="Arial" w:eastAsia="Arial" w:hAnsi="Arial" w:cs="Arial"/>
          <w:i/>
        </w:rPr>
        <w:t xml:space="preserve">de la subvención. Queda fuera de este concepto la contratación de aquellos gastos en que tenga que incurrir el beneficiario para la realización por sí mismo de 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223"/>
        </w:numPr>
        <w:spacing w:after="4" w:line="247" w:lineRule="auto"/>
        <w:ind w:right="244" w:hanging="10"/>
        <w:jc w:val="both"/>
      </w:pPr>
      <w:r>
        <w:rPr>
          <w:rFonts w:ascii="Arial" w:eastAsia="Arial" w:hAnsi="Arial" w:cs="Arial"/>
          <w:i/>
        </w:rPr>
        <w:t>Las convocatorias, convenios de colaboración o resoluciones regul</w:t>
      </w:r>
      <w:r>
        <w:rPr>
          <w:rFonts w:ascii="Arial" w:eastAsia="Arial" w:hAnsi="Arial" w:cs="Arial"/>
          <w:i/>
        </w:rPr>
        <w:t xml:space="preserve">arán los requisitos de la subcontratación. </w:t>
      </w:r>
    </w:p>
    <w:p w:rsidR="00FF384B" w:rsidRDefault="003E3BA9">
      <w:pPr>
        <w:spacing w:after="0"/>
        <w:ind w:left="283"/>
      </w:pPr>
      <w:r>
        <w:rPr>
          <w:rFonts w:ascii="Arial" w:eastAsia="Arial" w:hAnsi="Arial" w:cs="Arial"/>
          <w:i/>
        </w:rPr>
        <w:t xml:space="preserve"> </w:t>
      </w:r>
    </w:p>
    <w:p w:rsidR="00FF384B" w:rsidRDefault="003E3BA9">
      <w:pPr>
        <w:spacing w:after="4" w:line="247" w:lineRule="auto"/>
        <w:ind w:left="268" w:right="244" w:firstLine="708"/>
        <w:jc w:val="both"/>
      </w:pPr>
      <w:r>
        <w:rPr>
          <w:rFonts w:ascii="Arial" w:eastAsia="Arial" w:hAnsi="Arial" w:cs="Arial"/>
          <w:i/>
        </w:rPr>
        <w:t xml:space="preserve">En el supuesto que tal previsión no figure, el beneficiario podrá subcontratar hasta un porcentaje que no supere el 50% de la actividad subvencionada. </w:t>
      </w:r>
    </w:p>
    <w:p w:rsidR="00FF384B" w:rsidRDefault="003E3BA9">
      <w:pPr>
        <w:spacing w:after="0"/>
        <w:ind w:left="283"/>
      </w:pPr>
      <w:r>
        <w:rPr>
          <w:rFonts w:ascii="Arial" w:eastAsia="Arial" w:hAnsi="Arial" w:cs="Arial"/>
          <w:i/>
        </w:rPr>
        <w:t xml:space="preserve"> </w:t>
      </w:r>
    </w:p>
    <w:p w:rsidR="00FF384B" w:rsidRDefault="003E3BA9">
      <w:pPr>
        <w:numPr>
          <w:ilvl w:val="0"/>
          <w:numId w:val="223"/>
        </w:numPr>
        <w:spacing w:after="4" w:line="247" w:lineRule="auto"/>
        <w:ind w:right="244" w:hanging="10"/>
        <w:jc w:val="both"/>
      </w:pPr>
      <w:r>
        <w:rPr>
          <w:rFonts w:ascii="Arial" w:eastAsia="Arial" w:hAnsi="Arial" w:cs="Arial"/>
          <w:i/>
        </w:rPr>
        <w:t>Cuando la actividad concertada con terceros sobrepase el</w:t>
      </w:r>
      <w:r>
        <w:rPr>
          <w:rFonts w:ascii="Arial" w:eastAsia="Arial" w:hAnsi="Arial" w:cs="Arial"/>
          <w:i/>
        </w:rPr>
        <w:t xml:space="preserve"> 20 por 100 del importe de la subvención y dicho importe sea superior a 60.000 euros, la subcontratación estará sometida al cumplimiento de los siguientes requisitos: </w:t>
      </w:r>
    </w:p>
    <w:p w:rsidR="00FF384B" w:rsidRDefault="003E3BA9">
      <w:pPr>
        <w:spacing w:after="0"/>
        <w:ind w:left="283"/>
      </w:pPr>
      <w:r>
        <w:rPr>
          <w:rFonts w:ascii="Arial" w:eastAsia="Arial" w:hAnsi="Arial" w:cs="Arial"/>
          <w:i/>
        </w:rPr>
        <w:t xml:space="preserve"> </w:t>
      </w:r>
    </w:p>
    <w:p w:rsidR="00FF384B" w:rsidRDefault="003E3BA9">
      <w:pPr>
        <w:numPr>
          <w:ilvl w:val="0"/>
          <w:numId w:val="224"/>
        </w:numPr>
        <w:spacing w:after="4" w:line="247" w:lineRule="auto"/>
        <w:ind w:right="244" w:hanging="257"/>
        <w:jc w:val="both"/>
      </w:pPr>
      <w:r>
        <w:rPr>
          <w:rFonts w:ascii="Arial" w:eastAsia="Arial" w:hAnsi="Arial" w:cs="Arial"/>
          <w:i/>
        </w:rPr>
        <w:t xml:space="preserve">Que el contrato se celebre por escrito. </w:t>
      </w:r>
    </w:p>
    <w:p w:rsidR="00FF384B" w:rsidRDefault="003E3BA9">
      <w:pPr>
        <w:spacing w:after="0"/>
        <w:ind w:left="283"/>
      </w:pPr>
      <w:r>
        <w:rPr>
          <w:rFonts w:ascii="Arial" w:eastAsia="Arial" w:hAnsi="Arial" w:cs="Arial"/>
          <w:i/>
        </w:rPr>
        <w:t xml:space="preserve"> </w:t>
      </w:r>
    </w:p>
    <w:p w:rsidR="00FF384B" w:rsidRDefault="003E3BA9">
      <w:pPr>
        <w:numPr>
          <w:ilvl w:val="0"/>
          <w:numId w:val="224"/>
        </w:numPr>
        <w:spacing w:after="4" w:line="247" w:lineRule="auto"/>
        <w:ind w:right="244" w:hanging="257"/>
        <w:jc w:val="both"/>
      </w:pPr>
      <w:r>
        <w:rPr>
          <w:rFonts w:ascii="Arial" w:eastAsia="Arial" w:hAnsi="Arial" w:cs="Arial"/>
          <w:i/>
        </w:rPr>
        <w:t xml:space="preserve">Que la celebración del mismo se autorice previamente por la entidad concedente de la subvención en la forma en que se determine en la convocatoria.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 xml:space="preserve">Artículo 38. Financiación de gastos subvencionables. </w:t>
      </w:r>
    </w:p>
    <w:p w:rsidR="00FF384B" w:rsidRDefault="003E3BA9">
      <w:pPr>
        <w:spacing w:after="0"/>
        <w:ind w:left="283"/>
      </w:pPr>
      <w:r>
        <w:rPr>
          <w:rFonts w:ascii="Arial" w:eastAsia="Arial" w:hAnsi="Arial" w:cs="Arial"/>
          <w:b/>
          <w:i/>
        </w:rPr>
        <w:t xml:space="preserve"> </w:t>
      </w:r>
    </w:p>
    <w:p w:rsidR="00FF384B" w:rsidRDefault="003E3BA9">
      <w:pPr>
        <w:numPr>
          <w:ilvl w:val="0"/>
          <w:numId w:val="225"/>
        </w:numPr>
        <w:spacing w:after="4" w:line="247" w:lineRule="auto"/>
        <w:ind w:right="244" w:hanging="10"/>
        <w:jc w:val="both"/>
      </w:pPr>
      <w:r>
        <w:rPr>
          <w:rFonts w:ascii="Arial" w:eastAsia="Arial" w:hAnsi="Arial" w:cs="Arial"/>
          <w:i/>
        </w:rPr>
        <w:t>La financiación de los gastos subvencionables, co</w:t>
      </w:r>
      <w:r>
        <w:rPr>
          <w:rFonts w:ascii="Arial" w:eastAsia="Arial" w:hAnsi="Arial" w:cs="Arial"/>
          <w:i/>
        </w:rPr>
        <w:t>n carácter general no podrá superar el 80% de los mismos, con la excepción de las subvenciones directas por razones humanitarias y de acción social, que podrán financiarse al 100% y en las demás subvenciones en donde las convocatorias establezcan otra cosa</w:t>
      </w:r>
      <w:r>
        <w:rPr>
          <w:rFonts w:ascii="Arial" w:eastAsia="Arial" w:hAnsi="Arial" w:cs="Arial"/>
          <w:i/>
        </w:rPr>
        <w:t xml:space="preserve">, </w:t>
      </w:r>
    </w:p>
    <w:p w:rsidR="00FF384B" w:rsidRDefault="003E3BA9">
      <w:pPr>
        <w:spacing w:after="4" w:line="247" w:lineRule="auto"/>
        <w:ind w:left="278" w:right="244" w:hanging="10"/>
        <w:jc w:val="both"/>
      </w:pPr>
      <w:r>
        <w:rPr>
          <w:rFonts w:ascii="Arial" w:eastAsia="Arial" w:hAnsi="Arial" w:cs="Arial"/>
          <w:i/>
        </w:rPr>
        <w:t xml:space="preserve">siempre y cuando así esté previsto en la revisión anual del Plan Estratégico Municipal de Subvenciones. </w:t>
      </w:r>
    </w:p>
    <w:p w:rsidR="00FF384B" w:rsidRDefault="003E3BA9">
      <w:pPr>
        <w:spacing w:after="0"/>
        <w:ind w:left="283"/>
      </w:pPr>
      <w:r>
        <w:rPr>
          <w:rFonts w:ascii="Arial" w:eastAsia="Arial" w:hAnsi="Arial" w:cs="Arial"/>
          <w:i/>
        </w:rPr>
        <w:t xml:space="preserve"> </w:t>
      </w:r>
    </w:p>
    <w:p w:rsidR="00FF384B" w:rsidRDefault="003E3BA9">
      <w:pPr>
        <w:numPr>
          <w:ilvl w:val="0"/>
          <w:numId w:val="225"/>
        </w:numPr>
        <w:spacing w:after="4" w:line="247" w:lineRule="auto"/>
        <w:ind w:right="244" w:hanging="10"/>
        <w:jc w:val="both"/>
      </w:pPr>
      <w:r>
        <w:rPr>
          <w:rFonts w:ascii="Arial" w:eastAsia="Arial" w:hAnsi="Arial" w:cs="Arial"/>
          <w:i/>
        </w:rPr>
        <w:t>Si el beneficiario percibe más ayudas públicas para la misma actividad, la suma de ellas no podrá suponer más del 80 % del coste de la actividad s</w:t>
      </w:r>
      <w:r>
        <w:rPr>
          <w:rFonts w:ascii="Arial" w:eastAsia="Arial" w:hAnsi="Arial" w:cs="Arial"/>
          <w:i/>
        </w:rPr>
        <w:t xml:space="preserve">ubvencionada salvo en los supuestos previstos en el apartado anterior. Si de la suma de las ayudas públicas se superase dicho porcentaje, la aportación del Ayuntamiento, deberá reducir su importe hasta cumplir con ese porcentaje. </w:t>
      </w:r>
    </w:p>
    <w:p w:rsidR="00FF384B" w:rsidRDefault="003E3BA9">
      <w:pPr>
        <w:spacing w:after="0"/>
        <w:ind w:left="283"/>
      </w:pPr>
      <w:r>
        <w:rPr>
          <w:rFonts w:ascii="Arial" w:eastAsia="Arial" w:hAnsi="Arial" w:cs="Arial"/>
          <w:i/>
        </w:rPr>
        <w:t xml:space="preserve"> </w:t>
      </w:r>
    </w:p>
    <w:p w:rsidR="00FF384B" w:rsidRDefault="003E3BA9">
      <w:pPr>
        <w:numPr>
          <w:ilvl w:val="0"/>
          <w:numId w:val="225"/>
        </w:numPr>
        <w:spacing w:after="4" w:line="247" w:lineRule="auto"/>
        <w:ind w:right="244" w:hanging="10"/>
        <w:jc w:val="both"/>
      </w:pPr>
      <w:r>
        <w:rPr>
          <w:rFonts w:ascii="Arial" w:eastAsia="Arial" w:hAnsi="Arial" w:cs="Arial"/>
          <w:i/>
        </w:rPr>
        <w:t>En la convocatoria de l</w:t>
      </w:r>
      <w:r>
        <w:rPr>
          <w:rFonts w:ascii="Arial" w:eastAsia="Arial" w:hAnsi="Arial" w:cs="Arial"/>
          <w:i/>
        </w:rPr>
        <w:t>a subvención o en el contenido de los convenios de colaboración o resolución, se establecerá el porcentaje de financiación no municipal para cubrir la actividad subvencionada. Deberá justificarse el importe, procedencia y aplicación a la actividad subvenci</w:t>
      </w:r>
      <w:r>
        <w:rPr>
          <w:rFonts w:ascii="Arial" w:eastAsia="Arial" w:hAnsi="Arial" w:cs="Arial"/>
          <w:i/>
        </w:rPr>
        <w:t xml:space="preserve">onada, de la mencionada financiación. </w:t>
      </w:r>
    </w:p>
    <w:p w:rsidR="00FF384B" w:rsidRDefault="003E3BA9">
      <w:pPr>
        <w:spacing w:after="0"/>
        <w:ind w:left="283"/>
      </w:pPr>
      <w:r>
        <w:rPr>
          <w:rFonts w:ascii="Arial" w:eastAsia="Arial" w:hAnsi="Arial" w:cs="Arial"/>
          <w:i/>
        </w:rPr>
        <w:t xml:space="preserve"> </w:t>
      </w:r>
    </w:p>
    <w:p w:rsidR="00FF384B" w:rsidRDefault="003E3BA9">
      <w:pPr>
        <w:numPr>
          <w:ilvl w:val="0"/>
          <w:numId w:val="225"/>
        </w:numPr>
        <w:spacing w:after="4" w:line="247" w:lineRule="auto"/>
        <w:ind w:right="244" w:hanging="10"/>
        <w:jc w:val="both"/>
      </w:pPr>
      <w:r>
        <w:rPr>
          <w:noProof/>
        </w:rPr>
        <mc:AlternateContent>
          <mc:Choice Requires="wpg">
            <w:drawing>
              <wp:anchor distT="0" distB="0" distL="114300" distR="114300" simplePos="0" relativeHeight="2518364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272" name="Group 47427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1958" name="Picture 31958"/>
                          <pic:cNvPicPr/>
                        </pic:nvPicPr>
                        <pic:blipFill>
                          <a:blip r:embed="rId62"/>
                          <a:stretch>
                            <a:fillRect/>
                          </a:stretch>
                        </pic:blipFill>
                        <pic:spPr>
                          <a:xfrm rot="-5399999">
                            <a:off x="-1720849" y="1720849"/>
                            <a:ext cx="3797300" cy="355601"/>
                          </a:xfrm>
                          <a:prstGeom prst="rect">
                            <a:avLst/>
                          </a:prstGeom>
                        </pic:spPr>
                      </pic:pic>
                      <wps:wsp>
                        <wps:cNvPr id="31959" name="Rectangle 3195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1960" name="Rectangle 3196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272" style="width:41.2715pt;height:299pt;position:absolute;mso-position-horizontal-relative:page;mso-position-horizontal:absolute;margin-left:653.71pt;mso-position-vertical-relative:page;margin-top:512.92pt;" coordsize="5241,37973">
                <v:shape id="Picture 31958" style="position:absolute;width:37973;height:3556;left:-17208;top:17208;rotation:-89;" filled="f">
                  <v:imagedata r:id="rId63"/>
                </v:shape>
                <v:rect id="Rectangle 3195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196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353 </w:t>
                        </w:r>
                      </w:p>
                    </w:txbxContent>
                  </v:textbox>
                </v:rect>
                <w10:wrap type="square"/>
              </v:group>
            </w:pict>
          </mc:Fallback>
        </mc:AlternateContent>
      </w:r>
      <w:r>
        <w:rPr>
          <w:rFonts w:ascii="Arial" w:eastAsia="Arial" w:hAnsi="Arial" w:cs="Arial"/>
          <w:i/>
        </w:rPr>
        <w:t xml:space="preserve">Los rendimientos financieros que generen, en su caso, los fondos librados a los beneficiarios, incrementarán el importe de la subvención concedida, salvo que el beneficiario sea una Administración Pública. </w:t>
      </w:r>
    </w:p>
    <w:p w:rsidR="00FF384B" w:rsidRDefault="003E3BA9">
      <w:pPr>
        <w:spacing w:after="0"/>
        <w:ind w:left="283"/>
      </w:pPr>
      <w:r>
        <w:rPr>
          <w:rFonts w:ascii="Arial" w:eastAsia="Arial" w:hAnsi="Arial" w:cs="Arial"/>
          <w:i/>
        </w:rPr>
        <w:t xml:space="preserve"> </w:t>
      </w:r>
    </w:p>
    <w:p w:rsidR="00FF384B" w:rsidRDefault="003E3BA9">
      <w:pPr>
        <w:spacing w:after="0"/>
        <w:ind w:left="283"/>
      </w:pPr>
      <w:r>
        <w:rPr>
          <w:rFonts w:ascii="Arial" w:eastAsia="Arial" w:hAnsi="Arial" w:cs="Arial"/>
          <w:i/>
        </w:rPr>
        <w:t xml:space="preserve"> </w:t>
      </w:r>
    </w:p>
    <w:p w:rsidR="00FF384B" w:rsidRDefault="003E3BA9">
      <w:pPr>
        <w:spacing w:after="13" w:line="247" w:lineRule="auto"/>
        <w:ind w:left="268" w:right="239"/>
        <w:jc w:val="both"/>
      </w:pPr>
      <w:r>
        <w:rPr>
          <w:rFonts w:ascii="Arial" w:eastAsia="Arial" w:hAnsi="Arial" w:cs="Arial"/>
          <w:b/>
          <w:i/>
        </w:rPr>
        <w:t>CAPÍTULO II. Procedimiento de gestión presupu</w:t>
      </w:r>
      <w:r>
        <w:rPr>
          <w:rFonts w:ascii="Arial" w:eastAsia="Arial" w:hAnsi="Arial" w:cs="Arial"/>
          <w:b/>
          <w:i/>
        </w:rPr>
        <w:t xml:space="preserve">estaria. </w:t>
      </w:r>
    </w:p>
    <w:p w:rsidR="00FF384B" w:rsidRDefault="003E3BA9">
      <w:pPr>
        <w:spacing w:after="0"/>
        <w:ind w:left="283"/>
      </w:pPr>
      <w:r>
        <w:rPr>
          <w:rFonts w:ascii="Arial" w:eastAsia="Arial" w:hAnsi="Arial" w:cs="Arial"/>
          <w:b/>
          <w:i/>
        </w:rPr>
        <w:t xml:space="preserve"> </w:t>
      </w:r>
    </w:p>
    <w:p w:rsidR="00FF384B" w:rsidRDefault="003E3BA9">
      <w:pPr>
        <w:spacing w:after="13" w:line="247" w:lineRule="auto"/>
        <w:ind w:left="268" w:right="239"/>
        <w:jc w:val="both"/>
      </w:pPr>
      <w:r>
        <w:rPr>
          <w:rFonts w:ascii="Arial" w:eastAsia="Arial" w:hAnsi="Arial" w:cs="Arial"/>
          <w:b/>
          <w:i/>
        </w:rPr>
        <w:t xml:space="preserve">Artículo 39. Aprobación del gasto. </w:t>
      </w:r>
    </w:p>
    <w:p w:rsidR="00FF384B" w:rsidRDefault="003E3BA9">
      <w:pPr>
        <w:spacing w:after="0"/>
        <w:ind w:left="283"/>
      </w:pPr>
      <w:r>
        <w:rPr>
          <w:rFonts w:ascii="Arial" w:eastAsia="Arial" w:hAnsi="Arial" w:cs="Arial"/>
          <w:i/>
        </w:rPr>
        <w:t xml:space="preserve"> </w:t>
      </w:r>
    </w:p>
    <w:p w:rsidR="00FF384B" w:rsidRDefault="003E3BA9">
      <w:pPr>
        <w:numPr>
          <w:ilvl w:val="0"/>
          <w:numId w:val="226"/>
        </w:numPr>
        <w:spacing w:after="4" w:line="247" w:lineRule="auto"/>
        <w:ind w:right="244" w:hanging="10"/>
        <w:jc w:val="both"/>
      </w:pPr>
      <w:r>
        <w:rPr>
          <w:rFonts w:ascii="Arial" w:eastAsia="Arial" w:hAnsi="Arial" w:cs="Arial"/>
          <w:i/>
        </w:rPr>
        <w:t>Previamente a la convocatoria de las subvenciones, concesión directa de las mismas o la realización de convenios, deberá efectuarse la aprobación del gasto con los trámites establecidos en el TRLRHL y en la</w:t>
      </w:r>
      <w:r>
        <w:rPr>
          <w:rFonts w:ascii="Arial" w:eastAsia="Arial" w:hAnsi="Arial" w:cs="Arial"/>
          <w:i/>
        </w:rPr>
        <w:t xml:space="preserve"> normativa municipal de carácter presupuestario. </w:t>
      </w:r>
    </w:p>
    <w:p w:rsidR="00FF384B" w:rsidRDefault="003E3BA9">
      <w:pPr>
        <w:spacing w:after="0"/>
        <w:ind w:left="283"/>
      </w:pPr>
      <w:r>
        <w:rPr>
          <w:rFonts w:ascii="Arial" w:eastAsia="Arial" w:hAnsi="Arial" w:cs="Arial"/>
          <w:i/>
        </w:rPr>
        <w:t xml:space="preserve"> </w:t>
      </w:r>
    </w:p>
    <w:p w:rsidR="00FF384B" w:rsidRDefault="003E3BA9">
      <w:pPr>
        <w:numPr>
          <w:ilvl w:val="0"/>
          <w:numId w:val="226"/>
        </w:numPr>
        <w:spacing w:after="4" w:line="247" w:lineRule="auto"/>
        <w:ind w:right="244" w:hanging="10"/>
        <w:jc w:val="both"/>
      </w:pPr>
      <w:r>
        <w:rPr>
          <w:rFonts w:ascii="Arial" w:eastAsia="Arial" w:hAnsi="Arial" w:cs="Arial"/>
          <w:i/>
        </w:rPr>
        <w:t xml:space="preserve">No podrán otorgarse subvenciones por cuantía superior a la que se determine en la convocatoria sin que se realice una nueva convocatoria, salvo que se produzca el incremento de los créditos derivado de: </w:t>
      </w:r>
    </w:p>
    <w:p w:rsidR="00FF384B" w:rsidRDefault="003E3BA9">
      <w:pPr>
        <w:spacing w:after="0"/>
        <w:ind w:left="283"/>
      </w:pPr>
      <w:r>
        <w:rPr>
          <w:rFonts w:ascii="Arial" w:eastAsia="Arial" w:hAnsi="Arial" w:cs="Arial"/>
          <w:i/>
        </w:rPr>
        <w:t xml:space="preserve"> </w:t>
      </w:r>
    </w:p>
    <w:p w:rsidR="00FF384B" w:rsidRDefault="003E3BA9">
      <w:pPr>
        <w:numPr>
          <w:ilvl w:val="0"/>
          <w:numId w:val="227"/>
        </w:numPr>
        <w:spacing w:after="4" w:line="247" w:lineRule="auto"/>
        <w:ind w:right="244" w:hanging="259"/>
        <w:jc w:val="both"/>
      </w:pPr>
      <w:r>
        <w:rPr>
          <w:rFonts w:ascii="Arial" w:eastAsia="Arial" w:hAnsi="Arial" w:cs="Arial"/>
          <w:i/>
        </w:rPr>
        <w:t xml:space="preserve">Una generación, ampliación o incorporación de crédito. </w:t>
      </w:r>
    </w:p>
    <w:p w:rsidR="00FF384B" w:rsidRDefault="003E3BA9">
      <w:pPr>
        <w:spacing w:after="0"/>
        <w:ind w:left="283"/>
      </w:pPr>
      <w:r>
        <w:rPr>
          <w:rFonts w:ascii="Arial" w:eastAsia="Arial" w:hAnsi="Arial" w:cs="Arial"/>
          <w:i/>
        </w:rPr>
        <w:t xml:space="preserve"> </w:t>
      </w:r>
    </w:p>
    <w:p w:rsidR="00FF384B" w:rsidRDefault="003E3BA9">
      <w:pPr>
        <w:numPr>
          <w:ilvl w:val="0"/>
          <w:numId w:val="227"/>
        </w:numPr>
        <w:spacing w:after="4" w:line="247" w:lineRule="auto"/>
        <w:ind w:right="244" w:hanging="259"/>
        <w:jc w:val="both"/>
      </w:pPr>
      <w:r>
        <w:rPr>
          <w:rFonts w:ascii="Arial" w:eastAsia="Arial" w:hAnsi="Arial" w:cs="Arial"/>
          <w:i/>
        </w:rPr>
        <w:t xml:space="preserve">La existencia de remanentes de otras convocatorias financiadas con cargo al mismo crédito o a créditos incluidos en el mismo programa o en programas del mismo servicio. </w:t>
      </w:r>
    </w:p>
    <w:p w:rsidR="00FF384B" w:rsidRDefault="003E3BA9">
      <w:pPr>
        <w:spacing w:after="0"/>
        <w:ind w:left="283"/>
      </w:pPr>
      <w:r>
        <w:rPr>
          <w:rFonts w:ascii="Arial" w:eastAsia="Arial" w:hAnsi="Arial" w:cs="Arial"/>
          <w:i/>
        </w:rPr>
        <w:t xml:space="preserve"> </w:t>
      </w:r>
    </w:p>
    <w:p w:rsidR="00FF384B" w:rsidRDefault="003E3BA9">
      <w:pPr>
        <w:spacing w:after="0" w:line="240" w:lineRule="auto"/>
        <w:ind w:left="278" w:right="243" w:hanging="10"/>
      </w:pPr>
      <w:r>
        <w:rPr>
          <w:rFonts w:ascii="Arial" w:eastAsia="Arial" w:hAnsi="Arial" w:cs="Arial"/>
          <w:i/>
          <w:color w:val="202020"/>
        </w:rPr>
        <w:t>3. La resolución de la c</w:t>
      </w:r>
      <w:r>
        <w:rPr>
          <w:rFonts w:ascii="Arial" w:eastAsia="Arial" w:hAnsi="Arial" w:cs="Arial"/>
          <w:i/>
          <w:color w:val="202020"/>
        </w:rPr>
        <w:t xml:space="preserve">oncesión de subvenciones o la firma de los convenios llevará consigo el compromiso del gasto correspondiente, así como, el reconocimiento de la obligación. </w:t>
      </w:r>
    </w:p>
    <w:p w:rsidR="00FF384B" w:rsidRDefault="003E3BA9">
      <w:pPr>
        <w:spacing w:after="142" w:line="248" w:lineRule="auto"/>
        <w:ind w:left="278" w:right="244" w:hanging="10"/>
        <w:jc w:val="both"/>
      </w:pPr>
      <w:r>
        <w:rPr>
          <w:rFonts w:ascii="Arial" w:eastAsia="Arial" w:hAnsi="Arial" w:cs="Arial"/>
          <w:color w:val="202020"/>
        </w:rPr>
        <w:t xml:space="preserve">Artículo 40. Aprobación del pago. </w:t>
      </w:r>
    </w:p>
    <w:p w:rsidR="00FF384B" w:rsidRDefault="003E3BA9">
      <w:pPr>
        <w:numPr>
          <w:ilvl w:val="0"/>
          <w:numId w:val="228"/>
        </w:numPr>
        <w:spacing w:after="143" w:line="248" w:lineRule="auto"/>
        <w:ind w:right="244" w:hanging="10"/>
        <w:jc w:val="both"/>
      </w:pPr>
      <w:r>
        <w:rPr>
          <w:rFonts w:ascii="Arial" w:eastAsia="Arial" w:hAnsi="Arial" w:cs="Arial"/>
          <w:i/>
          <w:color w:val="202020"/>
        </w:rPr>
        <w:t>El pago de la totalidad de la cantidad prevista en la subvención o convenio no se efectuará, hasta la previa justificación por el beneficiario, de la actividad, proyecto, objetivo o adopción del comportamiento para el que se le concedió y en los términos p</w:t>
      </w:r>
      <w:r>
        <w:rPr>
          <w:rFonts w:ascii="Arial" w:eastAsia="Arial" w:hAnsi="Arial" w:cs="Arial"/>
          <w:i/>
          <w:color w:val="202020"/>
        </w:rPr>
        <w:t xml:space="preserve">revistos en la presente Ordenanza y en la norma reguladora de la concesión, </w:t>
      </w:r>
    </w:p>
    <w:p w:rsidR="00FF384B" w:rsidRDefault="003E3BA9">
      <w:pPr>
        <w:spacing w:after="143" w:line="248" w:lineRule="auto"/>
        <w:ind w:left="278" w:right="244" w:hanging="10"/>
        <w:jc w:val="both"/>
      </w:pPr>
      <w:r>
        <w:rPr>
          <w:rFonts w:ascii="Arial" w:eastAsia="Arial" w:hAnsi="Arial" w:cs="Arial"/>
          <w:i/>
          <w:color w:val="202020"/>
        </w:rPr>
        <w:t xml:space="preserve">En caso de cierre del ejercicio presupuestario sin efectuarse la totalidad de pagos, deberá quedar reconocido el gasto por la cantidad pendiente. </w:t>
      </w:r>
    </w:p>
    <w:p w:rsidR="00FF384B" w:rsidRDefault="003E3BA9">
      <w:pPr>
        <w:numPr>
          <w:ilvl w:val="0"/>
          <w:numId w:val="228"/>
        </w:numPr>
        <w:spacing w:after="143" w:line="248" w:lineRule="auto"/>
        <w:ind w:right="244" w:hanging="10"/>
        <w:jc w:val="both"/>
      </w:pPr>
      <w:r>
        <w:rPr>
          <w:rFonts w:ascii="Arial" w:eastAsia="Arial" w:hAnsi="Arial" w:cs="Arial"/>
          <w:i/>
          <w:color w:val="202020"/>
        </w:rPr>
        <w:t>Se producirá la pérdida del dere</w:t>
      </w:r>
      <w:r>
        <w:rPr>
          <w:rFonts w:ascii="Arial" w:eastAsia="Arial" w:hAnsi="Arial" w:cs="Arial"/>
          <w:i/>
          <w:color w:val="202020"/>
        </w:rPr>
        <w:t xml:space="preserve">cho al cobro de la misma total o parcial en el supuesto de falta de justificación adecuada o de concurrencia de las causas de reintegro previstas en los artículos 66 y 67 de esta Ordenanza. </w:t>
      </w:r>
    </w:p>
    <w:p w:rsidR="00FF384B" w:rsidRDefault="003E3BA9">
      <w:pPr>
        <w:numPr>
          <w:ilvl w:val="0"/>
          <w:numId w:val="228"/>
        </w:numPr>
        <w:spacing w:after="143" w:line="248" w:lineRule="auto"/>
        <w:ind w:right="244" w:hanging="10"/>
        <w:jc w:val="both"/>
      </w:pPr>
      <w:r>
        <w:rPr>
          <w:rFonts w:ascii="Arial" w:eastAsia="Arial" w:hAnsi="Arial" w:cs="Arial"/>
          <w:i/>
          <w:color w:val="202020"/>
        </w:rPr>
        <w:t xml:space="preserve">Cuando de forma expresa en la convocatoria de la subvención o en </w:t>
      </w:r>
      <w:r>
        <w:rPr>
          <w:rFonts w:ascii="Arial" w:eastAsia="Arial" w:hAnsi="Arial" w:cs="Arial"/>
          <w:i/>
          <w:color w:val="202020"/>
        </w:rPr>
        <w:t xml:space="preserve">el convenio regulador de la misma se establezca, podrán efectuarse pagos a cuenta, que tendrán la consideración de pagos fraccionados. </w:t>
      </w:r>
    </w:p>
    <w:p w:rsidR="00FF384B" w:rsidRDefault="003E3BA9">
      <w:pPr>
        <w:numPr>
          <w:ilvl w:val="0"/>
          <w:numId w:val="228"/>
        </w:numPr>
        <w:spacing w:after="143" w:line="248" w:lineRule="auto"/>
        <w:ind w:right="244" w:hanging="10"/>
        <w:jc w:val="both"/>
      </w:pPr>
      <w:r>
        <w:rPr>
          <w:rFonts w:ascii="Arial" w:eastAsia="Arial" w:hAnsi="Arial" w:cs="Arial"/>
          <w:i/>
          <w:color w:val="202020"/>
        </w:rPr>
        <w:t>También podrán efectuarse pagos anticipados que con las excepciones previstas en esta Ordenanza, no podrán suponer más d</w:t>
      </w:r>
      <w:r>
        <w:rPr>
          <w:rFonts w:ascii="Arial" w:eastAsia="Arial" w:hAnsi="Arial" w:cs="Arial"/>
          <w:i/>
          <w:color w:val="202020"/>
        </w:rPr>
        <w:t>el 80% de la cantidad subvencionada, que se considerará como entregas de fondos con carácter previo a su justificación. Tanto los posibles pagos a cuenta como los anticipos deberán justificarse en la necesidad para poder llevar a cabo las actuaciones inher</w:t>
      </w:r>
      <w:r>
        <w:rPr>
          <w:rFonts w:ascii="Arial" w:eastAsia="Arial" w:hAnsi="Arial" w:cs="Arial"/>
          <w:i/>
          <w:color w:val="202020"/>
        </w:rPr>
        <w:t xml:space="preserve">entes a la subvención o convenio suscrito. </w:t>
      </w:r>
    </w:p>
    <w:p w:rsidR="00FF384B" w:rsidRDefault="003E3BA9">
      <w:pPr>
        <w:numPr>
          <w:ilvl w:val="1"/>
          <w:numId w:val="228"/>
        </w:numPr>
        <w:spacing w:after="92" w:line="248" w:lineRule="auto"/>
        <w:ind w:right="244" w:hanging="10"/>
        <w:jc w:val="both"/>
      </w:pPr>
      <w:r>
        <w:rPr>
          <w:noProof/>
        </w:rPr>
        <mc:AlternateContent>
          <mc:Choice Requires="wpg">
            <w:drawing>
              <wp:anchor distT="0" distB="0" distL="114300" distR="114300" simplePos="0" relativeHeight="2518374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632" name="Group 47463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102" name="Picture 32102"/>
                          <pic:cNvPicPr/>
                        </pic:nvPicPr>
                        <pic:blipFill>
                          <a:blip r:embed="rId62"/>
                          <a:stretch>
                            <a:fillRect/>
                          </a:stretch>
                        </pic:blipFill>
                        <pic:spPr>
                          <a:xfrm rot="-5399999">
                            <a:off x="-1720849" y="1720849"/>
                            <a:ext cx="3797300" cy="355601"/>
                          </a:xfrm>
                          <a:prstGeom prst="rect">
                            <a:avLst/>
                          </a:prstGeom>
                        </pic:spPr>
                      </pic:pic>
                      <wps:wsp>
                        <wps:cNvPr id="32103" name="Rectangle 3210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2104" name="Rectangle 3210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632" style="width:41.2715pt;height:299pt;position:absolute;mso-position-horizontal-relative:page;mso-position-horizontal:absolute;margin-left:653.71pt;mso-position-vertical-relative:page;margin-top:512.92pt;" coordsize="5241,37973">
                <v:shape id="Picture 32102" style="position:absolute;width:37973;height:3556;left:-17208;top:17208;rotation:-89;" filled="f">
                  <v:imagedata r:id="rId63"/>
                </v:shape>
                <v:rect id="Rectangle 3210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10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353 </w:t>
                        </w:r>
                      </w:p>
                    </w:txbxContent>
                  </v:textbox>
                </v:rect>
                <w10:wrap type="square"/>
              </v:group>
            </w:pict>
          </mc:Fallback>
        </mc:AlternateContent>
      </w:r>
      <w:r>
        <w:rPr>
          <w:rFonts w:ascii="Arial" w:eastAsia="Arial" w:hAnsi="Arial" w:cs="Arial"/>
          <w:i/>
          <w:color w:val="202020"/>
        </w:rPr>
        <w:t xml:space="preserve">En el caso de </w:t>
      </w:r>
      <w:r>
        <w:rPr>
          <w:rFonts w:ascii="Arial" w:eastAsia="Arial" w:hAnsi="Arial" w:cs="Arial"/>
          <w:i/>
          <w:color w:val="202020"/>
        </w:rPr>
        <w:t xml:space="preserve">efectuarse pagos anticipados, podrá exigirse la presentación de garantías mediante depósitos, avales, seguros de caución o garantías personales y solidarias y derechos reales de garantías, regulados en la legislación vigente, que deberá determinarse en la </w:t>
      </w:r>
      <w:r>
        <w:rPr>
          <w:rFonts w:ascii="Arial" w:eastAsia="Arial" w:hAnsi="Arial" w:cs="Arial"/>
          <w:i/>
          <w:color w:val="202020"/>
        </w:rPr>
        <w:t xml:space="preserve">normativa reguladora de cada tipo de subvención o convenio. </w:t>
      </w:r>
    </w:p>
    <w:p w:rsidR="00FF384B" w:rsidRDefault="003E3BA9">
      <w:pPr>
        <w:numPr>
          <w:ilvl w:val="1"/>
          <w:numId w:val="228"/>
        </w:numPr>
        <w:spacing w:after="92" w:line="248" w:lineRule="auto"/>
        <w:ind w:right="244" w:hanging="10"/>
        <w:jc w:val="both"/>
      </w:pPr>
      <w:r>
        <w:rPr>
          <w:rFonts w:ascii="Arial" w:eastAsia="Arial" w:hAnsi="Arial" w:cs="Arial"/>
          <w:i/>
          <w:color w:val="202020"/>
        </w:rPr>
        <w:t>En ningún caso podrán realizarse pagos anticipados a beneficiarios, cuando hayan solicitado la declaración de concurso voluntario; hayan sido declarados insolventes en cualquier procedimiento; ha</w:t>
      </w:r>
      <w:r>
        <w:rPr>
          <w:rFonts w:ascii="Arial" w:eastAsia="Arial" w:hAnsi="Arial" w:cs="Arial"/>
          <w:i/>
          <w:color w:val="202020"/>
        </w:rPr>
        <w:t>yan sido declarados en concurso, salvo que en éste haya adquirido la eficacia un convenio; estén sujetos a intervención judicial; o haber sido inhabilitados conforme a la normativa en materia concursal, sin que haya concluido el período de inhabilitación f</w:t>
      </w:r>
      <w:r>
        <w:rPr>
          <w:rFonts w:ascii="Arial" w:eastAsia="Arial" w:hAnsi="Arial" w:cs="Arial"/>
          <w:i/>
          <w:color w:val="202020"/>
        </w:rPr>
        <w:t xml:space="preserve">ijado en la sentencia de calificación del concurso. </w:t>
      </w:r>
    </w:p>
    <w:p w:rsidR="00FF384B" w:rsidRDefault="003E3BA9">
      <w:pPr>
        <w:numPr>
          <w:ilvl w:val="0"/>
          <w:numId w:val="228"/>
        </w:numPr>
        <w:spacing w:after="143" w:line="248" w:lineRule="auto"/>
        <w:ind w:right="244" w:hanging="10"/>
        <w:jc w:val="both"/>
      </w:pPr>
      <w:r>
        <w:rPr>
          <w:rFonts w:ascii="Arial" w:eastAsia="Arial" w:hAnsi="Arial" w:cs="Arial"/>
          <w:i/>
          <w:color w:val="202020"/>
        </w:rPr>
        <w:t>Cuando las subvenciones concedidas sean por importe igual o inferior a 10.000 euros, en los supuestos de pagos a cuenta o pagos anticipados, el importe de los mismos será por la totalidad de la subvenció</w:t>
      </w:r>
      <w:r>
        <w:rPr>
          <w:rFonts w:ascii="Arial" w:eastAsia="Arial" w:hAnsi="Arial" w:cs="Arial"/>
          <w:i/>
          <w:color w:val="202020"/>
        </w:rPr>
        <w:t xml:space="preserve">n concedida. </w:t>
      </w:r>
    </w:p>
    <w:p w:rsidR="00FF384B" w:rsidRDefault="003E3BA9">
      <w:pPr>
        <w:numPr>
          <w:ilvl w:val="0"/>
          <w:numId w:val="228"/>
        </w:numPr>
        <w:spacing w:after="143" w:line="248" w:lineRule="auto"/>
        <w:ind w:right="244" w:hanging="10"/>
        <w:jc w:val="both"/>
      </w:pPr>
      <w:r>
        <w:rPr>
          <w:rFonts w:ascii="Arial" w:eastAsia="Arial" w:hAnsi="Arial" w:cs="Arial"/>
          <w:i/>
          <w:color w:val="202020"/>
        </w:rPr>
        <w:t>El pago de la subvención o convenio en su totalidad, no podrá realizarse en tanto el beneficiario no se halle al corriente en el cumplimiento de sus obligaciones tributarias, incluidas las municipales o frente a la Seguridad Social o sea deud</w:t>
      </w:r>
      <w:r>
        <w:rPr>
          <w:rFonts w:ascii="Arial" w:eastAsia="Arial" w:hAnsi="Arial" w:cs="Arial"/>
          <w:i/>
          <w:color w:val="202020"/>
        </w:rPr>
        <w:t xml:space="preserve">or por resolución de procedencia de reintegro. </w:t>
      </w:r>
    </w:p>
    <w:p w:rsidR="00FF384B" w:rsidRDefault="003E3BA9">
      <w:pPr>
        <w:numPr>
          <w:ilvl w:val="0"/>
          <w:numId w:val="228"/>
        </w:numPr>
        <w:spacing w:after="143" w:line="248" w:lineRule="auto"/>
        <w:ind w:right="244" w:hanging="10"/>
        <w:jc w:val="both"/>
      </w:pPr>
      <w:r>
        <w:rPr>
          <w:rFonts w:ascii="Arial" w:eastAsia="Arial" w:hAnsi="Arial" w:cs="Arial"/>
          <w:i/>
          <w:color w:val="202020"/>
        </w:rPr>
        <w:t xml:space="preserve">En los casos en que el beneficiario de una subvención cediese el derecho de cobro a un tercero, el pago al cesionario quedará sometido a lo establecido en este artículo. </w:t>
      </w:r>
    </w:p>
    <w:p w:rsidR="00FF384B" w:rsidRDefault="003E3BA9">
      <w:pPr>
        <w:spacing w:after="142" w:line="248" w:lineRule="auto"/>
        <w:ind w:left="278" w:right="244" w:hanging="10"/>
        <w:jc w:val="both"/>
      </w:pPr>
      <w:r>
        <w:rPr>
          <w:rFonts w:ascii="Arial" w:eastAsia="Arial" w:hAnsi="Arial" w:cs="Arial"/>
          <w:color w:val="202020"/>
        </w:rPr>
        <w:t xml:space="preserve">Artículo 41.- Plazo de pago </w:t>
      </w:r>
    </w:p>
    <w:p w:rsidR="00FF384B" w:rsidRDefault="003E3BA9">
      <w:pPr>
        <w:spacing w:after="291" w:line="248" w:lineRule="auto"/>
        <w:ind w:left="278" w:right="244" w:hanging="10"/>
        <w:jc w:val="both"/>
      </w:pPr>
      <w:r>
        <w:rPr>
          <w:rFonts w:ascii="Arial" w:eastAsia="Arial" w:hAnsi="Arial" w:cs="Arial"/>
          <w:i/>
          <w:color w:val="202020"/>
        </w:rPr>
        <w:t xml:space="preserve">Se establece un plazo máximo de dos meses para el pago de las subvenciones directas por razones humanitarias. </w:t>
      </w:r>
    </w:p>
    <w:p w:rsidR="00FF384B" w:rsidRDefault="003E3BA9">
      <w:pPr>
        <w:spacing w:after="96" w:line="248" w:lineRule="auto"/>
        <w:ind w:left="278" w:right="244" w:hanging="10"/>
        <w:jc w:val="both"/>
      </w:pPr>
      <w:r>
        <w:rPr>
          <w:rFonts w:ascii="Arial" w:eastAsia="Arial" w:hAnsi="Arial" w:cs="Arial"/>
          <w:i/>
          <w:color w:val="202020"/>
        </w:rPr>
        <w:t>CAPÍTULO III. Justificación de las subvenciones otorgadas.</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42. Justificación. </w:t>
      </w:r>
    </w:p>
    <w:p w:rsidR="00FF384B" w:rsidRDefault="003E3BA9">
      <w:pPr>
        <w:numPr>
          <w:ilvl w:val="0"/>
          <w:numId w:val="229"/>
        </w:numPr>
        <w:spacing w:after="143" w:line="248" w:lineRule="auto"/>
        <w:ind w:right="244" w:hanging="10"/>
        <w:jc w:val="both"/>
      </w:pPr>
      <w:r>
        <w:rPr>
          <w:rFonts w:ascii="Arial" w:eastAsia="Arial" w:hAnsi="Arial" w:cs="Arial"/>
          <w:i/>
          <w:color w:val="202020"/>
        </w:rPr>
        <w:t>La justificación de las subvenciones otorgadas por el Ay</w:t>
      </w:r>
      <w:r>
        <w:rPr>
          <w:rFonts w:ascii="Arial" w:eastAsia="Arial" w:hAnsi="Arial" w:cs="Arial"/>
          <w:i/>
          <w:color w:val="202020"/>
        </w:rPr>
        <w:t>untamiento de Candelaria, constituye una comprobación del adecuado uso de los fondos públicos recibidos por el beneficiario, la prueba de que los fondos públicos se han aplicado a la finalidad para la que fueron concedidos y una demostración del cumplimien</w:t>
      </w:r>
      <w:r>
        <w:rPr>
          <w:rFonts w:ascii="Arial" w:eastAsia="Arial" w:hAnsi="Arial" w:cs="Arial"/>
          <w:i/>
          <w:color w:val="202020"/>
        </w:rPr>
        <w:t xml:space="preserve">to de las condiciones impuestas y de los resultados obtenidos. </w:t>
      </w:r>
    </w:p>
    <w:p w:rsidR="00FF384B" w:rsidRDefault="003E3BA9">
      <w:pPr>
        <w:numPr>
          <w:ilvl w:val="0"/>
          <w:numId w:val="229"/>
        </w:numPr>
        <w:spacing w:after="143" w:line="248" w:lineRule="auto"/>
        <w:ind w:right="244" w:hanging="10"/>
        <w:jc w:val="both"/>
      </w:pPr>
      <w:r>
        <w:rPr>
          <w:rFonts w:ascii="Arial" w:eastAsia="Arial" w:hAnsi="Arial" w:cs="Arial"/>
          <w:i/>
          <w:color w:val="202020"/>
        </w:rPr>
        <w:t>La justificación del cumplimiento de las condiciones impuestas y de la consecución de los objetivos previstos en el acto de concesión de la subvención podrá revestir la forma de cuenta justifi</w:t>
      </w:r>
      <w:r>
        <w:rPr>
          <w:rFonts w:ascii="Arial" w:eastAsia="Arial" w:hAnsi="Arial" w:cs="Arial"/>
          <w:i/>
          <w:color w:val="202020"/>
        </w:rPr>
        <w:t xml:space="preserve">cativa del gasto realizado o acreditarse dicho gasto por módulos o mediante la presentación de estados contables. </w:t>
      </w:r>
    </w:p>
    <w:p w:rsidR="00FF384B" w:rsidRDefault="003E3BA9">
      <w:pPr>
        <w:numPr>
          <w:ilvl w:val="0"/>
          <w:numId w:val="229"/>
        </w:numPr>
        <w:spacing w:after="143" w:line="248" w:lineRule="auto"/>
        <w:ind w:right="244" w:hanging="10"/>
        <w:jc w:val="both"/>
      </w:pPr>
      <w:r>
        <w:rPr>
          <w:noProof/>
        </w:rPr>
        <mc:AlternateContent>
          <mc:Choice Requires="wpg">
            <w:drawing>
              <wp:anchor distT="0" distB="0" distL="114300" distR="114300" simplePos="0" relativeHeight="2518384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504" name="Group 47450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246" name="Picture 32246"/>
                          <pic:cNvPicPr/>
                        </pic:nvPicPr>
                        <pic:blipFill>
                          <a:blip r:embed="rId62"/>
                          <a:stretch>
                            <a:fillRect/>
                          </a:stretch>
                        </pic:blipFill>
                        <pic:spPr>
                          <a:xfrm rot="-5399999">
                            <a:off x="-1720849" y="1720849"/>
                            <a:ext cx="3797300" cy="355601"/>
                          </a:xfrm>
                          <a:prstGeom prst="rect">
                            <a:avLst/>
                          </a:prstGeom>
                        </pic:spPr>
                      </pic:pic>
                      <wps:wsp>
                        <wps:cNvPr id="32247" name="Rectangle 3224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2248" name="Rectangle 3224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w:t>
                              </w:r>
                              <w:r>
                                <w:rPr>
                                  <w:rFonts w:ascii="Arial" w:eastAsia="Arial" w:hAnsi="Arial" w:cs="Arial"/>
                                  <w:sz w:val="12"/>
                                </w:rPr>
                                <w:t xml:space="preserve">de la plataforma esPublico Gestiona | Página 175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504" style="width:41.2715pt;height:299pt;position:absolute;mso-position-horizontal-relative:page;mso-position-horizontal:absolute;margin-left:653.71pt;mso-position-vertical-relative:page;margin-top:512.92pt;" coordsize="5241,37973">
                <v:shape id="Picture 32246" style="position:absolute;width:37973;height:3556;left:-17208;top:17208;rotation:-89;" filled="f">
                  <v:imagedata r:id="rId63"/>
                </v:shape>
                <v:rect id="Rectangle 3224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24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353 </w:t>
                        </w:r>
                      </w:p>
                    </w:txbxContent>
                  </v:textbox>
                </v:rect>
                <w10:wrap type="square"/>
              </v:group>
            </w:pict>
          </mc:Fallback>
        </mc:AlternateContent>
      </w:r>
      <w:r>
        <w:rPr>
          <w:rFonts w:ascii="Arial" w:eastAsia="Arial" w:hAnsi="Arial" w:cs="Arial"/>
          <w:i/>
          <w:color w:val="202020"/>
        </w:rPr>
        <w:t>Los gastos se acreditarán mediante facturas y demás documentos de valor probatorio equivalente con validez en el tráfico jurídico mercantil o con eficacia administrativa, en los términos establecidos</w:t>
      </w:r>
      <w:r>
        <w:rPr>
          <w:rFonts w:ascii="Arial" w:eastAsia="Arial" w:hAnsi="Arial" w:cs="Arial"/>
          <w:i/>
          <w:color w:val="202020"/>
        </w:rPr>
        <w:t xml:space="preserve"> reglamentariamente. La acreditación de los gastos también podrá efectuarse mediante facturas electrónicas, siempre que cumplan los requisitos exigidos para su aceptación en el ámbito tributario. </w:t>
      </w:r>
    </w:p>
    <w:p w:rsidR="00FF384B" w:rsidRDefault="003E3BA9">
      <w:pPr>
        <w:numPr>
          <w:ilvl w:val="0"/>
          <w:numId w:val="229"/>
        </w:numPr>
        <w:spacing w:after="143" w:line="248" w:lineRule="auto"/>
        <w:ind w:right="244" w:hanging="10"/>
        <w:jc w:val="both"/>
      </w:pPr>
      <w:r>
        <w:rPr>
          <w:rFonts w:ascii="Arial" w:eastAsia="Arial" w:hAnsi="Arial" w:cs="Arial"/>
          <w:i/>
          <w:color w:val="202020"/>
        </w:rPr>
        <w:t>Las subvenciones que se concedan en atención a la concurren</w:t>
      </w:r>
      <w:r>
        <w:rPr>
          <w:rFonts w:ascii="Arial" w:eastAsia="Arial" w:hAnsi="Arial" w:cs="Arial"/>
          <w:i/>
          <w:color w:val="202020"/>
        </w:rPr>
        <w:t>cia de una determinada situación en el perceptor no requerirán otra justificación que la acreditación por cualquier medio admisible en derecho de dicha situación previamente a la concesión, sin perjuicio de los controles que hubieran podido establecerse pa</w:t>
      </w:r>
      <w:r>
        <w:rPr>
          <w:rFonts w:ascii="Arial" w:eastAsia="Arial" w:hAnsi="Arial" w:cs="Arial"/>
          <w:i/>
          <w:color w:val="202020"/>
        </w:rPr>
        <w:t xml:space="preserve">ra verificar su existencia. </w:t>
      </w:r>
    </w:p>
    <w:p w:rsidR="00FF384B" w:rsidRDefault="003E3BA9">
      <w:pPr>
        <w:numPr>
          <w:ilvl w:val="0"/>
          <w:numId w:val="229"/>
        </w:numPr>
        <w:spacing w:after="143" w:line="248" w:lineRule="auto"/>
        <w:ind w:right="244" w:hanging="10"/>
        <w:jc w:val="both"/>
      </w:pPr>
      <w:r>
        <w:rPr>
          <w:rFonts w:ascii="Arial" w:eastAsia="Arial" w:hAnsi="Arial" w:cs="Arial"/>
          <w:i/>
          <w:color w:val="202020"/>
        </w:rPr>
        <w:t>El incumplimiento de la obligación de justificación de la subvención o la justificación insuficiente de la misma llevarán consigo la pérdida del derecho al cobro o el reintegro de las cantidades percibidas y, en su caso, los intereses de demora que proceda</w:t>
      </w:r>
      <w:r>
        <w:rPr>
          <w:rFonts w:ascii="Arial" w:eastAsia="Arial" w:hAnsi="Arial" w:cs="Arial"/>
          <w:i/>
          <w:color w:val="202020"/>
        </w:rPr>
        <w:t xml:space="preserve">n. </w:t>
      </w:r>
    </w:p>
    <w:p w:rsidR="00FF384B" w:rsidRDefault="003E3BA9">
      <w:pPr>
        <w:spacing w:after="142" w:line="248" w:lineRule="auto"/>
        <w:ind w:left="278" w:right="244" w:hanging="10"/>
        <w:jc w:val="both"/>
      </w:pPr>
      <w:r>
        <w:rPr>
          <w:rFonts w:ascii="Arial" w:eastAsia="Arial" w:hAnsi="Arial" w:cs="Arial"/>
          <w:color w:val="202020"/>
        </w:rPr>
        <w:t xml:space="preserve">Artículo 43. Formas de documentar la justificación de las subvenciones. </w:t>
      </w:r>
    </w:p>
    <w:p w:rsidR="00FF384B" w:rsidRDefault="003E3BA9">
      <w:pPr>
        <w:spacing w:after="143" w:line="248" w:lineRule="auto"/>
        <w:ind w:left="278" w:right="244" w:hanging="10"/>
        <w:jc w:val="both"/>
      </w:pPr>
      <w:r>
        <w:rPr>
          <w:rFonts w:ascii="Arial" w:eastAsia="Arial" w:hAnsi="Arial" w:cs="Arial"/>
          <w:i/>
          <w:color w:val="202020"/>
        </w:rPr>
        <w:t xml:space="preserve">La modalidad de justificación de las subvenciones vendrá especificada en la convocatoria de la subvención o en el texto del convenio de colaboración, y deberá revestir una de las </w:t>
      </w:r>
      <w:r>
        <w:rPr>
          <w:rFonts w:ascii="Arial" w:eastAsia="Arial" w:hAnsi="Arial" w:cs="Arial"/>
          <w:i/>
          <w:color w:val="202020"/>
        </w:rPr>
        <w:t xml:space="preserve">siguientes formas: </w:t>
      </w:r>
    </w:p>
    <w:p w:rsidR="00FF384B" w:rsidRDefault="003E3BA9">
      <w:pPr>
        <w:spacing w:after="85" w:line="248" w:lineRule="auto"/>
        <w:ind w:left="1013" w:right="244" w:hanging="10"/>
        <w:jc w:val="both"/>
      </w:pPr>
      <w:r>
        <w:rPr>
          <w:rFonts w:ascii="Arial" w:eastAsia="Arial" w:hAnsi="Arial" w:cs="Arial"/>
          <w:i/>
          <w:color w:val="202020"/>
        </w:rPr>
        <w:t xml:space="preserve">a) Cuenta justificativa del gasto realizado, adoptando una de las formas previstas en los artículos 44, 45 y 46 de la presente Ordenanza. b) Presentación de estados contables. </w:t>
      </w:r>
    </w:p>
    <w:p w:rsidR="00FF384B" w:rsidRDefault="003E3BA9">
      <w:pPr>
        <w:spacing w:after="89" w:line="248" w:lineRule="auto"/>
        <w:ind w:left="1013" w:right="244" w:hanging="10"/>
        <w:jc w:val="both"/>
      </w:pPr>
      <w:r>
        <w:rPr>
          <w:rFonts w:ascii="Arial" w:eastAsia="Arial" w:hAnsi="Arial" w:cs="Arial"/>
          <w:i/>
          <w:color w:val="202020"/>
        </w:rPr>
        <w:t xml:space="preserve">c) Módulos. </w:t>
      </w:r>
    </w:p>
    <w:p w:rsidR="00FF384B" w:rsidRDefault="003E3BA9">
      <w:pPr>
        <w:spacing w:after="143" w:line="248" w:lineRule="auto"/>
        <w:ind w:left="278" w:right="244" w:hanging="10"/>
        <w:jc w:val="both"/>
      </w:pPr>
      <w:r>
        <w:rPr>
          <w:rFonts w:ascii="Arial" w:eastAsia="Arial" w:hAnsi="Arial" w:cs="Arial"/>
          <w:i/>
          <w:color w:val="202020"/>
        </w:rPr>
        <w:t>En las convocatorias de subvenciones, en los convenios de colaboración y en las resoluciones de concesión, se deberá especificar la modalidad de justificación a emplear, siendo la modalidad ordinaria la rendición de cuenta justificativa del gasto realizado</w:t>
      </w:r>
      <w:r>
        <w:rPr>
          <w:rFonts w:ascii="Arial" w:eastAsia="Arial" w:hAnsi="Arial" w:cs="Arial"/>
          <w:i/>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44. Justificación mediante rendición de cuenta justificativa del gasto realizado. </w:t>
      </w:r>
    </w:p>
    <w:p w:rsidR="00FF384B" w:rsidRDefault="003E3BA9">
      <w:pPr>
        <w:numPr>
          <w:ilvl w:val="0"/>
          <w:numId w:val="230"/>
        </w:numPr>
        <w:spacing w:after="143" w:line="248" w:lineRule="auto"/>
        <w:ind w:right="244" w:hanging="10"/>
        <w:jc w:val="both"/>
      </w:pPr>
      <w:r>
        <w:rPr>
          <w:rFonts w:ascii="Arial" w:eastAsia="Arial" w:hAnsi="Arial" w:cs="Arial"/>
          <w:i/>
          <w:color w:val="202020"/>
        </w:rPr>
        <w:t>La cuenta justificativa que ha de rendirse ante el órgano concedente de la subvención, constituye un acto obligatorio del beneficiario o de la entidad colaborado</w:t>
      </w:r>
      <w:r>
        <w:rPr>
          <w:rFonts w:ascii="Arial" w:eastAsia="Arial" w:hAnsi="Arial" w:cs="Arial"/>
          <w:i/>
          <w:color w:val="202020"/>
        </w:rPr>
        <w:t>ra y consiste en la justificación del gasto realizado, bajo responsabilidad del declarante, mediante los justificantes directos del mismo. Se tratará de facturas y demás documentos de valor probatorio equivalente, con validez en el tráfico jurídico mercant</w:t>
      </w:r>
      <w:r>
        <w:rPr>
          <w:rFonts w:ascii="Arial" w:eastAsia="Arial" w:hAnsi="Arial" w:cs="Arial"/>
          <w:i/>
          <w:color w:val="202020"/>
        </w:rPr>
        <w:t xml:space="preserve">il o con eficacia administrativa, que permitan acreditar el cumplimiento del objeto de la subvención pública. </w:t>
      </w:r>
    </w:p>
    <w:p w:rsidR="00FF384B" w:rsidRDefault="003E3BA9">
      <w:pPr>
        <w:numPr>
          <w:ilvl w:val="0"/>
          <w:numId w:val="230"/>
        </w:numPr>
        <w:spacing w:after="143" w:line="248" w:lineRule="auto"/>
        <w:ind w:right="244" w:hanging="10"/>
        <w:jc w:val="both"/>
      </w:pPr>
      <w:r>
        <w:rPr>
          <w:rFonts w:ascii="Arial" w:eastAsia="Arial" w:hAnsi="Arial" w:cs="Arial"/>
          <w:i/>
          <w:color w:val="202020"/>
        </w:rPr>
        <w:t>La cuenta justificativa estará formada por la Memoria de evaluación de la actividad subvencionada llevada a cabo, consistente en la declaración d</w:t>
      </w:r>
      <w:r>
        <w:rPr>
          <w:rFonts w:ascii="Arial" w:eastAsia="Arial" w:hAnsi="Arial" w:cs="Arial"/>
          <w:i/>
          <w:color w:val="202020"/>
        </w:rPr>
        <w:t xml:space="preserve">etallada de las actividades realizadas que han sido financiadas con la subvención y su coste. El contenido de la memoria será, al menos: </w:t>
      </w:r>
    </w:p>
    <w:p w:rsidR="00FF384B" w:rsidRDefault="003E3BA9">
      <w:pPr>
        <w:numPr>
          <w:ilvl w:val="1"/>
          <w:numId w:val="230"/>
        </w:numPr>
        <w:spacing w:after="92" w:line="248" w:lineRule="auto"/>
        <w:ind w:right="244" w:hanging="10"/>
        <w:jc w:val="both"/>
      </w:pPr>
      <w:r>
        <w:rPr>
          <w:rFonts w:ascii="Arial" w:eastAsia="Arial" w:hAnsi="Arial" w:cs="Arial"/>
          <w:i/>
          <w:color w:val="202020"/>
        </w:rPr>
        <w:t>Una memoria de actuación justificativa del cumplimiento de las condiciones impuestas en la concesión de la subvención,</w:t>
      </w:r>
      <w:r>
        <w:rPr>
          <w:rFonts w:ascii="Arial" w:eastAsia="Arial" w:hAnsi="Arial" w:cs="Arial"/>
          <w:i/>
          <w:color w:val="202020"/>
        </w:rPr>
        <w:t xml:space="preserve"> con indicación de las actividades realizadas y de los resultados obtenidos. </w:t>
      </w:r>
    </w:p>
    <w:p w:rsidR="00FF384B" w:rsidRDefault="003E3BA9">
      <w:pPr>
        <w:numPr>
          <w:ilvl w:val="1"/>
          <w:numId w:val="230"/>
        </w:numPr>
        <w:spacing w:after="93" w:line="248" w:lineRule="auto"/>
        <w:ind w:right="244" w:hanging="10"/>
        <w:jc w:val="both"/>
      </w:pPr>
      <w:r>
        <w:rPr>
          <w:rFonts w:ascii="Arial" w:eastAsia="Arial" w:hAnsi="Arial" w:cs="Arial"/>
          <w:i/>
          <w:color w:val="202020"/>
        </w:rPr>
        <w:t xml:space="preserve">Una memoria económica justificativa del coste de las actividades realizadas, que contendrá: </w:t>
      </w:r>
    </w:p>
    <w:p w:rsidR="00FF384B" w:rsidRDefault="003E3BA9">
      <w:pPr>
        <w:numPr>
          <w:ilvl w:val="2"/>
          <w:numId w:val="230"/>
        </w:numPr>
        <w:spacing w:after="93" w:line="248" w:lineRule="auto"/>
        <w:ind w:right="244" w:hanging="360"/>
        <w:jc w:val="both"/>
      </w:pPr>
      <w:r>
        <w:rPr>
          <w:noProof/>
        </w:rPr>
        <mc:AlternateContent>
          <mc:Choice Requires="wpg">
            <w:drawing>
              <wp:anchor distT="0" distB="0" distL="114300" distR="114300" simplePos="0" relativeHeight="2518394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906" name="Group 4749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404" name="Picture 32404"/>
                          <pic:cNvPicPr/>
                        </pic:nvPicPr>
                        <pic:blipFill>
                          <a:blip r:embed="rId62"/>
                          <a:stretch>
                            <a:fillRect/>
                          </a:stretch>
                        </pic:blipFill>
                        <pic:spPr>
                          <a:xfrm rot="-5399999">
                            <a:off x="-1720849" y="1720849"/>
                            <a:ext cx="3797300" cy="355601"/>
                          </a:xfrm>
                          <a:prstGeom prst="rect">
                            <a:avLst/>
                          </a:prstGeom>
                        </pic:spPr>
                      </pic:pic>
                      <wps:wsp>
                        <wps:cNvPr id="32405" name="Rectangle 3240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2406" name="Rectangle 3240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906" style="width:41.2715pt;height:299pt;position:absolute;mso-position-horizontal-relative:page;mso-position-horizontal:absolute;margin-left:653.71pt;mso-position-vertical-relative:page;margin-top:512.92pt;" coordsize="5241,37973">
                <v:shape id="Picture 32404" style="position:absolute;width:37973;height:3556;left:-17208;top:17208;rotation:-89;" filled="f">
                  <v:imagedata r:id="rId63"/>
                </v:shape>
                <v:rect id="Rectangle 3240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40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353 </w:t>
                        </w:r>
                      </w:p>
                    </w:txbxContent>
                  </v:textbox>
                </v:rect>
                <w10:wrap type="square"/>
              </v:group>
            </w:pict>
          </mc:Fallback>
        </mc:AlternateContent>
      </w:r>
      <w:r>
        <w:rPr>
          <w:rFonts w:ascii="Arial" w:eastAsia="Arial" w:hAnsi="Arial" w:cs="Arial"/>
          <w:i/>
          <w:color w:val="202020"/>
        </w:rPr>
        <w:t>a) Una relación clasificada de los gastos e inversiones de la</w:t>
      </w:r>
      <w:r>
        <w:rPr>
          <w:rFonts w:ascii="Arial" w:eastAsia="Arial" w:hAnsi="Arial" w:cs="Arial"/>
          <w:i/>
          <w:color w:val="202020"/>
        </w:rPr>
        <w:t xml:space="preserve"> actividad, con identificación del acreedor y del documento, su importe, fecha de emisión y, en su caso, fecha de pago. En caso de que la subvención se otorgue con arreglo a un presupuesto, se indicarán las desviaciones acaecidas. </w:t>
      </w:r>
    </w:p>
    <w:p w:rsidR="00FF384B" w:rsidRDefault="003E3BA9">
      <w:pPr>
        <w:numPr>
          <w:ilvl w:val="2"/>
          <w:numId w:val="230"/>
        </w:numPr>
        <w:spacing w:after="93" w:line="248" w:lineRule="auto"/>
        <w:ind w:right="244" w:hanging="360"/>
        <w:jc w:val="both"/>
      </w:pPr>
      <w:r>
        <w:rPr>
          <w:rFonts w:ascii="Arial" w:eastAsia="Arial" w:hAnsi="Arial" w:cs="Arial"/>
          <w:i/>
          <w:color w:val="202020"/>
        </w:rPr>
        <w:t>b) Las facturas o docume</w:t>
      </w:r>
      <w:r>
        <w:rPr>
          <w:rFonts w:ascii="Arial" w:eastAsia="Arial" w:hAnsi="Arial" w:cs="Arial"/>
          <w:i/>
          <w:color w:val="202020"/>
        </w:rPr>
        <w:t>ntos de valor probatorio equivalente en el tráfico jurídico mercantil o con eficacia administrativa incorporados en la relación a que se hace referencia en el párrafo anterior y, en su caso, la documentación acreditativa del pago, por el importe de la subv</w:t>
      </w:r>
      <w:r>
        <w:rPr>
          <w:rFonts w:ascii="Arial" w:eastAsia="Arial" w:hAnsi="Arial" w:cs="Arial"/>
          <w:i/>
          <w:color w:val="202020"/>
        </w:rPr>
        <w:t xml:space="preserve">ención concedida. El Ayuntamiento podrá comprobar por muestreo el resto de los costes no acreditados. </w:t>
      </w:r>
    </w:p>
    <w:p w:rsidR="00FF384B" w:rsidRDefault="003E3BA9">
      <w:pPr>
        <w:numPr>
          <w:ilvl w:val="2"/>
          <w:numId w:val="230"/>
        </w:numPr>
        <w:spacing w:after="98" w:line="240" w:lineRule="auto"/>
        <w:ind w:right="244" w:hanging="360"/>
        <w:jc w:val="both"/>
      </w:pPr>
      <w:r>
        <w:rPr>
          <w:rFonts w:ascii="Arial" w:eastAsia="Arial" w:hAnsi="Arial" w:cs="Arial"/>
          <w:i/>
          <w:color w:val="202020"/>
        </w:rPr>
        <w:t xml:space="preserve">c) Indicación, en su caso, de los criterios de reparto de los costes generales y/o indirectos incorporados en la relación a que se hace referencia en el </w:t>
      </w:r>
      <w:r>
        <w:rPr>
          <w:rFonts w:ascii="Arial" w:eastAsia="Arial" w:hAnsi="Arial" w:cs="Arial"/>
          <w:i/>
          <w:color w:val="202020"/>
        </w:rPr>
        <w:t xml:space="preserve">apartado a), excepto en aquellos casos en que las bases reguladoras de la subvención hayan previsto su compensación mediante un tanto alzado sin necesidad de justificación. </w:t>
      </w:r>
    </w:p>
    <w:p w:rsidR="00FF384B" w:rsidRDefault="003E3BA9">
      <w:pPr>
        <w:numPr>
          <w:ilvl w:val="2"/>
          <w:numId w:val="230"/>
        </w:numPr>
        <w:spacing w:after="93" w:line="248" w:lineRule="auto"/>
        <w:ind w:right="244" w:hanging="360"/>
        <w:jc w:val="both"/>
      </w:pPr>
      <w:r>
        <w:rPr>
          <w:rFonts w:ascii="Arial" w:eastAsia="Arial" w:hAnsi="Arial" w:cs="Arial"/>
          <w:i/>
          <w:color w:val="202020"/>
        </w:rPr>
        <w:t>d) Una relación detallada de otros ingresos o subvenciones que hayan financiado la</w:t>
      </w:r>
      <w:r>
        <w:rPr>
          <w:rFonts w:ascii="Arial" w:eastAsia="Arial" w:hAnsi="Arial" w:cs="Arial"/>
          <w:i/>
          <w:color w:val="202020"/>
        </w:rPr>
        <w:t xml:space="preserve"> actividad subvencionada con indicación del importe y su procedencia. </w:t>
      </w:r>
    </w:p>
    <w:p w:rsidR="00FF384B" w:rsidRDefault="003E3BA9">
      <w:pPr>
        <w:numPr>
          <w:ilvl w:val="2"/>
          <w:numId w:val="230"/>
        </w:numPr>
        <w:spacing w:after="94" w:line="248" w:lineRule="auto"/>
        <w:ind w:right="244" w:hanging="360"/>
        <w:jc w:val="both"/>
      </w:pPr>
      <w:r>
        <w:rPr>
          <w:rFonts w:ascii="Arial" w:eastAsia="Arial" w:hAnsi="Arial" w:cs="Arial"/>
          <w:i/>
          <w:color w:val="202020"/>
        </w:rPr>
        <w:t xml:space="preserve">e) Los tres presupuestos solicitados por el beneficiario, en los supuestos que resulte obligatorio. </w:t>
      </w:r>
    </w:p>
    <w:p w:rsidR="00FF384B" w:rsidRDefault="003E3BA9">
      <w:pPr>
        <w:numPr>
          <w:ilvl w:val="2"/>
          <w:numId w:val="230"/>
        </w:numPr>
        <w:spacing w:after="90" w:line="248" w:lineRule="auto"/>
        <w:ind w:right="244" w:hanging="360"/>
        <w:jc w:val="both"/>
      </w:pPr>
      <w:r>
        <w:rPr>
          <w:rFonts w:ascii="Arial" w:eastAsia="Arial" w:hAnsi="Arial" w:cs="Arial"/>
          <w:i/>
          <w:color w:val="202020"/>
        </w:rPr>
        <w:t>f) En su caso, la carta de pago de reintegro en el supuesto de remanentes no aplicad</w:t>
      </w:r>
      <w:r>
        <w:rPr>
          <w:rFonts w:ascii="Arial" w:eastAsia="Arial" w:hAnsi="Arial" w:cs="Arial"/>
          <w:i/>
          <w:color w:val="202020"/>
        </w:rPr>
        <w:t xml:space="preserve">os así como de los intereses derivados de los mismos. </w:t>
      </w:r>
    </w:p>
    <w:p w:rsidR="00FF384B" w:rsidRDefault="003E3BA9">
      <w:pPr>
        <w:numPr>
          <w:ilvl w:val="0"/>
          <w:numId w:val="230"/>
        </w:numPr>
        <w:spacing w:after="143" w:line="248" w:lineRule="auto"/>
        <w:ind w:right="244" w:hanging="10"/>
        <w:jc w:val="both"/>
      </w:pPr>
      <w:r>
        <w:rPr>
          <w:rFonts w:ascii="Arial" w:eastAsia="Arial" w:hAnsi="Arial" w:cs="Arial"/>
          <w:i/>
          <w:color w:val="202020"/>
        </w:rPr>
        <w:t>No obstante lo anterior, cuando por razón del objeto o de la naturaleza de la subvención, no fuera preciso presentar la documentación prevista en el apartado anterior, las convocatorias de la subvenció</w:t>
      </w:r>
      <w:r>
        <w:rPr>
          <w:rFonts w:ascii="Arial" w:eastAsia="Arial" w:hAnsi="Arial" w:cs="Arial"/>
          <w:i/>
          <w:color w:val="202020"/>
        </w:rPr>
        <w:t xml:space="preserve">n determinarán el contenido de la cuenta justificativa. </w:t>
      </w:r>
    </w:p>
    <w:p w:rsidR="00FF384B" w:rsidRDefault="003E3BA9">
      <w:pPr>
        <w:spacing w:after="142" w:line="248" w:lineRule="auto"/>
        <w:ind w:left="278" w:right="244" w:hanging="10"/>
        <w:jc w:val="both"/>
      </w:pPr>
      <w:r>
        <w:rPr>
          <w:rFonts w:ascii="Arial" w:eastAsia="Arial" w:hAnsi="Arial" w:cs="Arial"/>
          <w:color w:val="202020"/>
        </w:rPr>
        <w:t xml:space="preserve">Artículo 45. Justificación mediante cuenta justificativa con aportación de informe de auditor. </w:t>
      </w:r>
    </w:p>
    <w:p w:rsidR="00FF384B" w:rsidRDefault="003E3BA9">
      <w:pPr>
        <w:numPr>
          <w:ilvl w:val="0"/>
          <w:numId w:val="231"/>
        </w:numPr>
        <w:spacing w:after="143" w:line="248" w:lineRule="auto"/>
        <w:ind w:right="244" w:hanging="10"/>
        <w:jc w:val="both"/>
      </w:pPr>
      <w:r>
        <w:rPr>
          <w:rFonts w:ascii="Arial" w:eastAsia="Arial" w:hAnsi="Arial" w:cs="Arial"/>
          <w:i/>
          <w:color w:val="202020"/>
        </w:rPr>
        <w:t>En las subvenciones concedidas por importe igual o superior a 150.000 euros, sus beneficiarios deberán justificar la misma con la aportación de un informe de auditor de cuentas inscrito como ejerciente en el Registro Oficial de Auditores de Cuentas (ROAC),</w:t>
      </w:r>
      <w:r>
        <w:rPr>
          <w:rFonts w:ascii="Arial" w:eastAsia="Arial" w:hAnsi="Arial" w:cs="Arial"/>
          <w:i/>
          <w:color w:val="202020"/>
        </w:rPr>
        <w:t xml:space="preserve"> dependiente del Instituto de Contabilidad y Auditoría de Cuentas (ICAC), salvo que en las convocatorias o en el convenio de colaboración se establezca otro procedimiento. </w:t>
      </w:r>
    </w:p>
    <w:p w:rsidR="00FF384B" w:rsidRDefault="003E3BA9">
      <w:pPr>
        <w:spacing w:after="143" w:line="248" w:lineRule="auto"/>
        <w:ind w:left="278" w:right="244" w:hanging="10"/>
        <w:jc w:val="both"/>
      </w:pPr>
      <w:r>
        <w:rPr>
          <w:rFonts w:ascii="Arial" w:eastAsia="Arial" w:hAnsi="Arial" w:cs="Arial"/>
          <w:i/>
          <w:color w:val="202020"/>
        </w:rPr>
        <w:t xml:space="preserve">La información a incorporar en este supuesto en la Cuenta Justificativa será: </w:t>
      </w:r>
    </w:p>
    <w:p w:rsidR="00FF384B" w:rsidRDefault="003E3BA9">
      <w:pPr>
        <w:numPr>
          <w:ilvl w:val="1"/>
          <w:numId w:val="231"/>
        </w:numPr>
        <w:spacing w:after="92" w:line="248" w:lineRule="auto"/>
        <w:ind w:right="244" w:hanging="10"/>
        <w:jc w:val="both"/>
      </w:pPr>
      <w:r>
        <w:rPr>
          <w:rFonts w:ascii="Arial" w:eastAsia="Arial" w:hAnsi="Arial" w:cs="Arial"/>
          <w:i/>
          <w:color w:val="202020"/>
        </w:rPr>
        <w:t>Un i</w:t>
      </w:r>
      <w:r>
        <w:rPr>
          <w:rFonts w:ascii="Arial" w:eastAsia="Arial" w:hAnsi="Arial" w:cs="Arial"/>
          <w:i/>
          <w:color w:val="202020"/>
        </w:rPr>
        <w:t xml:space="preserve">nforme de un auditor de cuentas inscrito como ejerciente en el Registro Oficial de Auditores de Cuentas dependiente del Instituto de Contabilidad y Auditoría de Cuentas. </w:t>
      </w:r>
    </w:p>
    <w:p w:rsidR="00FF384B" w:rsidRDefault="003E3BA9">
      <w:pPr>
        <w:numPr>
          <w:ilvl w:val="1"/>
          <w:numId w:val="231"/>
        </w:numPr>
        <w:spacing w:after="92" w:line="248" w:lineRule="auto"/>
        <w:ind w:right="244" w:hanging="10"/>
        <w:jc w:val="both"/>
      </w:pPr>
      <w:r>
        <w:rPr>
          <w:rFonts w:ascii="Arial" w:eastAsia="Arial" w:hAnsi="Arial" w:cs="Arial"/>
          <w:i/>
          <w:color w:val="202020"/>
        </w:rPr>
        <w:t>Memoria de actuaciones a que se refiere el apartado 1 del artículo 72 de este Reglame</w:t>
      </w:r>
      <w:r>
        <w:rPr>
          <w:rFonts w:ascii="Arial" w:eastAsia="Arial" w:hAnsi="Arial" w:cs="Arial"/>
          <w:i/>
          <w:color w:val="202020"/>
        </w:rPr>
        <w:t xml:space="preserve">nto, una memoria económica abreviada. </w:t>
      </w:r>
    </w:p>
    <w:p w:rsidR="00FF384B" w:rsidRDefault="003E3BA9">
      <w:pPr>
        <w:numPr>
          <w:ilvl w:val="1"/>
          <w:numId w:val="231"/>
        </w:numPr>
        <w:spacing w:after="92" w:line="248" w:lineRule="auto"/>
        <w:ind w:right="244" w:hanging="10"/>
        <w:jc w:val="both"/>
      </w:pPr>
      <w:r>
        <w:rPr>
          <w:rFonts w:ascii="Arial" w:eastAsia="Arial" w:hAnsi="Arial" w:cs="Arial"/>
          <w:i/>
          <w:color w:val="202020"/>
        </w:rPr>
        <w:t>Memoria económica abreviada se establecerá en las convocatorias de la subvención, si bien como mínimo contendrá un estado representativo de los gastos incurridos en la realización de las actividades subvencionadas, de</w:t>
      </w:r>
      <w:r>
        <w:rPr>
          <w:rFonts w:ascii="Arial" w:eastAsia="Arial" w:hAnsi="Arial" w:cs="Arial"/>
          <w:i/>
          <w:color w:val="202020"/>
        </w:rPr>
        <w:t xml:space="preserve">bidamente agrupados, y, en su caso, las cantidades inicialmente presupuestadas y las desviaciones acaecidas. </w:t>
      </w:r>
    </w:p>
    <w:p w:rsidR="00FF384B" w:rsidRDefault="003E3BA9">
      <w:pPr>
        <w:numPr>
          <w:ilvl w:val="1"/>
          <w:numId w:val="231"/>
        </w:numPr>
        <w:spacing w:after="95" w:line="248" w:lineRule="auto"/>
        <w:ind w:right="244" w:hanging="10"/>
        <w:jc w:val="both"/>
      </w:pPr>
      <w:r>
        <w:rPr>
          <w:rFonts w:ascii="Arial" w:eastAsia="Arial" w:hAnsi="Arial" w:cs="Arial"/>
          <w:i/>
          <w:color w:val="202020"/>
        </w:rPr>
        <w:t xml:space="preserve">Relación de facturas y documentos incluidos y comprobados en el informe del auditor. </w:t>
      </w:r>
    </w:p>
    <w:p w:rsidR="00FF384B" w:rsidRDefault="003E3BA9">
      <w:pPr>
        <w:numPr>
          <w:ilvl w:val="0"/>
          <w:numId w:val="231"/>
        </w:numPr>
        <w:spacing w:after="143" w:line="248" w:lineRule="auto"/>
        <w:ind w:right="244" w:hanging="10"/>
        <w:jc w:val="both"/>
      </w:pPr>
      <w:r>
        <w:rPr>
          <w:noProof/>
        </w:rPr>
        <mc:AlternateContent>
          <mc:Choice Requires="wpg">
            <w:drawing>
              <wp:anchor distT="0" distB="0" distL="114300" distR="114300" simplePos="0" relativeHeight="2518405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847" name="Group 4748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548" name="Picture 32548"/>
                          <pic:cNvPicPr/>
                        </pic:nvPicPr>
                        <pic:blipFill>
                          <a:blip r:embed="rId62"/>
                          <a:stretch>
                            <a:fillRect/>
                          </a:stretch>
                        </pic:blipFill>
                        <pic:spPr>
                          <a:xfrm rot="-5399999">
                            <a:off x="-1720849" y="1720849"/>
                            <a:ext cx="3797300" cy="355601"/>
                          </a:xfrm>
                          <a:prstGeom prst="rect">
                            <a:avLst/>
                          </a:prstGeom>
                        </pic:spPr>
                      </pic:pic>
                      <wps:wsp>
                        <wps:cNvPr id="32549" name="Rectangle 3254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2550" name="Rectangle 3255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847" style="width:41.2715pt;height:299pt;position:absolute;mso-position-horizontal-relative:page;mso-position-horizontal:absolute;margin-left:653.71pt;mso-position-vertical-relative:page;margin-top:512.92pt;" coordsize="5241,37973">
                <v:shape id="Picture 32548" style="position:absolute;width:37973;height:3556;left:-17208;top:17208;rotation:-89;" filled="f">
                  <v:imagedata r:id="rId63"/>
                </v:shape>
                <v:rect id="Rectangle 3254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55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353 </w:t>
                        </w:r>
                      </w:p>
                    </w:txbxContent>
                  </v:textbox>
                </v:rect>
                <w10:wrap type="square"/>
              </v:group>
            </w:pict>
          </mc:Fallback>
        </mc:AlternateContent>
      </w:r>
      <w:r>
        <w:rPr>
          <w:rFonts w:ascii="Arial" w:eastAsia="Arial" w:hAnsi="Arial" w:cs="Arial"/>
          <w:i/>
          <w:color w:val="202020"/>
        </w:rPr>
        <w:t xml:space="preserve">En aquellos casos en que el beneficiario esté obligado a auditar sus cuentas anuales por un auditor sometido a la Ley </w:t>
      </w:r>
      <w:r>
        <w:rPr>
          <w:rFonts w:ascii="Arial" w:eastAsia="Arial" w:hAnsi="Arial" w:cs="Arial"/>
          <w:i/>
          <w:color w:val="202020"/>
        </w:rPr>
        <w:t xml:space="preserve">19/1988, de 12 de julio, de Auditoría de Cuentas, la revisión de la cuenta justificativa se llevará a cabo por el mismo auditor, salvo que las convocatorias prevean el nombramiento de otro auditor. </w:t>
      </w:r>
    </w:p>
    <w:p w:rsidR="00FF384B" w:rsidRDefault="003E3BA9">
      <w:pPr>
        <w:numPr>
          <w:ilvl w:val="0"/>
          <w:numId w:val="231"/>
        </w:numPr>
        <w:spacing w:after="143" w:line="248" w:lineRule="auto"/>
        <w:ind w:right="244" w:hanging="10"/>
        <w:jc w:val="both"/>
      </w:pPr>
      <w:r>
        <w:rPr>
          <w:rFonts w:ascii="Arial" w:eastAsia="Arial" w:hAnsi="Arial" w:cs="Arial"/>
          <w:i/>
          <w:color w:val="202020"/>
        </w:rPr>
        <w:t xml:space="preserve">En el supuesto en que el beneficiario no esté obligado a </w:t>
      </w:r>
      <w:r>
        <w:rPr>
          <w:rFonts w:ascii="Arial" w:eastAsia="Arial" w:hAnsi="Arial" w:cs="Arial"/>
          <w:i/>
          <w:color w:val="202020"/>
        </w:rPr>
        <w:t>auditar sus cuentas anuales, la designación del auditor de cuentas será realizada por él, salvo que las convocatorias de la subvención prevean su nombramiento por el órgano concedente. El gasto derivado de la revisión de la cuenta justificativa tendrá la c</w:t>
      </w:r>
      <w:r>
        <w:rPr>
          <w:rFonts w:ascii="Arial" w:eastAsia="Arial" w:hAnsi="Arial" w:cs="Arial"/>
          <w:i/>
          <w:color w:val="202020"/>
        </w:rPr>
        <w:t xml:space="preserve">ondición de gasto subvencionable hasta el límite que en ellas se fije en la convocatoria. </w:t>
      </w:r>
    </w:p>
    <w:p w:rsidR="00FF384B" w:rsidRDefault="003E3BA9">
      <w:pPr>
        <w:numPr>
          <w:ilvl w:val="0"/>
          <w:numId w:val="231"/>
        </w:numPr>
        <w:spacing w:after="143" w:line="248" w:lineRule="auto"/>
        <w:ind w:right="244" w:hanging="10"/>
        <w:jc w:val="both"/>
      </w:pPr>
      <w:r>
        <w:rPr>
          <w:rFonts w:ascii="Arial" w:eastAsia="Arial" w:hAnsi="Arial" w:cs="Arial"/>
          <w:i/>
          <w:color w:val="202020"/>
        </w:rPr>
        <w:t>El beneficiario estará obligado a poner a disposición del auditor de cuentas cuantos libros, registros y documentos le sean exigibles en aplicación de lo dispuesto e</w:t>
      </w:r>
      <w:r>
        <w:rPr>
          <w:rFonts w:ascii="Arial" w:eastAsia="Arial" w:hAnsi="Arial" w:cs="Arial"/>
          <w:i/>
          <w:color w:val="202020"/>
        </w:rPr>
        <w:t xml:space="preserve">n la normativa vigente, así como a conservarlos al objeto de las actuaciones de comprobación y control previstas es esta Ordenanza. </w:t>
      </w:r>
    </w:p>
    <w:p w:rsidR="00FF384B" w:rsidRDefault="003E3BA9">
      <w:pPr>
        <w:spacing w:after="129"/>
        <w:ind w:left="283"/>
      </w:pPr>
      <w:r>
        <w:rPr>
          <w:rFonts w:ascii="Arial" w:eastAsia="Arial" w:hAnsi="Arial" w:cs="Arial"/>
          <w:i/>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46. Cuenta justificativa simplificada. </w:t>
      </w:r>
    </w:p>
    <w:p w:rsidR="00FF384B" w:rsidRDefault="003E3BA9">
      <w:pPr>
        <w:numPr>
          <w:ilvl w:val="0"/>
          <w:numId w:val="232"/>
        </w:numPr>
        <w:spacing w:after="143" w:line="248" w:lineRule="auto"/>
        <w:ind w:right="244" w:hanging="247"/>
        <w:jc w:val="both"/>
      </w:pPr>
      <w:r>
        <w:rPr>
          <w:rFonts w:ascii="Arial" w:eastAsia="Arial" w:hAnsi="Arial" w:cs="Arial"/>
          <w:i/>
          <w:color w:val="202020"/>
        </w:rPr>
        <w:t>Las subvenciones concedidas por procedimiento simplificado, podrá tener carácter de documento con validez jurídica para la justificación de la subvención, la cuenta justificativa regulada en este artículo, siempre que así se haya previsto en la convocatori</w:t>
      </w:r>
      <w:r>
        <w:rPr>
          <w:rFonts w:ascii="Arial" w:eastAsia="Arial" w:hAnsi="Arial" w:cs="Arial"/>
          <w:i/>
          <w:color w:val="202020"/>
        </w:rPr>
        <w:t xml:space="preserve">a de la subvención. </w:t>
      </w:r>
    </w:p>
    <w:p w:rsidR="00FF384B" w:rsidRDefault="003E3BA9">
      <w:pPr>
        <w:numPr>
          <w:ilvl w:val="0"/>
          <w:numId w:val="232"/>
        </w:numPr>
        <w:spacing w:after="143" w:line="248" w:lineRule="auto"/>
        <w:ind w:right="244" w:hanging="247"/>
        <w:jc w:val="both"/>
      </w:pPr>
      <w:r>
        <w:rPr>
          <w:rFonts w:ascii="Arial" w:eastAsia="Arial" w:hAnsi="Arial" w:cs="Arial"/>
          <w:i/>
          <w:color w:val="202020"/>
        </w:rPr>
        <w:t xml:space="preserve">La cuenta justificativa contendrá la siguiente información: </w:t>
      </w:r>
    </w:p>
    <w:p w:rsidR="00FF384B" w:rsidRDefault="003E3BA9">
      <w:pPr>
        <w:numPr>
          <w:ilvl w:val="1"/>
          <w:numId w:val="232"/>
        </w:numPr>
        <w:spacing w:after="98" w:line="240" w:lineRule="auto"/>
        <w:ind w:right="244" w:hanging="10"/>
        <w:jc w:val="both"/>
      </w:pPr>
      <w:r>
        <w:rPr>
          <w:rFonts w:ascii="Arial" w:eastAsia="Arial" w:hAnsi="Arial" w:cs="Arial"/>
          <w:i/>
          <w:color w:val="202020"/>
        </w:rPr>
        <w:t xml:space="preserve">Una memoria de actuación justificativa del cumplimiento de las condiciones </w:t>
      </w:r>
      <w:r>
        <w:rPr>
          <w:rFonts w:ascii="Arial" w:eastAsia="Arial" w:hAnsi="Arial" w:cs="Arial"/>
          <w:i/>
          <w:color w:val="202020"/>
        </w:rPr>
        <w:t xml:space="preserve">impuestas en la concesión de la subvención, con indicación de las actividades realizadas y de los resultados obtenidos. </w:t>
      </w:r>
    </w:p>
    <w:p w:rsidR="00FF384B" w:rsidRDefault="003E3BA9">
      <w:pPr>
        <w:numPr>
          <w:ilvl w:val="1"/>
          <w:numId w:val="232"/>
        </w:numPr>
        <w:spacing w:after="92" w:line="248" w:lineRule="auto"/>
        <w:ind w:right="244" w:hanging="10"/>
        <w:jc w:val="both"/>
      </w:pPr>
      <w:r>
        <w:rPr>
          <w:rFonts w:ascii="Arial" w:eastAsia="Arial" w:hAnsi="Arial" w:cs="Arial"/>
          <w:i/>
          <w:color w:val="202020"/>
        </w:rPr>
        <w:t>Una relación clasificada de los gastos de la actividad, con identificación del acreedor y del documento, su importe, fecha de emisión y</w:t>
      </w:r>
      <w:r>
        <w:rPr>
          <w:rFonts w:ascii="Arial" w:eastAsia="Arial" w:hAnsi="Arial" w:cs="Arial"/>
          <w:i/>
          <w:color w:val="202020"/>
        </w:rPr>
        <w:t xml:space="preserve"> fecha de pago. En caso de que la subvención se otorgue con arreglo a un presupuesto estimado, se indicarán las desviaciones acaecidas. </w:t>
      </w:r>
    </w:p>
    <w:p w:rsidR="00FF384B" w:rsidRDefault="003E3BA9">
      <w:pPr>
        <w:numPr>
          <w:ilvl w:val="1"/>
          <w:numId w:val="232"/>
        </w:numPr>
        <w:spacing w:after="95" w:line="248" w:lineRule="auto"/>
        <w:ind w:right="244" w:hanging="10"/>
        <w:jc w:val="both"/>
      </w:pPr>
      <w:r>
        <w:rPr>
          <w:rFonts w:ascii="Arial" w:eastAsia="Arial" w:hAnsi="Arial" w:cs="Arial"/>
          <w:i/>
          <w:color w:val="202020"/>
        </w:rPr>
        <w:t>Detalle de otros ingresos o subvenciones que hayan financiado la actividad subvencionada con indicación del importe y s</w:t>
      </w:r>
      <w:r>
        <w:rPr>
          <w:rFonts w:ascii="Arial" w:eastAsia="Arial" w:hAnsi="Arial" w:cs="Arial"/>
          <w:i/>
          <w:color w:val="202020"/>
        </w:rPr>
        <w:t xml:space="preserve">u procedencia. </w:t>
      </w:r>
    </w:p>
    <w:p w:rsidR="00FF384B" w:rsidRDefault="003E3BA9">
      <w:pPr>
        <w:numPr>
          <w:ilvl w:val="1"/>
          <w:numId w:val="232"/>
        </w:numPr>
        <w:spacing w:after="92" w:line="248" w:lineRule="auto"/>
        <w:ind w:right="244" w:hanging="10"/>
        <w:jc w:val="both"/>
      </w:pPr>
      <w:r>
        <w:rPr>
          <w:rFonts w:ascii="Arial" w:eastAsia="Arial" w:hAnsi="Arial" w:cs="Arial"/>
          <w:i/>
          <w:color w:val="202020"/>
        </w:rPr>
        <w:t xml:space="preserve">En su caso, carta de pago de reintegro en el supuesto de remanentes no aplicados, así como de los intereses derivados de los mismos. </w:t>
      </w:r>
    </w:p>
    <w:p w:rsidR="00FF384B" w:rsidRDefault="003E3BA9">
      <w:pPr>
        <w:numPr>
          <w:ilvl w:val="0"/>
          <w:numId w:val="232"/>
        </w:numPr>
        <w:spacing w:after="143" w:line="248" w:lineRule="auto"/>
        <w:ind w:right="244" w:hanging="247"/>
        <w:jc w:val="both"/>
      </w:pPr>
      <w:r>
        <w:rPr>
          <w:rFonts w:ascii="Arial" w:eastAsia="Arial" w:hAnsi="Arial" w:cs="Arial"/>
          <w:i/>
          <w:color w:val="202020"/>
        </w:rPr>
        <w:t>Así mismo, esta cuenta se aplicará a la concesión de subvenciones por importe igual o inferior a 3000 euro</w:t>
      </w:r>
      <w:r>
        <w:rPr>
          <w:rFonts w:ascii="Arial" w:eastAsia="Arial" w:hAnsi="Arial" w:cs="Arial"/>
          <w:i/>
          <w:color w:val="202020"/>
        </w:rPr>
        <w:t xml:space="preserve">s, siempre que así se haya previsto en las convocatorias, convenio o resolución de la subvención. Esta cantidad podrá ser modificada anualmente en las bases de ejecución del Presupuesto municipal. </w:t>
      </w:r>
    </w:p>
    <w:p w:rsidR="00FF384B" w:rsidRDefault="003E3BA9">
      <w:pPr>
        <w:spacing w:after="142" w:line="248" w:lineRule="auto"/>
        <w:ind w:left="278" w:right="244" w:hanging="10"/>
        <w:jc w:val="both"/>
      </w:pPr>
      <w:r>
        <w:rPr>
          <w:rFonts w:ascii="Arial" w:eastAsia="Arial" w:hAnsi="Arial" w:cs="Arial"/>
          <w:color w:val="202020"/>
        </w:rPr>
        <w:t xml:space="preserve">Artículo 47. Justificación mediante módulos. </w:t>
      </w:r>
    </w:p>
    <w:p w:rsidR="00FF384B" w:rsidRDefault="003E3BA9">
      <w:pPr>
        <w:numPr>
          <w:ilvl w:val="0"/>
          <w:numId w:val="233"/>
        </w:numPr>
        <w:spacing w:after="143" w:line="248" w:lineRule="auto"/>
        <w:ind w:right="244" w:hanging="10"/>
        <w:jc w:val="both"/>
      </w:pPr>
      <w:r>
        <w:rPr>
          <w:rFonts w:ascii="Arial" w:eastAsia="Arial" w:hAnsi="Arial" w:cs="Arial"/>
          <w:i/>
          <w:color w:val="202020"/>
        </w:rPr>
        <w:t>La justifica</w:t>
      </w:r>
      <w:r>
        <w:rPr>
          <w:rFonts w:ascii="Arial" w:eastAsia="Arial" w:hAnsi="Arial" w:cs="Arial"/>
          <w:i/>
          <w:color w:val="202020"/>
        </w:rPr>
        <w:t>ción de subvenciones mediante módulos únicamente se aplicarán si así se establece expresamente en las convocatorias de subvenciones, en los convenios de colaboración y resoluciones de concesión. En tal supuesto, las convocatorias o los convenios deberán cu</w:t>
      </w:r>
      <w:r>
        <w:rPr>
          <w:rFonts w:ascii="Arial" w:eastAsia="Arial" w:hAnsi="Arial" w:cs="Arial"/>
          <w:i/>
          <w:color w:val="202020"/>
        </w:rPr>
        <w:t xml:space="preserve">mplir los siguientes requisitos: </w:t>
      </w:r>
    </w:p>
    <w:p w:rsidR="00FF384B" w:rsidRDefault="003E3BA9">
      <w:pPr>
        <w:numPr>
          <w:ilvl w:val="2"/>
          <w:numId w:val="234"/>
        </w:numPr>
        <w:spacing w:after="92" w:line="248" w:lineRule="auto"/>
        <w:ind w:right="244" w:hanging="10"/>
        <w:jc w:val="both"/>
      </w:pPr>
      <w:r>
        <w:rPr>
          <w:noProof/>
        </w:rPr>
        <mc:AlternateContent>
          <mc:Choice Requires="wpg">
            <w:drawing>
              <wp:anchor distT="0" distB="0" distL="114300" distR="114300" simplePos="0" relativeHeight="2518415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4908" name="Group 47490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695" name="Picture 32695"/>
                          <pic:cNvPicPr/>
                        </pic:nvPicPr>
                        <pic:blipFill>
                          <a:blip r:embed="rId62"/>
                          <a:stretch>
                            <a:fillRect/>
                          </a:stretch>
                        </pic:blipFill>
                        <pic:spPr>
                          <a:xfrm rot="-5399999">
                            <a:off x="-1720849" y="1720849"/>
                            <a:ext cx="3797300" cy="355601"/>
                          </a:xfrm>
                          <a:prstGeom prst="rect">
                            <a:avLst/>
                          </a:prstGeom>
                        </pic:spPr>
                      </pic:pic>
                      <wps:wsp>
                        <wps:cNvPr id="32696" name="Rectangle 3269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2697" name="Rectangle 3269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178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4908" style="width:41.2715pt;height:299pt;position:absolute;mso-position-horizontal-relative:page;mso-position-horizontal:absolute;margin-left:653.71pt;mso-position-vertical-relative:page;margin-top:512.92pt;" coordsize="5241,37973">
                <v:shape id="Picture 32695" style="position:absolute;width:37973;height:3556;left:-17208;top:17208;rotation:-89;" filled="f">
                  <v:imagedata r:id="rId63"/>
                </v:shape>
                <v:rect id="Rectangle 3269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69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353 </w:t>
                        </w:r>
                      </w:p>
                    </w:txbxContent>
                  </v:textbox>
                </v:rect>
                <w10:wrap type="square"/>
              </v:group>
            </w:pict>
          </mc:Fallback>
        </mc:AlternateContent>
      </w:r>
      <w:r>
        <w:rPr>
          <w:rFonts w:ascii="Arial" w:eastAsia="Arial" w:hAnsi="Arial" w:cs="Arial"/>
          <w:i/>
          <w:color w:val="202020"/>
        </w:rPr>
        <w:t xml:space="preserve">Que la actividad a subvencionar o los recursos necesarios para su realización sean medibles en unidades físicas. </w:t>
      </w:r>
    </w:p>
    <w:p w:rsidR="00FF384B" w:rsidRDefault="003E3BA9">
      <w:pPr>
        <w:numPr>
          <w:ilvl w:val="2"/>
          <w:numId w:val="234"/>
        </w:numPr>
        <w:spacing w:after="92" w:line="248" w:lineRule="auto"/>
        <w:ind w:right="244" w:hanging="10"/>
        <w:jc w:val="both"/>
      </w:pPr>
      <w:r>
        <w:rPr>
          <w:rFonts w:ascii="Arial" w:eastAsia="Arial" w:hAnsi="Arial" w:cs="Arial"/>
          <w:i/>
          <w:color w:val="202020"/>
        </w:rPr>
        <w:t xml:space="preserve">Que exista una evidencia o referencia del valor de mercado de la actividad a subvencionar o, en su caso, del de los recursos a emplear. </w:t>
      </w:r>
    </w:p>
    <w:p w:rsidR="00FF384B" w:rsidRDefault="003E3BA9">
      <w:pPr>
        <w:numPr>
          <w:ilvl w:val="2"/>
          <w:numId w:val="234"/>
        </w:numPr>
        <w:spacing w:after="93" w:line="248" w:lineRule="auto"/>
        <w:ind w:right="244" w:hanging="10"/>
        <w:jc w:val="both"/>
      </w:pPr>
      <w:r>
        <w:rPr>
          <w:rFonts w:ascii="Arial" w:eastAsia="Arial" w:hAnsi="Arial" w:cs="Arial"/>
          <w:i/>
          <w:color w:val="202020"/>
        </w:rPr>
        <w:t>Que e</w:t>
      </w:r>
      <w:r>
        <w:rPr>
          <w:rFonts w:ascii="Arial" w:eastAsia="Arial" w:hAnsi="Arial" w:cs="Arial"/>
          <w:i/>
          <w:color w:val="202020"/>
        </w:rPr>
        <w:t>l coste unitario de los módulos, podrá contener una parte fija y otra variable en función del nivel de actividad, que se determinará sobre la base de un informe técnico motivado, en el que se contemplarán las variables técnicas, económicas y financieras qu</w:t>
      </w:r>
      <w:r>
        <w:rPr>
          <w:rFonts w:ascii="Arial" w:eastAsia="Arial" w:hAnsi="Arial" w:cs="Arial"/>
          <w:i/>
          <w:color w:val="202020"/>
        </w:rPr>
        <w:t xml:space="preserve">e se han tenido en cuenta para la determinación del módulo, sobre la base de valores medios de mercado estimados para la realización de la actividad o del servicio objeto de la subvención. </w:t>
      </w:r>
    </w:p>
    <w:p w:rsidR="00FF384B" w:rsidRDefault="003E3BA9">
      <w:pPr>
        <w:numPr>
          <w:ilvl w:val="0"/>
          <w:numId w:val="233"/>
        </w:numPr>
        <w:spacing w:after="143" w:line="248" w:lineRule="auto"/>
        <w:ind w:right="244" w:hanging="10"/>
        <w:jc w:val="both"/>
      </w:pPr>
      <w:r>
        <w:rPr>
          <w:rFonts w:ascii="Arial" w:eastAsia="Arial" w:hAnsi="Arial" w:cs="Arial"/>
          <w:i/>
          <w:color w:val="202020"/>
        </w:rPr>
        <w:t>Cuando las convocatorias prevean el régimen de concesión y justifi</w:t>
      </w:r>
      <w:r>
        <w:rPr>
          <w:rFonts w:ascii="Arial" w:eastAsia="Arial" w:hAnsi="Arial" w:cs="Arial"/>
          <w:i/>
          <w:color w:val="202020"/>
        </w:rPr>
        <w:t xml:space="preserve">cación a través de módulos, la concreción de los mismos y la elaboración del informe técnico podrá realizarse de forma diferenciada para cada convocatoria. </w:t>
      </w:r>
    </w:p>
    <w:p w:rsidR="00FF384B" w:rsidRDefault="003E3BA9">
      <w:pPr>
        <w:numPr>
          <w:ilvl w:val="0"/>
          <w:numId w:val="233"/>
        </w:numPr>
        <w:spacing w:after="143" w:line="248" w:lineRule="auto"/>
        <w:ind w:right="244" w:hanging="10"/>
        <w:jc w:val="both"/>
      </w:pPr>
      <w:r>
        <w:rPr>
          <w:rFonts w:ascii="Arial" w:eastAsia="Arial" w:hAnsi="Arial" w:cs="Arial"/>
          <w:i/>
          <w:color w:val="202020"/>
        </w:rPr>
        <w:t xml:space="preserve">Cuando por circunstancias sobrevenidas se produzca una modificación de las condiciones económicas, </w:t>
      </w:r>
      <w:r>
        <w:rPr>
          <w:rFonts w:ascii="Arial" w:eastAsia="Arial" w:hAnsi="Arial" w:cs="Arial"/>
          <w:i/>
          <w:color w:val="202020"/>
        </w:rPr>
        <w:t xml:space="preserve">financieras o técnicas tenidas en cuenta para el establecimiento y actualización de los módulos, el órgano competente aprobará la revisión del importe de los mismos, motivada a través del pertinente informe técnico. </w:t>
      </w:r>
    </w:p>
    <w:p w:rsidR="00FF384B" w:rsidRDefault="003E3BA9">
      <w:pPr>
        <w:numPr>
          <w:ilvl w:val="0"/>
          <w:numId w:val="233"/>
        </w:numPr>
        <w:spacing w:after="143" w:line="248" w:lineRule="auto"/>
        <w:ind w:right="244" w:hanging="10"/>
        <w:jc w:val="both"/>
      </w:pPr>
      <w:r>
        <w:rPr>
          <w:rFonts w:ascii="Arial" w:eastAsia="Arial" w:hAnsi="Arial" w:cs="Arial"/>
          <w:i/>
          <w:color w:val="202020"/>
        </w:rPr>
        <w:t>La justificación a través de módulos, s</w:t>
      </w:r>
      <w:r>
        <w:rPr>
          <w:rFonts w:ascii="Arial" w:eastAsia="Arial" w:hAnsi="Arial" w:cs="Arial"/>
          <w:i/>
          <w:color w:val="202020"/>
        </w:rPr>
        <w:t xml:space="preserve">e llevará mediante la presentación de la siguiente documentación: </w:t>
      </w:r>
    </w:p>
    <w:p w:rsidR="00FF384B" w:rsidRDefault="003E3BA9">
      <w:pPr>
        <w:numPr>
          <w:ilvl w:val="1"/>
          <w:numId w:val="233"/>
        </w:numPr>
        <w:spacing w:after="143" w:line="248" w:lineRule="auto"/>
        <w:ind w:right="244" w:hanging="360"/>
        <w:jc w:val="both"/>
      </w:pPr>
      <w:r>
        <w:rPr>
          <w:rFonts w:ascii="Arial" w:eastAsia="Arial" w:hAnsi="Arial" w:cs="Arial"/>
          <w:i/>
          <w:color w:val="202020"/>
        </w:rPr>
        <w:t>a) Una memoria de actuación justificativa del cumplimiento de las condiciones impuestas en la concesión de la subvención, con indicación de las actividades realizadas y de los resultados ob</w:t>
      </w:r>
      <w:r>
        <w:rPr>
          <w:rFonts w:ascii="Arial" w:eastAsia="Arial" w:hAnsi="Arial" w:cs="Arial"/>
          <w:i/>
          <w:color w:val="202020"/>
        </w:rPr>
        <w:t xml:space="preserve">tenidos. </w:t>
      </w:r>
    </w:p>
    <w:p w:rsidR="00FF384B" w:rsidRDefault="003E3BA9">
      <w:pPr>
        <w:numPr>
          <w:ilvl w:val="1"/>
          <w:numId w:val="233"/>
        </w:numPr>
        <w:spacing w:after="93" w:line="248" w:lineRule="auto"/>
        <w:ind w:right="244" w:hanging="360"/>
        <w:jc w:val="both"/>
      </w:pPr>
      <w:r>
        <w:rPr>
          <w:rFonts w:ascii="Arial" w:eastAsia="Arial" w:hAnsi="Arial" w:cs="Arial"/>
          <w:i/>
          <w:color w:val="202020"/>
        </w:rPr>
        <w:t xml:space="preserve">b) Una memoria económica justificativa que contendrá, como mínimo los siguientes extremos: </w:t>
      </w:r>
    </w:p>
    <w:p w:rsidR="00FF384B" w:rsidRDefault="003E3BA9">
      <w:pPr>
        <w:numPr>
          <w:ilvl w:val="3"/>
          <w:numId w:val="235"/>
        </w:numPr>
        <w:spacing w:after="92" w:line="248" w:lineRule="auto"/>
        <w:ind w:right="244" w:hanging="360"/>
        <w:jc w:val="both"/>
      </w:pPr>
      <w:r>
        <w:rPr>
          <w:rFonts w:ascii="Arial" w:eastAsia="Arial" w:hAnsi="Arial" w:cs="Arial"/>
          <w:i/>
          <w:color w:val="202020"/>
        </w:rPr>
        <w:t xml:space="preserve">1 Acreditación o, en su defecto, declaración del beneficiario sobre el número de unidades físicas consideradas como módulo. </w:t>
      </w:r>
    </w:p>
    <w:p w:rsidR="00FF384B" w:rsidRDefault="003E3BA9">
      <w:pPr>
        <w:numPr>
          <w:ilvl w:val="3"/>
          <w:numId w:val="235"/>
        </w:numPr>
        <w:spacing w:after="93" w:line="248" w:lineRule="auto"/>
        <w:ind w:right="244" w:hanging="360"/>
        <w:jc w:val="both"/>
      </w:pPr>
      <w:r>
        <w:rPr>
          <w:rFonts w:ascii="Arial" w:eastAsia="Arial" w:hAnsi="Arial" w:cs="Arial"/>
          <w:i/>
          <w:color w:val="202020"/>
        </w:rPr>
        <w:t xml:space="preserve">2 Cuantía de la subvención calculada sobre la base de las actividades cuantificadas en la memoria de actuación y los módulos contemplados en las bases reguladoras o, en su caso, en órdenes de convocatoria. </w:t>
      </w:r>
    </w:p>
    <w:p w:rsidR="00FF384B" w:rsidRDefault="003E3BA9">
      <w:pPr>
        <w:numPr>
          <w:ilvl w:val="3"/>
          <w:numId w:val="235"/>
        </w:numPr>
        <w:spacing w:after="143" w:line="248" w:lineRule="auto"/>
        <w:ind w:right="244" w:hanging="360"/>
        <w:jc w:val="both"/>
      </w:pPr>
      <w:r>
        <w:rPr>
          <w:rFonts w:ascii="Arial" w:eastAsia="Arial" w:hAnsi="Arial" w:cs="Arial"/>
          <w:i/>
          <w:color w:val="202020"/>
        </w:rPr>
        <w:t>3 Detalle de otros ingresos o subvenciones que ha</w:t>
      </w:r>
      <w:r>
        <w:rPr>
          <w:rFonts w:ascii="Arial" w:eastAsia="Arial" w:hAnsi="Arial" w:cs="Arial"/>
          <w:i/>
          <w:color w:val="202020"/>
        </w:rPr>
        <w:t xml:space="preserve">yan financiado la actividad subvencionada con indicación del importe y su procedencia. </w:t>
      </w:r>
    </w:p>
    <w:p w:rsidR="00FF384B" w:rsidRDefault="003E3BA9">
      <w:pPr>
        <w:spacing w:after="142" w:line="248" w:lineRule="auto"/>
        <w:ind w:left="278" w:right="244" w:hanging="10"/>
        <w:jc w:val="both"/>
      </w:pPr>
      <w:r>
        <w:rPr>
          <w:rFonts w:ascii="Arial" w:eastAsia="Arial" w:hAnsi="Arial" w:cs="Arial"/>
          <w:color w:val="202020"/>
        </w:rPr>
        <w:t xml:space="preserve">Artículo 48. Justificación mediante presentación de estados contables. </w:t>
      </w:r>
    </w:p>
    <w:p w:rsidR="00FF384B" w:rsidRDefault="003E3BA9">
      <w:pPr>
        <w:numPr>
          <w:ilvl w:val="0"/>
          <w:numId w:val="236"/>
        </w:numPr>
        <w:spacing w:after="143" w:line="248" w:lineRule="auto"/>
        <w:ind w:right="244" w:hanging="10"/>
        <w:jc w:val="both"/>
      </w:pPr>
      <w:r>
        <w:rPr>
          <w:rFonts w:ascii="Arial" w:eastAsia="Arial" w:hAnsi="Arial" w:cs="Arial"/>
          <w:i/>
          <w:color w:val="202020"/>
        </w:rPr>
        <w:t xml:space="preserve">Las convocatorias, convenio o resolución podrán prever que la subvención se justifique mediante </w:t>
      </w:r>
      <w:r>
        <w:rPr>
          <w:rFonts w:ascii="Arial" w:eastAsia="Arial" w:hAnsi="Arial" w:cs="Arial"/>
          <w:i/>
          <w:color w:val="202020"/>
        </w:rPr>
        <w:t xml:space="preserve">la presentación de estados contables cuando: </w:t>
      </w:r>
    </w:p>
    <w:p w:rsidR="00FF384B" w:rsidRDefault="003E3BA9">
      <w:pPr>
        <w:numPr>
          <w:ilvl w:val="1"/>
          <w:numId w:val="236"/>
        </w:numPr>
        <w:spacing w:after="95" w:line="248" w:lineRule="auto"/>
        <w:ind w:right="244" w:hanging="360"/>
        <w:jc w:val="both"/>
      </w:pPr>
      <w:r>
        <w:rPr>
          <w:rFonts w:ascii="Arial" w:eastAsia="Arial" w:hAnsi="Arial" w:cs="Arial"/>
          <w:i/>
          <w:color w:val="202020"/>
        </w:rPr>
        <w:t>a) La información necesaria para determinar la cuantía de la subvención pueda deducirse directamente de los estados financieros incorporados a la información contable de obligada preparación por el beneficiario</w:t>
      </w:r>
      <w:r>
        <w:rPr>
          <w:rFonts w:ascii="Arial" w:eastAsia="Arial" w:hAnsi="Arial" w:cs="Arial"/>
          <w:i/>
          <w:color w:val="202020"/>
        </w:rPr>
        <w:t xml:space="preserve">. </w:t>
      </w:r>
    </w:p>
    <w:p w:rsidR="00FF384B" w:rsidRDefault="003E3BA9">
      <w:pPr>
        <w:numPr>
          <w:ilvl w:val="1"/>
          <w:numId w:val="236"/>
        </w:numPr>
        <w:spacing w:after="93" w:line="248" w:lineRule="auto"/>
        <w:ind w:right="244" w:hanging="360"/>
        <w:jc w:val="both"/>
      </w:pPr>
      <w:r>
        <w:rPr>
          <w:rFonts w:ascii="Arial" w:eastAsia="Arial" w:hAnsi="Arial" w:cs="Arial"/>
          <w:i/>
          <w:color w:val="202020"/>
        </w:rPr>
        <w:t xml:space="preserve">b) La citada información contable haya sido auditada conforme al sistema previsto en el ordenamiento jurídico al que esté sometido el beneficiario. </w:t>
      </w:r>
    </w:p>
    <w:p w:rsidR="00FF384B" w:rsidRDefault="003E3BA9">
      <w:pPr>
        <w:numPr>
          <w:ilvl w:val="0"/>
          <w:numId w:val="236"/>
        </w:numPr>
        <w:spacing w:after="143" w:line="248" w:lineRule="auto"/>
        <w:ind w:right="244" w:hanging="10"/>
        <w:jc w:val="both"/>
      </w:pPr>
      <w:r>
        <w:rPr>
          <w:noProof/>
        </w:rPr>
        <mc:AlternateContent>
          <mc:Choice Requires="wpg">
            <w:drawing>
              <wp:anchor distT="0" distB="0" distL="114300" distR="114300" simplePos="0" relativeHeight="2518425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5411" name="Group 4754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2852" name="Picture 32852"/>
                          <pic:cNvPicPr/>
                        </pic:nvPicPr>
                        <pic:blipFill>
                          <a:blip r:embed="rId62"/>
                          <a:stretch>
                            <a:fillRect/>
                          </a:stretch>
                        </pic:blipFill>
                        <pic:spPr>
                          <a:xfrm rot="-5399999">
                            <a:off x="-1720849" y="1720849"/>
                            <a:ext cx="3797300" cy="355601"/>
                          </a:xfrm>
                          <a:prstGeom prst="rect">
                            <a:avLst/>
                          </a:prstGeom>
                        </pic:spPr>
                      </pic:pic>
                      <wps:wsp>
                        <wps:cNvPr id="32853" name="Rectangle 3285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2854" name="Rectangle 3285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w:t>
                              </w:r>
                              <w:r>
                                <w:rPr>
                                  <w:rFonts w:ascii="Arial" w:eastAsia="Arial" w:hAnsi="Arial" w:cs="Arial"/>
                                  <w:sz w:val="12"/>
                                </w:rPr>
                                <w:t xml:space="preserve">ocumento firmado electrónicamente desde la plataforma esPublico Gestiona | Página 179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5411" style="width:41.2715pt;height:299pt;position:absolute;mso-position-horizontal-relative:page;mso-position-horizontal:absolute;margin-left:653.71pt;mso-position-vertical-relative:page;margin-top:512.92pt;" coordsize="5241,37973">
                <v:shape id="Picture 32852" style="position:absolute;width:37973;height:3556;left:-17208;top:17208;rotation:-89;" filled="f">
                  <v:imagedata r:id="rId63"/>
                </v:shape>
                <v:rect id="Rectangle 3285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285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353 </w:t>
                        </w:r>
                      </w:p>
                    </w:txbxContent>
                  </v:textbox>
                </v:rect>
                <w10:wrap type="square"/>
              </v:group>
            </w:pict>
          </mc:Fallback>
        </mc:AlternateContent>
      </w:r>
      <w:r>
        <w:rPr>
          <w:rFonts w:ascii="Arial" w:eastAsia="Arial" w:hAnsi="Arial" w:cs="Arial"/>
          <w:i/>
          <w:color w:val="202020"/>
        </w:rPr>
        <w:t xml:space="preserve">Además de la información descrita en el apartado 1 de este artículo, las bases reguladoras podrán prever la entrega de un informe complementario elaborado por el </w:t>
      </w:r>
      <w:r>
        <w:rPr>
          <w:rFonts w:ascii="Arial" w:eastAsia="Arial" w:hAnsi="Arial" w:cs="Arial"/>
          <w:i/>
          <w:color w:val="202020"/>
        </w:rPr>
        <w:t xml:space="preserve">auditor de cuentas y siguiendo lo previsto en el Reglamento que desarrolla la Ley de Auditoría de Cuentas. </w:t>
      </w:r>
    </w:p>
    <w:p w:rsidR="00FF384B" w:rsidRDefault="003E3BA9">
      <w:pPr>
        <w:numPr>
          <w:ilvl w:val="0"/>
          <w:numId w:val="236"/>
        </w:numPr>
        <w:spacing w:after="143" w:line="248" w:lineRule="auto"/>
        <w:ind w:right="244" w:hanging="10"/>
        <w:jc w:val="both"/>
      </w:pPr>
      <w:r>
        <w:rPr>
          <w:rFonts w:ascii="Arial" w:eastAsia="Arial" w:hAnsi="Arial" w:cs="Arial"/>
          <w:i/>
          <w:color w:val="202020"/>
        </w:rPr>
        <w:t>Cuando el alcance de una auditoría de cuentas no se considere suficiente, las bases reguladoras establecerán el alcance adicional de la revisión a l</w:t>
      </w:r>
      <w:r>
        <w:rPr>
          <w:rFonts w:ascii="Arial" w:eastAsia="Arial" w:hAnsi="Arial" w:cs="Arial"/>
          <w:i/>
          <w:color w:val="202020"/>
        </w:rPr>
        <w:t>levar a cabo por el auditor respecto de la información contable que sirva de base para determinar la cuantía de la subvención. En este caso, los resultados del trabajo se incorporarán al informe complementario al que se refiere el apartado 2 de este artícu</w:t>
      </w:r>
      <w:r>
        <w:rPr>
          <w:rFonts w:ascii="Arial" w:eastAsia="Arial" w:hAnsi="Arial" w:cs="Arial"/>
          <w:i/>
          <w:color w:val="202020"/>
        </w:rPr>
        <w:t xml:space="preserve">lo y la retribución adicional que corresponda percibir al auditor de cuentas podrá tener la condición de gasto a subvencionar cuando lo establezcan dichas bases hasta el límite que en ellas se fije. </w:t>
      </w:r>
      <w:r>
        <w:rPr>
          <w:rFonts w:ascii="Arial" w:eastAsia="Arial" w:hAnsi="Arial" w:cs="Arial"/>
          <w:color w:val="202020"/>
        </w:rPr>
        <w:t>Artículo 49. Justificación de subvenciones para el supues</w:t>
      </w:r>
      <w:r>
        <w:rPr>
          <w:rFonts w:ascii="Arial" w:eastAsia="Arial" w:hAnsi="Arial" w:cs="Arial"/>
          <w:color w:val="202020"/>
        </w:rPr>
        <w:t xml:space="preserve">to de actividades cofinanciadas. </w:t>
      </w:r>
    </w:p>
    <w:p w:rsidR="00FF384B" w:rsidRDefault="003E3BA9">
      <w:pPr>
        <w:numPr>
          <w:ilvl w:val="0"/>
          <w:numId w:val="237"/>
        </w:numPr>
        <w:spacing w:after="143" w:line="248" w:lineRule="auto"/>
        <w:ind w:right="244" w:hanging="10"/>
        <w:jc w:val="both"/>
      </w:pPr>
      <w:r>
        <w:rPr>
          <w:rFonts w:ascii="Arial" w:eastAsia="Arial" w:hAnsi="Arial" w:cs="Arial"/>
          <w:i/>
          <w:color w:val="202020"/>
        </w:rPr>
        <w:t xml:space="preserve">Para el caso de actividades en cuya financiación concurran subvenciones del Ayuntamiento de Candelaria con </w:t>
      </w:r>
      <w:r>
        <w:rPr>
          <w:rFonts w:ascii="Arial" w:eastAsia="Arial" w:hAnsi="Arial" w:cs="Arial"/>
          <w:i/>
          <w:color w:val="202020"/>
        </w:rPr>
        <w:t>fondos propios del beneficiario u otras subvenciones o recursos, deberá acreditarse, mediante la modalidad de rendición de cuenta justificativa regulada en los artículos 45, 46 y 47 de esta Ordenanza, según proceda, que se han cumplido, tanto la realizació</w:t>
      </w:r>
      <w:r>
        <w:rPr>
          <w:rFonts w:ascii="Arial" w:eastAsia="Arial" w:hAnsi="Arial" w:cs="Arial"/>
          <w:i/>
          <w:color w:val="202020"/>
        </w:rPr>
        <w:t xml:space="preserve">n del gasto y demás condiciones propias de toda subvención, así como el importe, procedencia y aplicación de tales fondos a las actividades subvencionadas. </w:t>
      </w:r>
    </w:p>
    <w:p w:rsidR="00FF384B" w:rsidRDefault="003E3BA9">
      <w:pPr>
        <w:numPr>
          <w:ilvl w:val="0"/>
          <w:numId w:val="237"/>
        </w:numPr>
        <w:spacing w:after="143" w:line="248" w:lineRule="auto"/>
        <w:ind w:right="244" w:hanging="10"/>
        <w:jc w:val="both"/>
      </w:pPr>
      <w:r>
        <w:rPr>
          <w:rFonts w:ascii="Arial" w:eastAsia="Arial" w:hAnsi="Arial" w:cs="Arial"/>
          <w:i/>
          <w:color w:val="202020"/>
        </w:rPr>
        <w:t>Es decir, se especificará tanto el porcentaje de cada factura o documento que se imputa a la justif</w:t>
      </w:r>
      <w:r>
        <w:rPr>
          <w:rFonts w:ascii="Arial" w:eastAsia="Arial" w:hAnsi="Arial" w:cs="Arial"/>
          <w:i/>
          <w:color w:val="202020"/>
        </w:rPr>
        <w:t>icación del convenio o subvención, como la existencia y cuantía del resto de recursos financieros distintos de la subvención municipal utilizados en el desarrollo de la actividad de que se trate. En tal sentido, la memoria de evaluación habrá de recoger un</w:t>
      </w:r>
      <w:r>
        <w:rPr>
          <w:rFonts w:ascii="Arial" w:eastAsia="Arial" w:hAnsi="Arial" w:cs="Arial"/>
          <w:i/>
          <w:color w:val="202020"/>
        </w:rPr>
        <w:t xml:space="preserve"> apartado en el que expresamente se especifique la totalidad de financiación con la que se ha contado para desarrollar la actividad subvencionada, según el siguiente desglose: </w:t>
      </w:r>
    </w:p>
    <w:p w:rsidR="00FF384B" w:rsidRDefault="003E3BA9">
      <w:pPr>
        <w:numPr>
          <w:ilvl w:val="1"/>
          <w:numId w:val="237"/>
        </w:numPr>
        <w:spacing w:after="81" w:line="248" w:lineRule="auto"/>
        <w:ind w:right="244" w:hanging="360"/>
        <w:jc w:val="both"/>
      </w:pPr>
      <w:r>
        <w:rPr>
          <w:rFonts w:ascii="Arial" w:eastAsia="Arial" w:hAnsi="Arial" w:cs="Arial"/>
          <w:i/>
          <w:color w:val="202020"/>
        </w:rPr>
        <w:t xml:space="preserve">a) Cuantía de la subvención otorgada. </w:t>
      </w:r>
    </w:p>
    <w:p w:rsidR="00FF384B" w:rsidRDefault="003E3BA9">
      <w:pPr>
        <w:numPr>
          <w:ilvl w:val="1"/>
          <w:numId w:val="237"/>
        </w:numPr>
        <w:spacing w:after="81" w:line="248" w:lineRule="auto"/>
        <w:ind w:right="244" w:hanging="360"/>
        <w:jc w:val="both"/>
      </w:pPr>
      <w:r>
        <w:rPr>
          <w:rFonts w:ascii="Arial" w:eastAsia="Arial" w:hAnsi="Arial" w:cs="Arial"/>
          <w:i/>
          <w:color w:val="202020"/>
        </w:rPr>
        <w:t>b) Otras subvenciones de distintas Admin</w:t>
      </w:r>
      <w:r>
        <w:rPr>
          <w:rFonts w:ascii="Arial" w:eastAsia="Arial" w:hAnsi="Arial" w:cs="Arial"/>
          <w:i/>
          <w:color w:val="202020"/>
        </w:rPr>
        <w:t xml:space="preserve">istraciones públicas. </w:t>
      </w:r>
    </w:p>
    <w:p w:rsidR="00FF384B" w:rsidRDefault="003E3BA9">
      <w:pPr>
        <w:numPr>
          <w:ilvl w:val="1"/>
          <w:numId w:val="237"/>
        </w:numPr>
        <w:spacing w:after="0" w:line="325" w:lineRule="auto"/>
        <w:ind w:right="244" w:hanging="360"/>
        <w:jc w:val="both"/>
      </w:pPr>
      <w:r>
        <w:rPr>
          <w:rFonts w:ascii="Arial" w:eastAsia="Arial" w:hAnsi="Arial" w:cs="Arial"/>
          <w:i/>
          <w:color w:val="202020"/>
        </w:rPr>
        <w:t xml:space="preserve">c) Importe de los fondos propios destinados a financiar la actividad. </w:t>
      </w:r>
      <w:r>
        <w:rPr>
          <w:rFonts w:ascii="Segoe UI Symbol" w:eastAsia="Segoe UI Symbol" w:hAnsi="Segoe UI Symbol" w:cs="Segoe UI Symbol"/>
          <w:color w:val="202020"/>
          <w:sz w:val="20"/>
        </w:rPr>
        <w:t></w:t>
      </w:r>
      <w:r>
        <w:rPr>
          <w:rFonts w:ascii="Arial" w:eastAsia="Arial" w:hAnsi="Arial" w:cs="Arial"/>
          <w:color w:val="202020"/>
          <w:sz w:val="20"/>
        </w:rPr>
        <w:t xml:space="preserve"> </w:t>
      </w:r>
      <w:r>
        <w:rPr>
          <w:rFonts w:ascii="Arial" w:eastAsia="Arial" w:hAnsi="Arial" w:cs="Arial"/>
          <w:color w:val="202020"/>
          <w:sz w:val="20"/>
        </w:rPr>
        <w:tab/>
      </w:r>
      <w:r>
        <w:rPr>
          <w:rFonts w:ascii="Arial" w:eastAsia="Arial" w:hAnsi="Arial" w:cs="Arial"/>
          <w:i/>
          <w:color w:val="202020"/>
        </w:rPr>
        <w:t xml:space="preserve">d) Otros recursos. </w:t>
      </w:r>
    </w:p>
    <w:p w:rsidR="00FF384B" w:rsidRDefault="003E3BA9">
      <w:pPr>
        <w:numPr>
          <w:ilvl w:val="0"/>
          <w:numId w:val="237"/>
        </w:numPr>
        <w:spacing w:after="143" w:line="248" w:lineRule="auto"/>
        <w:ind w:right="244" w:hanging="10"/>
        <w:jc w:val="both"/>
      </w:pPr>
      <w:r>
        <w:rPr>
          <w:rFonts w:ascii="Arial" w:eastAsia="Arial" w:hAnsi="Arial" w:cs="Arial"/>
          <w:i/>
          <w:color w:val="202020"/>
        </w:rPr>
        <w:t xml:space="preserve">El órgano gestor municipal competente por razón de la materia, especificará en su informe acerca del cumplimiento del objeto del convenio, estas circunstancias. </w:t>
      </w:r>
    </w:p>
    <w:p w:rsidR="00FF384B" w:rsidRDefault="003E3BA9">
      <w:pPr>
        <w:spacing w:after="142" w:line="248" w:lineRule="auto"/>
        <w:ind w:left="278" w:right="244" w:hanging="10"/>
        <w:jc w:val="both"/>
      </w:pPr>
      <w:r>
        <w:rPr>
          <w:rFonts w:ascii="Arial" w:eastAsia="Arial" w:hAnsi="Arial" w:cs="Arial"/>
          <w:color w:val="202020"/>
        </w:rPr>
        <w:t xml:space="preserve">Artículo 50. Justificación de subvenciones destinadas a la adquisición de bienes inmuebles. </w:t>
      </w:r>
    </w:p>
    <w:p w:rsidR="00FF384B" w:rsidRDefault="003E3BA9">
      <w:pPr>
        <w:spacing w:after="143" w:line="248" w:lineRule="auto"/>
        <w:ind w:left="278" w:right="244" w:hanging="10"/>
        <w:jc w:val="both"/>
      </w:pPr>
      <w:r>
        <w:rPr>
          <w:rFonts w:ascii="Arial" w:eastAsia="Arial" w:hAnsi="Arial" w:cs="Arial"/>
          <w:i/>
          <w:color w:val="202020"/>
        </w:rPr>
        <w:t>A</w:t>
      </w:r>
      <w:r>
        <w:rPr>
          <w:rFonts w:ascii="Arial" w:eastAsia="Arial" w:hAnsi="Arial" w:cs="Arial"/>
          <w:i/>
          <w:color w:val="202020"/>
        </w:rPr>
        <w:t>demás de la cuenta justificativa establecida en los artículos 45, 46, 47 de esta Ordenanza, junto con las facturas y demás justificantes en el mismo establecidos, podrá ser emitido informe por las Concejalías que tramiten las subvenciones y, en su caso, po</w:t>
      </w:r>
      <w:r>
        <w:rPr>
          <w:rFonts w:ascii="Arial" w:eastAsia="Arial" w:hAnsi="Arial" w:cs="Arial"/>
          <w:i/>
          <w:color w:val="202020"/>
        </w:rPr>
        <w:t xml:space="preserve">r tasador independiente debidamente acreditado e inscrito en el correspondiente registro oficial, en relación con el coste y precio de mercado. </w:t>
      </w:r>
    </w:p>
    <w:p w:rsidR="00FF384B" w:rsidRDefault="003E3BA9">
      <w:pPr>
        <w:spacing w:after="142" w:line="248" w:lineRule="auto"/>
        <w:ind w:left="278" w:right="244" w:hanging="10"/>
        <w:jc w:val="both"/>
      </w:pPr>
      <w:r>
        <w:rPr>
          <w:rFonts w:ascii="Arial" w:eastAsia="Arial" w:hAnsi="Arial" w:cs="Arial"/>
          <w:color w:val="202020"/>
        </w:rPr>
        <w:t xml:space="preserve">Artículo 51. Justificación de las subvenciones de actividades ejecutadas con anterioridad a su concesión.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8435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5806" name="Group 4758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009" name="Picture 33009"/>
                          <pic:cNvPicPr/>
                        </pic:nvPicPr>
                        <pic:blipFill>
                          <a:blip r:embed="rId62"/>
                          <a:stretch>
                            <a:fillRect/>
                          </a:stretch>
                        </pic:blipFill>
                        <pic:spPr>
                          <a:xfrm rot="-5399999">
                            <a:off x="-1720849" y="1720849"/>
                            <a:ext cx="3797300" cy="355601"/>
                          </a:xfrm>
                          <a:prstGeom prst="rect">
                            <a:avLst/>
                          </a:prstGeom>
                        </pic:spPr>
                      </pic:pic>
                      <wps:wsp>
                        <wps:cNvPr id="33010" name="Rectangle 3301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w:t>
                              </w:r>
                              <w:r>
                                <w:rPr>
                                  <w:rFonts w:ascii="Arial" w:eastAsia="Arial" w:hAnsi="Arial" w:cs="Arial"/>
                                  <w:sz w:val="12"/>
                                </w:rPr>
                                <w:t xml:space="preserve">ód. Validación: 9792ADAG9QWZ53RMHD5RCHL7K | Verificación: https://candelaria.sedelectronica.es/ </w:t>
                              </w:r>
                            </w:p>
                          </w:txbxContent>
                        </wps:txbx>
                        <wps:bodyPr horzOverflow="overflow" vert="horz" lIns="0" tIns="0" rIns="0" bIns="0" rtlCol="0">
                          <a:noAutofit/>
                        </wps:bodyPr>
                      </wps:wsp>
                      <wps:wsp>
                        <wps:cNvPr id="33011" name="Rectangle 3301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5806" style="width:41.2715pt;height:299pt;position:absolute;mso-position-horizontal-relative:page;mso-position-horizontal:absolute;margin-left:653.71pt;mso-position-vertical-relative:page;margin-top:512.92pt;" coordsize="5241,37973">
                <v:shape id="Picture 33009" style="position:absolute;width:37973;height:3556;left:-17208;top:17208;rotation:-89;" filled="f">
                  <v:imagedata r:id="rId63"/>
                </v:shape>
                <v:rect id="Rectangle 3301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01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353 </w:t>
                        </w:r>
                      </w:p>
                    </w:txbxContent>
                  </v:textbox>
                </v:rect>
                <w10:wrap type="square"/>
              </v:group>
            </w:pict>
          </mc:Fallback>
        </mc:AlternateContent>
      </w:r>
      <w:r>
        <w:rPr>
          <w:rFonts w:ascii="Arial" w:eastAsia="Arial" w:hAnsi="Arial" w:cs="Arial"/>
          <w:i/>
          <w:color w:val="202020"/>
        </w:rPr>
        <w:t>Se trata de aquellos supuestos en los que se otorga una subven</w:t>
      </w:r>
      <w:r>
        <w:rPr>
          <w:rFonts w:ascii="Arial" w:eastAsia="Arial" w:hAnsi="Arial" w:cs="Arial"/>
          <w:i/>
          <w:color w:val="202020"/>
        </w:rPr>
        <w:t>ción no para desarrollar una actividad, sino en atención a una actividad o comportamiento anteriores a la concesión de la subvención o a la concurrencia de una determinada situación. La acreditación de tal actividad, comportamiento o situación debe realiza</w:t>
      </w:r>
      <w:r>
        <w:rPr>
          <w:rFonts w:ascii="Arial" w:eastAsia="Arial" w:hAnsi="Arial" w:cs="Arial"/>
          <w:i/>
          <w:color w:val="202020"/>
        </w:rPr>
        <w:t xml:space="preserve">rse antes del otorgamiento de la subvención. La justificación no será pues una carga u obligación derivada de la concesión de la subvención sino que será un requisito para la concesión. </w:t>
      </w:r>
    </w:p>
    <w:p w:rsidR="00FF384B" w:rsidRDefault="003E3BA9">
      <w:pPr>
        <w:spacing w:after="142" w:line="248" w:lineRule="auto"/>
        <w:ind w:left="278" w:right="244" w:hanging="10"/>
        <w:jc w:val="both"/>
      </w:pPr>
      <w:r>
        <w:rPr>
          <w:rFonts w:ascii="Arial" w:eastAsia="Arial" w:hAnsi="Arial" w:cs="Arial"/>
          <w:color w:val="202020"/>
        </w:rPr>
        <w:t xml:space="preserve">Artículo 52. Peculiaridades de la justificación de subvenciones gestionadas por entidades colaboradoras. </w:t>
      </w:r>
    </w:p>
    <w:p w:rsidR="00FF384B" w:rsidRDefault="003E3BA9">
      <w:pPr>
        <w:numPr>
          <w:ilvl w:val="0"/>
          <w:numId w:val="238"/>
        </w:numPr>
        <w:spacing w:after="143" w:line="248" w:lineRule="auto"/>
        <w:ind w:right="244" w:hanging="10"/>
        <w:jc w:val="both"/>
      </w:pPr>
      <w:r>
        <w:rPr>
          <w:rFonts w:ascii="Arial" w:eastAsia="Arial" w:hAnsi="Arial" w:cs="Arial"/>
          <w:i/>
          <w:color w:val="202020"/>
        </w:rPr>
        <w:t xml:space="preserve">La justificación de las subvenciones gestionadas por entidades colaboradoras se refiere, tanto a la acreditación de la entrega a los beneficiarios de </w:t>
      </w:r>
      <w:r>
        <w:rPr>
          <w:rFonts w:ascii="Arial" w:eastAsia="Arial" w:hAnsi="Arial" w:cs="Arial"/>
          <w:i/>
          <w:color w:val="202020"/>
        </w:rPr>
        <w:t>los fondos recibidos, como a la presentación ante éste de la justificación aportada por los beneficiarios, que se extenderá no sólo a la aplicación de los fondos por los mismos, sino también al cumplimiento de las condiciones para el cobro por aquéllos, en</w:t>
      </w:r>
      <w:r>
        <w:rPr>
          <w:rFonts w:ascii="Arial" w:eastAsia="Arial" w:hAnsi="Arial" w:cs="Arial"/>
          <w:i/>
          <w:color w:val="202020"/>
        </w:rPr>
        <w:t xml:space="preserve"> función de lo dispuesto en el convenio de colaboración. </w:t>
      </w:r>
    </w:p>
    <w:p w:rsidR="00FF384B" w:rsidRDefault="003E3BA9">
      <w:pPr>
        <w:numPr>
          <w:ilvl w:val="0"/>
          <w:numId w:val="238"/>
        </w:numPr>
        <w:spacing w:after="143" w:line="248" w:lineRule="auto"/>
        <w:ind w:right="244" w:hanging="10"/>
        <w:jc w:val="both"/>
      </w:pPr>
      <w:r>
        <w:rPr>
          <w:rFonts w:ascii="Arial" w:eastAsia="Arial" w:hAnsi="Arial" w:cs="Arial"/>
          <w:i/>
          <w:color w:val="202020"/>
        </w:rPr>
        <w:t xml:space="preserve">La entidad colaboradora estará obligada, igualmente, a someterse a las actuaciones de comprobación que respecto de la gestión de los fondos municipales pueda efectuar el Ayuntamiento de Candelaria, </w:t>
      </w:r>
      <w:r>
        <w:rPr>
          <w:rFonts w:ascii="Arial" w:eastAsia="Arial" w:hAnsi="Arial" w:cs="Arial"/>
          <w:i/>
          <w:color w:val="202020"/>
        </w:rPr>
        <w:t xml:space="preserve">así como cualesquiera otras de comprobación y control financiero, aportando cuanta información le sea requerida en el ejercicio de las actuaciones citadas. </w:t>
      </w:r>
    </w:p>
    <w:p w:rsidR="00FF384B" w:rsidRDefault="003E3BA9">
      <w:pPr>
        <w:spacing w:after="142" w:line="248" w:lineRule="auto"/>
        <w:ind w:left="278" w:right="244" w:hanging="10"/>
        <w:jc w:val="both"/>
      </w:pPr>
      <w:r>
        <w:rPr>
          <w:rFonts w:ascii="Arial" w:eastAsia="Arial" w:hAnsi="Arial" w:cs="Arial"/>
          <w:color w:val="202020"/>
        </w:rPr>
        <w:t xml:space="preserve">Artículo 53. Plazo para la justificación. </w:t>
      </w:r>
    </w:p>
    <w:p w:rsidR="00FF384B" w:rsidRDefault="003E3BA9">
      <w:pPr>
        <w:numPr>
          <w:ilvl w:val="0"/>
          <w:numId w:val="239"/>
        </w:numPr>
        <w:spacing w:after="143" w:line="248" w:lineRule="auto"/>
        <w:ind w:right="244" w:hanging="10"/>
        <w:jc w:val="both"/>
      </w:pPr>
      <w:r>
        <w:rPr>
          <w:rFonts w:ascii="Arial" w:eastAsia="Arial" w:hAnsi="Arial" w:cs="Arial"/>
          <w:i/>
          <w:color w:val="202020"/>
        </w:rPr>
        <w:t>La convocatoria de la subvención y, en su caso, el conve</w:t>
      </w:r>
      <w:r>
        <w:rPr>
          <w:rFonts w:ascii="Arial" w:eastAsia="Arial" w:hAnsi="Arial" w:cs="Arial"/>
          <w:i/>
          <w:color w:val="202020"/>
        </w:rPr>
        <w:t xml:space="preserve">nio de colaboración, fijarán el plazo de inicio del periodo de rendición de la justificación de las subvenciones y su final, que será como máximo, de tres meses desde la finalización del plazo para la realización de la actividad. </w:t>
      </w:r>
    </w:p>
    <w:p w:rsidR="00FF384B" w:rsidRDefault="003E3BA9">
      <w:pPr>
        <w:numPr>
          <w:ilvl w:val="0"/>
          <w:numId w:val="239"/>
        </w:numPr>
        <w:spacing w:after="143" w:line="248" w:lineRule="auto"/>
        <w:ind w:right="244" w:hanging="10"/>
        <w:jc w:val="both"/>
      </w:pPr>
      <w:r>
        <w:rPr>
          <w:rFonts w:ascii="Arial" w:eastAsia="Arial" w:hAnsi="Arial" w:cs="Arial"/>
          <w:i/>
          <w:color w:val="202020"/>
        </w:rPr>
        <w:t>Excepcionalmente y si por</w:t>
      </w:r>
      <w:r>
        <w:rPr>
          <w:rFonts w:ascii="Arial" w:eastAsia="Arial" w:hAnsi="Arial" w:cs="Arial"/>
          <w:i/>
          <w:color w:val="202020"/>
        </w:rPr>
        <w:t xml:space="preserve"> razones justificadas debidamente motivadas no pudiera realizarse o justificarse en el plazo previsto, el órgano concedente podrá acordar, siempre con anterioridad a la finalización del plazo concedido, la prórroga del plazo, que no excederá de la mitad de</w:t>
      </w:r>
      <w:r>
        <w:rPr>
          <w:rFonts w:ascii="Arial" w:eastAsia="Arial" w:hAnsi="Arial" w:cs="Arial"/>
          <w:i/>
          <w:color w:val="202020"/>
        </w:rPr>
        <w:t xml:space="preserve">l previsto en el párrafo anterior, siempre que no se perjudiquen derechos de terceros. </w:t>
      </w:r>
    </w:p>
    <w:p w:rsidR="00FF384B" w:rsidRDefault="003E3BA9">
      <w:pPr>
        <w:spacing w:after="142" w:line="248" w:lineRule="auto"/>
        <w:ind w:left="278" w:right="244" w:hanging="10"/>
        <w:jc w:val="both"/>
      </w:pPr>
      <w:r>
        <w:rPr>
          <w:rFonts w:ascii="Arial" w:eastAsia="Arial" w:hAnsi="Arial" w:cs="Arial"/>
          <w:color w:val="202020"/>
        </w:rPr>
        <w:t xml:space="preserve">Art. 54. Efectos del incumplimiento del deber de justificación. </w:t>
      </w:r>
    </w:p>
    <w:p w:rsidR="00FF384B" w:rsidRDefault="003E3BA9">
      <w:pPr>
        <w:numPr>
          <w:ilvl w:val="0"/>
          <w:numId w:val="240"/>
        </w:numPr>
        <w:spacing w:after="143" w:line="248" w:lineRule="auto"/>
        <w:ind w:right="244" w:hanging="10"/>
        <w:jc w:val="both"/>
      </w:pPr>
      <w:r>
        <w:rPr>
          <w:rFonts w:ascii="Arial" w:eastAsia="Arial" w:hAnsi="Arial" w:cs="Arial"/>
          <w:i/>
          <w:color w:val="202020"/>
        </w:rPr>
        <w:t xml:space="preserve">Transcurrido el plazo de justificación, incluida la prórroga cuando hubiese sido concedida, sin que se </w:t>
      </w:r>
      <w:r>
        <w:rPr>
          <w:rFonts w:ascii="Arial" w:eastAsia="Arial" w:hAnsi="Arial" w:cs="Arial"/>
          <w:i/>
          <w:color w:val="202020"/>
        </w:rPr>
        <w:t>haya presentado la justificación, se requerirá al beneficiario para que sea presentada en el plazo improrrogable de quince días. El incumplimiento de la obligación de justificación o la justificación insuficiente de la misma llevaran consigo la pérdida del</w:t>
      </w:r>
      <w:r>
        <w:rPr>
          <w:rFonts w:ascii="Arial" w:eastAsia="Arial" w:hAnsi="Arial" w:cs="Arial"/>
          <w:i/>
          <w:color w:val="202020"/>
        </w:rPr>
        <w:t xml:space="preserve"> derecho al cobro o el reintegro de las cantidades percibidas y, en su caso, los intereses de demora que procedan </w:t>
      </w:r>
    </w:p>
    <w:p w:rsidR="00FF384B" w:rsidRDefault="003E3BA9">
      <w:pPr>
        <w:numPr>
          <w:ilvl w:val="0"/>
          <w:numId w:val="240"/>
        </w:numPr>
        <w:spacing w:after="143" w:line="248" w:lineRule="auto"/>
        <w:ind w:right="244" w:hanging="10"/>
        <w:jc w:val="both"/>
      </w:pPr>
      <w:r>
        <w:rPr>
          <w:rFonts w:ascii="Arial" w:eastAsia="Arial" w:hAnsi="Arial" w:cs="Arial"/>
          <w:i/>
          <w:color w:val="202020"/>
        </w:rPr>
        <w:t>Cuando el órgano competente para la comprobación de la subvención aprecie la existencia de defectos subsanables en la justificación presentad</w:t>
      </w:r>
      <w:r>
        <w:rPr>
          <w:rFonts w:ascii="Arial" w:eastAsia="Arial" w:hAnsi="Arial" w:cs="Arial"/>
          <w:i/>
          <w:color w:val="202020"/>
        </w:rPr>
        <w:t>a por el beneficiario, lo pondrá en su conocimiento concediéndole un plazo de diez días para su corrección. La falta de subsanación de los defectos en este plazo, si son sustanciales de modo que impidan comprobar el cumplimiento, llevará consigo las mismas</w:t>
      </w:r>
      <w:r>
        <w:rPr>
          <w:rFonts w:ascii="Arial" w:eastAsia="Arial" w:hAnsi="Arial" w:cs="Arial"/>
          <w:i/>
          <w:color w:val="202020"/>
        </w:rPr>
        <w:t xml:space="preserve"> consecuencias que el incumplimiento de la obligación de justificación. </w:t>
      </w:r>
    </w:p>
    <w:p w:rsidR="00FF384B" w:rsidRDefault="003E3BA9">
      <w:pPr>
        <w:numPr>
          <w:ilvl w:val="0"/>
          <w:numId w:val="240"/>
        </w:numPr>
        <w:spacing w:after="143" w:line="248" w:lineRule="auto"/>
        <w:ind w:right="244" w:hanging="10"/>
        <w:jc w:val="both"/>
      </w:pPr>
      <w:r>
        <w:rPr>
          <w:noProof/>
        </w:rPr>
        <mc:AlternateContent>
          <mc:Choice Requires="wpg">
            <w:drawing>
              <wp:anchor distT="0" distB="0" distL="114300" distR="114300" simplePos="0" relativeHeight="2518446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5897" name="Group 47589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146" name="Picture 33146"/>
                          <pic:cNvPicPr/>
                        </pic:nvPicPr>
                        <pic:blipFill>
                          <a:blip r:embed="rId62"/>
                          <a:stretch>
                            <a:fillRect/>
                          </a:stretch>
                        </pic:blipFill>
                        <pic:spPr>
                          <a:xfrm rot="-5399999">
                            <a:off x="-1720849" y="1720849"/>
                            <a:ext cx="3797300" cy="355601"/>
                          </a:xfrm>
                          <a:prstGeom prst="rect">
                            <a:avLst/>
                          </a:prstGeom>
                        </pic:spPr>
                      </pic:pic>
                      <wps:wsp>
                        <wps:cNvPr id="33147" name="Rectangle 3314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148" name="Rectangle 3314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Pági</w:t>
                              </w:r>
                              <w:r>
                                <w:rPr>
                                  <w:rFonts w:ascii="Arial" w:eastAsia="Arial" w:hAnsi="Arial" w:cs="Arial"/>
                                  <w:sz w:val="12"/>
                                </w:rPr>
                                <w:t xml:space="preserve">na 181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5897" style="width:41.2715pt;height:299pt;position:absolute;mso-position-horizontal-relative:page;mso-position-horizontal:absolute;margin-left:653.71pt;mso-position-vertical-relative:page;margin-top:512.92pt;" coordsize="5241,37973">
                <v:shape id="Picture 33146" style="position:absolute;width:37973;height:3556;left:-17208;top:17208;rotation:-89;" filled="f">
                  <v:imagedata r:id="rId63"/>
                </v:shape>
                <v:rect id="Rectangle 3314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14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181 de 353 </w:t>
                        </w:r>
                      </w:p>
                    </w:txbxContent>
                  </v:textbox>
                </v:rect>
                <w10:wrap type="square"/>
              </v:group>
            </w:pict>
          </mc:Fallback>
        </mc:AlternateContent>
      </w:r>
      <w:r>
        <w:rPr>
          <w:rFonts w:ascii="Arial" w:eastAsia="Arial" w:hAnsi="Arial" w:cs="Arial"/>
          <w:i/>
          <w:color w:val="202020"/>
        </w:rPr>
        <w:t xml:space="preserve">El incumplimiento total o parcial de la obligación de justificación de la subvención o la justificación fuera de plazo llevará aparejado la obligación de reintegrar las cantidades no justificadas. </w:t>
      </w:r>
    </w:p>
    <w:p w:rsidR="00FF384B" w:rsidRDefault="003E3BA9">
      <w:pPr>
        <w:spacing w:after="142" w:line="248" w:lineRule="auto"/>
        <w:ind w:left="278" w:right="244" w:hanging="10"/>
        <w:jc w:val="both"/>
      </w:pPr>
      <w:r>
        <w:rPr>
          <w:rFonts w:ascii="Arial" w:eastAsia="Arial" w:hAnsi="Arial" w:cs="Arial"/>
          <w:color w:val="202020"/>
        </w:rPr>
        <w:t xml:space="preserve">Artículo 55. Comprobación de subvenciones. </w:t>
      </w:r>
    </w:p>
    <w:p w:rsidR="00FF384B" w:rsidRDefault="003E3BA9">
      <w:pPr>
        <w:spacing w:after="143" w:line="248" w:lineRule="auto"/>
        <w:ind w:left="278" w:right="244" w:hanging="10"/>
        <w:jc w:val="both"/>
      </w:pPr>
      <w:r>
        <w:rPr>
          <w:rFonts w:ascii="Arial" w:eastAsia="Arial" w:hAnsi="Arial" w:cs="Arial"/>
          <w:i/>
          <w:color w:val="202020"/>
        </w:rPr>
        <w:t xml:space="preserve">El órgano concedente deberá comprobar la adecuada justificación de la subvención, así como la realización de la actividad y el cumplimiento de la finalidad que determinen la concesión de la subvención y todas las características especiales de la actuación </w:t>
      </w:r>
      <w:r>
        <w:rPr>
          <w:rFonts w:ascii="Arial" w:eastAsia="Arial" w:hAnsi="Arial" w:cs="Arial"/>
          <w:i/>
          <w:color w:val="202020"/>
        </w:rPr>
        <w:t xml:space="preserve">financiada, en especial la posible subcontratación, cumpliendo los siguientes trámites: </w:t>
      </w:r>
    </w:p>
    <w:p w:rsidR="00FF384B" w:rsidRDefault="003E3BA9">
      <w:pPr>
        <w:numPr>
          <w:ilvl w:val="0"/>
          <w:numId w:val="241"/>
        </w:numPr>
        <w:spacing w:after="143" w:line="248" w:lineRule="auto"/>
        <w:ind w:right="244" w:hanging="10"/>
        <w:jc w:val="both"/>
      </w:pPr>
      <w:r>
        <w:rPr>
          <w:rFonts w:ascii="Arial" w:eastAsia="Arial" w:hAnsi="Arial" w:cs="Arial"/>
          <w:i/>
          <w:color w:val="202020"/>
        </w:rPr>
        <w:t xml:space="preserve">Presentación, en plazo, de la documentación justificativa de la subvención, en el lugar donde la convocatoria o el convenio prevean y de acuerdo con lo previsto en la </w:t>
      </w:r>
      <w:r>
        <w:rPr>
          <w:rFonts w:ascii="Arial" w:eastAsia="Arial" w:hAnsi="Arial" w:cs="Arial"/>
          <w:i/>
          <w:color w:val="202020"/>
        </w:rPr>
        <w:t xml:space="preserve">legislación vigente de Procedimiento Administrativo Común. </w:t>
      </w:r>
    </w:p>
    <w:p w:rsidR="00FF384B" w:rsidRDefault="003E3BA9">
      <w:pPr>
        <w:numPr>
          <w:ilvl w:val="0"/>
          <w:numId w:val="241"/>
        </w:numPr>
        <w:spacing w:after="143" w:line="248" w:lineRule="auto"/>
        <w:ind w:right="244" w:hanging="10"/>
        <w:jc w:val="both"/>
      </w:pPr>
      <w:r>
        <w:rPr>
          <w:rFonts w:ascii="Arial" w:eastAsia="Arial" w:hAnsi="Arial" w:cs="Arial"/>
          <w:i/>
          <w:color w:val="202020"/>
        </w:rPr>
        <w:t>Comprobación material por el órgano gestor, de que la documentación presentada cumple los requisitos establecidos en esta Ordenanza, en la convocatoria de la subvención o en el convenio de colabor</w:t>
      </w:r>
      <w:r>
        <w:rPr>
          <w:rFonts w:ascii="Arial" w:eastAsia="Arial" w:hAnsi="Arial" w:cs="Arial"/>
          <w:i/>
          <w:color w:val="202020"/>
        </w:rPr>
        <w:t xml:space="preserve">ación y en el acuerdo de aprobación. </w:t>
      </w:r>
    </w:p>
    <w:p w:rsidR="00FF384B" w:rsidRDefault="003E3BA9">
      <w:pPr>
        <w:numPr>
          <w:ilvl w:val="0"/>
          <w:numId w:val="241"/>
        </w:numPr>
        <w:spacing w:after="143" w:line="248" w:lineRule="auto"/>
        <w:ind w:right="244" w:hanging="10"/>
        <w:jc w:val="both"/>
      </w:pPr>
      <w:r>
        <w:rPr>
          <w:rFonts w:ascii="Arial" w:eastAsia="Arial" w:hAnsi="Arial" w:cs="Arial"/>
          <w:i/>
          <w:color w:val="202020"/>
        </w:rPr>
        <w:t xml:space="preserve">Emisión por el órgano gestor de informe en el que se constate el cumplimiento, desde un punto de vista material, del objeto de la subvención o convenio. </w:t>
      </w:r>
    </w:p>
    <w:p w:rsidR="00FF384B" w:rsidRDefault="003E3BA9">
      <w:pPr>
        <w:spacing w:after="143" w:line="248" w:lineRule="auto"/>
        <w:ind w:left="278" w:right="244" w:hanging="10"/>
        <w:jc w:val="both"/>
      </w:pPr>
      <w:r>
        <w:rPr>
          <w:rFonts w:ascii="Arial" w:eastAsia="Arial" w:hAnsi="Arial" w:cs="Arial"/>
          <w:i/>
          <w:color w:val="202020"/>
        </w:rPr>
        <w:t>En dicho informe ha de constar la aportación municipal, así como</w:t>
      </w:r>
      <w:r>
        <w:rPr>
          <w:rFonts w:ascii="Arial" w:eastAsia="Arial" w:hAnsi="Arial" w:cs="Arial"/>
          <w:i/>
          <w:color w:val="202020"/>
        </w:rPr>
        <w:t xml:space="preserve">, en su caso, el resto de recursos financieros de que ha dispuesto el beneficiario (otras subvenciones, fondos propios, otros recursos...), datos que deberán reflejarse por dicho beneficiario en la memoria de evaluación. </w:t>
      </w:r>
    </w:p>
    <w:p w:rsidR="00FF384B" w:rsidRDefault="003E3BA9">
      <w:pPr>
        <w:numPr>
          <w:ilvl w:val="0"/>
          <w:numId w:val="241"/>
        </w:numPr>
        <w:spacing w:after="143" w:line="248" w:lineRule="auto"/>
        <w:ind w:right="244" w:hanging="10"/>
        <w:jc w:val="both"/>
      </w:pPr>
      <w:r>
        <w:rPr>
          <w:rFonts w:ascii="Arial" w:eastAsia="Arial" w:hAnsi="Arial" w:cs="Arial"/>
          <w:i/>
          <w:color w:val="202020"/>
        </w:rPr>
        <w:t>Remisión del expediente completo a</w:t>
      </w:r>
      <w:r>
        <w:rPr>
          <w:rFonts w:ascii="Arial" w:eastAsia="Arial" w:hAnsi="Arial" w:cs="Arial"/>
          <w:i/>
          <w:color w:val="202020"/>
        </w:rPr>
        <w:t xml:space="preserve"> la Intervención General, a los efectos de la emisión del correspondiente informe, acerca de la justificación formal de la subvención. </w:t>
      </w:r>
    </w:p>
    <w:p w:rsidR="00FF384B" w:rsidRDefault="003E3BA9">
      <w:pPr>
        <w:spacing w:after="143" w:line="248" w:lineRule="auto"/>
        <w:ind w:left="278" w:right="244" w:hanging="10"/>
        <w:jc w:val="both"/>
      </w:pPr>
      <w:r>
        <w:rPr>
          <w:rFonts w:ascii="Arial" w:eastAsia="Arial" w:hAnsi="Arial" w:cs="Arial"/>
          <w:i/>
          <w:color w:val="202020"/>
        </w:rPr>
        <w:t>El expediente habrá de contener todas y cada una de las actuaciones administrativas, desde su origen. En el caso de subv</w:t>
      </w:r>
      <w:r>
        <w:rPr>
          <w:rFonts w:ascii="Arial" w:eastAsia="Arial" w:hAnsi="Arial" w:cs="Arial"/>
          <w:i/>
          <w:color w:val="202020"/>
        </w:rPr>
        <w:t>enciones: convocatoria de la subvención debidamente aprobada y publicada, documentación relativa a la solicitud del beneficiario, así como acuerdo de concesión por el órgano municipal competente. En el caso de convenios de colaboración: original del conven</w:t>
      </w:r>
      <w:r>
        <w:rPr>
          <w:rFonts w:ascii="Arial" w:eastAsia="Arial" w:hAnsi="Arial" w:cs="Arial"/>
          <w:i/>
          <w:color w:val="202020"/>
        </w:rPr>
        <w:t>io debidamente suscrito así como acuerdo de aprobación por el órgano municipal competente. Igualmente habrá de constar en el expediente, en todos los casos, todos y cada uno de los documentos contables correspondientes al gasto a fiscalizar, así como la me</w:t>
      </w:r>
      <w:r>
        <w:rPr>
          <w:rFonts w:ascii="Arial" w:eastAsia="Arial" w:hAnsi="Arial" w:cs="Arial"/>
          <w:i/>
          <w:color w:val="202020"/>
        </w:rPr>
        <w:t xml:space="preserve">moria de evaluación, relación numerada de justificantes y documentos justificativos. </w:t>
      </w:r>
    </w:p>
    <w:p w:rsidR="00FF384B" w:rsidRDefault="003E3BA9">
      <w:pPr>
        <w:spacing w:after="143" w:line="248" w:lineRule="auto"/>
        <w:ind w:left="278" w:right="244" w:hanging="10"/>
        <w:jc w:val="both"/>
      </w:pPr>
      <w:r>
        <w:rPr>
          <w:rFonts w:ascii="Arial" w:eastAsia="Arial" w:hAnsi="Arial" w:cs="Arial"/>
          <w:i/>
          <w:color w:val="202020"/>
        </w:rPr>
        <w:t>Una vez emitido el informe en ejercicio de la función interventora se devolverá el expediente al órgano gestor, para aprobación de la justificación (si la justificación e</w:t>
      </w:r>
      <w:r>
        <w:rPr>
          <w:rFonts w:ascii="Arial" w:eastAsia="Arial" w:hAnsi="Arial" w:cs="Arial"/>
          <w:i/>
          <w:color w:val="202020"/>
        </w:rPr>
        <w:t xml:space="preserve">s correcta) o para la notificación al interesado de los reparos formulados (si la justificación es incorrecta). </w:t>
      </w:r>
    </w:p>
    <w:p w:rsidR="00FF384B" w:rsidRDefault="003E3BA9">
      <w:pPr>
        <w:numPr>
          <w:ilvl w:val="0"/>
          <w:numId w:val="241"/>
        </w:numPr>
        <w:spacing w:after="143" w:line="248" w:lineRule="auto"/>
        <w:ind w:right="244" w:hanging="10"/>
        <w:jc w:val="both"/>
      </w:pPr>
      <w:r>
        <w:rPr>
          <w:rFonts w:ascii="Arial" w:eastAsia="Arial" w:hAnsi="Arial" w:cs="Arial"/>
          <w:i/>
          <w:color w:val="202020"/>
        </w:rPr>
        <w:t xml:space="preserve">En el caso de establecerse pagos a cuenta de las subvenciones, que tendrán la consideración de pagos fraccionados, sólo por el importe igual a </w:t>
      </w:r>
      <w:r>
        <w:rPr>
          <w:rFonts w:ascii="Arial" w:eastAsia="Arial" w:hAnsi="Arial" w:cs="Arial"/>
          <w:i/>
          <w:color w:val="202020"/>
        </w:rPr>
        <w:t xml:space="preserve">la cuantía equivalente de la justificación presentada, dicha justificación deberá efectuarse de forma similar a la prevista para la totalidad de la subvención o convenio y con los requisitos previstos en cuanto a justificación en la presente normativa. </w:t>
      </w:r>
    </w:p>
    <w:p w:rsidR="00FF384B" w:rsidRDefault="003E3BA9">
      <w:pPr>
        <w:numPr>
          <w:ilvl w:val="0"/>
          <w:numId w:val="241"/>
        </w:numPr>
        <w:spacing w:after="143" w:line="248" w:lineRule="auto"/>
        <w:ind w:right="244" w:hanging="10"/>
        <w:jc w:val="both"/>
      </w:pPr>
      <w:r>
        <w:rPr>
          <w:noProof/>
        </w:rPr>
        <mc:AlternateContent>
          <mc:Choice Requires="wpg">
            <w:drawing>
              <wp:anchor distT="0" distB="0" distL="114300" distR="114300" simplePos="0" relativeHeight="2518456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165" name="Group 47616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298" name="Picture 33298"/>
                          <pic:cNvPicPr/>
                        </pic:nvPicPr>
                        <pic:blipFill>
                          <a:blip r:embed="rId62"/>
                          <a:stretch>
                            <a:fillRect/>
                          </a:stretch>
                        </pic:blipFill>
                        <pic:spPr>
                          <a:xfrm rot="-5399999">
                            <a:off x="-1720849" y="1720849"/>
                            <a:ext cx="3797300" cy="355601"/>
                          </a:xfrm>
                          <a:prstGeom prst="rect">
                            <a:avLst/>
                          </a:prstGeom>
                        </pic:spPr>
                      </pic:pic>
                      <wps:wsp>
                        <wps:cNvPr id="33299" name="Rectangle 3329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300" name="Rectangle 3330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165" style="width:41.2715pt;height:299pt;position:absolute;mso-position-horizontal-relative:page;mso-position-horizontal:absolute;margin-left:653.71pt;mso-position-vertical-relative:page;margin-top:512.92pt;" coordsize="5241,37973">
                <v:shape id="Picture 33298" style="position:absolute;width:37973;height:3556;left:-17208;top:17208;rotation:-89;" filled="f">
                  <v:imagedata r:id="rId63"/>
                </v:shape>
                <v:rect id="Rectangle 3329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30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182 de 353 </w:t>
                        </w:r>
                      </w:p>
                    </w:txbxContent>
                  </v:textbox>
                </v:rect>
                <w10:wrap type="square"/>
              </v:group>
            </w:pict>
          </mc:Fallback>
        </mc:AlternateContent>
      </w:r>
      <w:r>
        <w:rPr>
          <w:rFonts w:ascii="Arial" w:eastAsia="Arial" w:hAnsi="Arial" w:cs="Arial"/>
          <w:i/>
          <w:color w:val="202020"/>
        </w:rPr>
        <w:t>En el caso de subvenciones de capital iguales o superiores a</w:t>
      </w:r>
      <w:r>
        <w:rPr>
          <w:rFonts w:ascii="Arial" w:eastAsia="Arial" w:hAnsi="Arial" w:cs="Arial"/>
          <w:i/>
          <w:color w:val="202020"/>
        </w:rPr>
        <w:t xml:space="preserve"> 90.000 euros, en su cómputo individual, destinadas a inversiones en activos tangibles, el órgano concedente deberá proceder a realizar la comprobación material de la inversión, levantando la correspondiente acta que lo acredite, firmada, tanto por el repr</w:t>
      </w:r>
      <w:r>
        <w:rPr>
          <w:rFonts w:ascii="Arial" w:eastAsia="Arial" w:hAnsi="Arial" w:cs="Arial"/>
          <w:i/>
          <w:color w:val="202020"/>
        </w:rPr>
        <w:t>esentante de la Administración, como por el beneficiario, que deberá unirse al resto de la documentación justificativa. Cuando por la naturaleza de la inversión realizada no fuera posible comprobar materialmente su existencia, se podrá sustituir el acta po</w:t>
      </w:r>
      <w:r>
        <w:rPr>
          <w:rFonts w:ascii="Arial" w:eastAsia="Arial" w:hAnsi="Arial" w:cs="Arial"/>
          <w:i/>
          <w:color w:val="202020"/>
        </w:rPr>
        <w:t>r una justificación documental que constate de forma razonable y suficiente la realización de la actividad subvencionada. Si existen pagos fraccionados o anticipados de la subvención, se efectuará, en todo caso, una comprobación antes del pago final o liqu</w:t>
      </w:r>
      <w:r>
        <w:rPr>
          <w:rFonts w:ascii="Arial" w:eastAsia="Arial" w:hAnsi="Arial" w:cs="Arial"/>
          <w:i/>
          <w:color w:val="202020"/>
        </w:rPr>
        <w:t xml:space="preserve">idación de la misma. </w:t>
      </w:r>
    </w:p>
    <w:p w:rsidR="00FF384B" w:rsidRDefault="003E3BA9">
      <w:pPr>
        <w:spacing w:after="142" w:line="248" w:lineRule="auto"/>
        <w:ind w:left="278" w:right="244" w:hanging="10"/>
        <w:jc w:val="both"/>
      </w:pPr>
      <w:r>
        <w:rPr>
          <w:rFonts w:ascii="Arial" w:eastAsia="Arial" w:hAnsi="Arial" w:cs="Arial"/>
          <w:color w:val="202020"/>
        </w:rPr>
        <w:t xml:space="preserve">Artículo 56. Comprobación de valores. </w:t>
      </w:r>
    </w:p>
    <w:p w:rsidR="00FF384B" w:rsidRDefault="003E3BA9">
      <w:pPr>
        <w:spacing w:after="143" w:line="248" w:lineRule="auto"/>
        <w:ind w:left="278" w:right="244" w:hanging="10"/>
        <w:jc w:val="both"/>
      </w:pPr>
      <w:r>
        <w:rPr>
          <w:rFonts w:ascii="Arial" w:eastAsia="Arial" w:hAnsi="Arial" w:cs="Arial"/>
          <w:i/>
          <w:color w:val="202020"/>
        </w:rPr>
        <w:t>Por los órganos gestores podrá efectuarse la comprobación del valor de mercado de los gastos subvencionados, empleando cualquiera de los medios previstos en la legislación de subvenciones vigente</w:t>
      </w:r>
      <w:r>
        <w:rPr>
          <w:rFonts w:ascii="Arial" w:eastAsia="Arial" w:hAnsi="Arial" w:cs="Arial"/>
          <w:i/>
          <w:color w:val="202020"/>
        </w:rPr>
        <w:t xml:space="preserve">. El resultado de dichas comprobaciones efectuadas en su caso, deberá notificarse al beneficiario, debidamente motivado, con expresión de los criterios empleados junto con la resolución del acto que contiene la resolución de la subvención. </w:t>
      </w:r>
    </w:p>
    <w:p w:rsidR="00FF384B" w:rsidRDefault="003E3BA9">
      <w:pPr>
        <w:spacing w:after="143" w:line="248" w:lineRule="auto"/>
        <w:ind w:left="278" w:right="244" w:hanging="10"/>
        <w:jc w:val="both"/>
      </w:pPr>
      <w:r>
        <w:rPr>
          <w:rFonts w:ascii="Arial" w:eastAsia="Arial" w:hAnsi="Arial" w:cs="Arial"/>
          <w:i/>
          <w:color w:val="202020"/>
        </w:rPr>
        <w:t>El beneficiario</w:t>
      </w:r>
      <w:r>
        <w:rPr>
          <w:rFonts w:ascii="Arial" w:eastAsia="Arial" w:hAnsi="Arial" w:cs="Arial"/>
          <w:i/>
          <w:color w:val="202020"/>
        </w:rPr>
        <w:t xml:space="preserve"> podrá promover la tasación pericial contradictoria. La solicitud de la misma suspenderá la ejecución del procedimiento resuelto y del plazo para interponer recurso contra éste. </w:t>
      </w:r>
    </w:p>
    <w:p w:rsidR="00FF384B" w:rsidRDefault="003E3BA9">
      <w:pPr>
        <w:spacing w:after="0" w:line="248" w:lineRule="auto"/>
        <w:ind w:left="278" w:right="244" w:hanging="10"/>
        <w:jc w:val="both"/>
      </w:pPr>
      <w:r>
        <w:rPr>
          <w:rFonts w:ascii="Arial" w:eastAsia="Arial" w:hAnsi="Arial" w:cs="Arial"/>
          <w:i/>
          <w:color w:val="202020"/>
        </w:rPr>
        <w:t xml:space="preserve">Si la diferencia entre el valor comprobado por la Administración y la tasación practicada por el perito de la persona beneficiaria es inferior a 120.000 euros y al 10 por 100 del valor comprobado por la Administración, la tasación del perito de la persona </w:t>
      </w:r>
      <w:r>
        <w:rPr>
          <w:rFonts w:ascii="Arial" w:eastAsia="Arial" w:hAnsi="Arial" w:cs="Arial"/>
          <w:i/>
          <w:color w:val="202020"/>
        </w:rPr>
        <w:t xml:space="preserve">beneficiaria servirá de base para el cálculo de la subvención. En caso contrario, deberá designarse un perito tercero en los términos que se determinen reglamentariamente. </w:t>
      </w:r>
    </w:p>
    <w:p w:rsidR="00FF384B" w:rsidRDefault="003E3BA9">
      <w:pPr>
        <w:spacing w:after="0"/>
        <w:ind w:left="283"/>
      </w:pP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Los honorarios del perito de la persona beneficiaria serán satisfechos por ésta. </w:t>
      </w:r>
      <w:r>
        <w:rPr>
          <w:rFonts w:ascii="Arial" w:eastAsia="Arial" w:hAnsi="Arial" w:cs="Arial"/>
          <w:i/>
          <w:color w:val="202020"/>
        </w:rPr>
        <w:t>Cuando la tasación practicada por el perito tercero fuese inferior al valor justificado por la persona beneficiaria, todos los gastos de la pericia serán abonados por éste, y, por el contrario, en caso de ser superior, serán de cuenta de la Administración.</w:t>
      </w:r>
      <w:r>
        <w:rPr>
          <w:rFonts w:ascii="Arial" w:eastAsia="Arial" w:hAnsi="Arial" w:cs="Arial"/>
          <w:i/>
          <w:color w:val="202020"/>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La valoración del perito tercero servirá de base para la determinación del importe de la subvención. </w:t>
      </w:r>
    </w:p>
    <w:p w:rsidR="00FF384B" w:rsidRDefault="003E3BA9">
      <w:pPr>
        <w:spacing w:after="142" w:line="248" w:lineRule="auto"/>
        <w:ind w:left="278" w:right="244" w:hanging="10"/>
        <w:jc w:val="both"/>
      </w:pPr>
      <w:r>
        <w:rPr>
          <w:rFonts w:ascii="Arial" w:eastAsia="Arial" w:hAnsi="Arial" w:cs="Arial"/>
          <w:color w:val="202020"/>
        </w:rPr>
        <w:t xml:space="preserve">Artículo 57. Revocación. </w:t>
      </w:r>
    </w:p>
    <w:p w:rsidR="00FF384B" w:rsidRDefault="003E3BA9">
      <w:pPr>
        <w:numPr>
          <w:ilvl w:val="0"/>
          <w:numId w:val="242"/>
        </w:numPr>
        <w:spacing w:after="151" w:line="240" w:lineRule="auto"/>
        <w:ind w:right="244" w:hanging="10"/>
      </w:pPr>
      <w:r>
        <w:rPr>
          <w:rFonts w:ascii="Arial" w:eastAsia="Arial" w:hAnsi="Arial" w:cs="Arial"/>
          <w:i/>
          <w:color w:val="202020"/>
        </w:rPr>
        <w:t xml:space="preserve">Se producirá la revocación del acto de concesión válidamente adoptado, con la consiguiente pérdida del derecho al cobro de la </w:t>
      </w:r>
      <w:r>
        <w:rPr>
          <w:rFonts w:ascii="Arial" w:eastAsia="Arial" w:hAnsi="Arial" w:cs="Arial"/>
          <w:i/>
          <w:color w:val="202020"/>
        </w:rPr>
        <w:t>subvención, en todo caso, cuando se compruebe que el proyecto defienda intereses corporativos o de grupos que sean ajenos a los intereses de los vecinos o que tengan contenido imposible, inconstitucional, ilegal o constitutivo de delito, cuando el benefici</w:t>
      </w:r>
      <w:r>
        <w:rPr>
          <w:rFonts w:ascii="Arial" w:eastAsia="Arial" w:hAnsi="Arial" w:cs="Arial"/>
          <w:i/>
          <w:color w:val="202020"/>
        </w:rPr>
        <w:t xml:space="preserve">ario incumpla las obligaciones de justificación o el resto de las obligaciones y compromisos contraídos o concurra cualquier otra causa de las previstas de reintegro en el artículo 59 de esta Ordenanza. </w:t>
      </w:r>
    </w:p>
    <w:p w:rsidR="00FF384B" w:rsidRDefault="003E3BA9">
      <w:pPr>
        <w:numPr>
          <w:ilvl w:val="0"/>
          <w:numId w:val="242"/>
        </w:numPr>
        <w:spacing w:after="294" w:line="248" w:lineRule="auto"/>
        <w:ind w:right="244" w:hanging="10"/>
      </w:pPr>
      <w:r>
        <w:rPr>
          <w:rFonts w:ascii="Arial" w:eastAsia="Arial" w:hAnsi="Arial" w:cs="Arial"/>
          <w:i/>
          <w:color w:val="202020"/>
        </w:rPr>
        <w:t>Si como consecuencia de los incumplimientos previsto</w:t>
      </w:r>
      <w:r>
        <w:rPr>
          <w:rFonts w:ascii="Arial" w:eastAsia="Arial" w:hAnsi="Arial" w:cs="Arial"/>
          <w:i/>
          <w:color w:val="202020"/>
        </w:rPr>
        <w:t xml:space="preserve">s en el apartado anterior, procediese el reintegro, total o parcial, de la subvención indebidamente percibida, la declaración de revocación se producirá en el procedimiento de reintegro de esta Ordenanza. </w:t>
      </w:r>
    </w:p>
    <w:p w:rsidR="00FF384B" w:rsidRDefault="003E3BA9">
      <w:pPr>
        <w:spacing w:after="93" w:line="248" w:lineRule="auto"/>
        <w:ind w:left="278" w:right="244" w:hanging="10"/>
        <w:jc w:val="both"/>
      </w:pPr>
      <w:r>
        <w:rPr>
          <w:rFonts w:ascii="Arial" w:eastAsia="Arial" w:hAnsi="Arial" w:cs="Arial"/>
          <w:i/>
          <w:color w:val="202020"/>
        </w:rPr>
        <w:t>CAPÍTULO IV. Reintegro de las subvenciones.</w:t>
      </w:r>
      <w:r>
        <w:rPr>
          <w:sz w:val="26"/>
        </w:rPr>
        <w:t xml:space="preserve"> </w:t>
      </w:r>
    </w:p>
    <w:p w:rsidR="00FF384B" w:rsidRDefault="003E3BA9">
      <w:pPr>
        <w:spacing w:after="142" w:line="248" w:lineRule="auto"/>
        <w:ind w:left="278" w:right="244" w:hanging="10"/>
        <w:jc w:val="both"/>
      </w:pPr>
      <w:r>
        <w:rPr>
          <w:noProof/>
        </w:rPr>
        <mc:AlternateContent>
          <mc:Choice Requires="wpg">
            <w:drawing>
              <wp:anchor distT="0" distB="0" distL="114300" distR="114300" simplePos="0" relativeHeight="2518466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694" name="Group 47669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432" name="Picture 33432"/>
                          <pic:cNvPicPr/>
                        </pic:nvPicPr>
                        <pic:blipFill>
                          <a:blip r:embed="rId62"/>
                          <a:stretch>
                            <a:fillRect/>
                          </a:stretch>
                        </pic:blipFill>
                        <pic:spPr>
                          <a:xfrm rot="-5399999">
                            <a:off x="-1720849" y="1720849"/>
                            <a:ext cx="3797300" cy="355601"/>
                          </a:xfrm>
                          <a:prstGeom prst="rect">
                            <a:avLst/>
                          </a:prstGeom>
                        </pic:spPr>
                      </pic:pic>
                      <wps:wsp>
                        <wps:cNvPr id="33433" name="Rectangle 3343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w:t>
                              </w:r>
                              <w:r>
                                <w:rPr>
                                  <w:rFonts w:ascii="Arial" w:eastAsia="Arial" w:hAnsi="Arial" w:cs="Arial"/>
                                  <w:sz w:val="12"/>
                                </w:rPr>
                                <w:t xml:space="preserve">d. Validación: 9792ADAG9QWZ53RMHD5RCHL7K | Verificación: https://candelaria.sedelectronica.es/ </w:t>
                              </w:r>
                            </w:p>
                          </w:txbxContent>
                        </wps:txbx>
                        <wps:bodyPr horzOverflow="overflow" vert="horz" lIns="0" tIns="0" rIns="0" bIns="0" rtlCol="0">
                          <a:noAutofit/>
                        </wps:bodyPr>
                      </wps:wsp>
                      <wps:wsp>
                        <wps:cNvPr id="33434" name="Rectangle 3343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694" style="width:41.2715pt;height:299pt;position:absolute;mso-position-horizontal-relative:page;mso-position-horizontal:absolute;margin-left:653.71pt;mso-position-vertical-relative:page;margin-top:512.92pt;" coordsize="5241,37973">
                <v:shape id="Picture 33432" style="position:absolute;width:37973;height:3556;left:-17208;top:17208;rotation:-89;" filled="f">
                  <v:imagedata r:id="rId63"/>
                </v:shape>
                <v:rect id="Rectangle 3343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43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183 de 353 </w:t>
                        </w:r>
                      </w:p>
                    </w:txbxContent>
                  </v:textbox>
                </v:rect>
                <w10:wrap type="square"/>
              </v:group>
            </w:pict>
          </mc:Fallback>
        </mc:AlternateContent>
      </w:r>
      <w:r>
        <w:rPr>
          <w:rFonts w:ascii="Arial" w:eastAsia="Arial" w:hAnsi="Arial" w:cs="Arial"/>
          <w:color w:val="202020"/>
        </w:rPr>
        <w:t>Artículo 58. Causas de invalidez de la resolución de concesión.</w:t>
      </w:r>
      <w:r>
        <w:rPr>
          <w:rFonts w:ascii="Arial" w:eastAsia="Arial" w:hAnsi="Arial" w:cs="Arial"/>
          <w:color w:val="202020"/>
        </w:rPr>
        <w:t xml:space="preserve"> </w:t>
      </w:r>
    </w:p>
    <w:p w:rsidR="00FF384B" w:rsidRDefault="003E3BA9">
      <w:pPr>
        <w:numPr>
          <w:ilvl w:val="0"/>
          <w:numId w:val="243"/>
        </w:numPr>
        <w:spacing w:after="143" w:line="248" w:lineRule="auto"/>
        <w:ind w:right="244" w:hanging="247"/>
        <w:jc w:val="both"/>
      </w:pPr>
      <w:r>
        <w:rPr>
          <w:rFonts w:ascii="Arial" w:eastAsia="Arial" w:hAnsi="Arial" w:cs="Arial"/>
          <w:i/>
          <w:color w:val="202020"/>
        </w:rPr>
        <w:t xml:space="preserve">Son causas de nulidad de la resolución de concesión: </w:t>
      </w:r>
    </w:p>
    <w:p w:rsidR="00FF384B" w:rsidRDefault="003E3BA9">
      <w:pPr>
        <w:numPr>
          <w:ilvl w:val="1"/>
          <w:numId w:val="243"/>
        </w:numPr>
        <w:spacing w:after="93" w:line="248" w:lineRule="auto"/>
        <w:ind w:right="244" w:hanging="360"/>
        <w:jc w:val="both"/>
      </w:pPr>
      <w:r>
        <w:rPr>
          <w:rFonts w:ascii="Arial" w:eastAsia="Arial" w:hAnsi="Arial" w:cs="Arial"/>
          <w:i/>
          <w:color w:val="202020"/>
        </w:rPr>
        <w:t xml:space="preserve">a) Las previstas en la legislación vigente en materia de Régimen Jurídico de las Administraciones Públicas y Procedimiento Administrativo. </w:t>
      </w:r>
    </w:p>
    <w:p w:rsidR="00FF384B" w:rsidRDefault="003E3BA9">
      <w:pPr>
        <w:numPr>
          <w:ilvl w:val="1"/>
          <w:numId w:val="243"/>
        </w:numPr>
        <w:spacing w:after="92" w:line="248" w:lineRule="auto"/>
        <w:ind w:right="244" w:hanging="360"/>
        <w:jc w:val="both"/>
      </w:pPr>
      <w:r>
        <w:rPr>
          <w:rFonts w:ascii="Arial" w:eastAsia="Arial" w:hAnsi="Arial" w:cs="Arial"/>
          <w:i/>
          <w:color w:val="202020"/>
        </w:rPr>
        <w:t>b) La carencia o insuficiencia de crédito de conformidad con</w:t>
      </w:r>
      <w:r>
        <w:rPr>
          <w:rFonts w:ascii="Arial" w:eastAsia="Arial" w:hAnsi="Arial" w:cs="Arial"/>
          <w:i/>
          <w:color w:val="202020"/>
        </w:rPr>
        <w:t xml:space="preserve"> lo establecido en el Real Decreto legislativo 2/2004, de 5 de marzo, que aprueba el texto refundido de la Ley de Haciendas Locales. </w:t>
      </w:r>
    </w:p>
    <w:p w:rsidR="00FF384B" w:rsidRDefault="003E3BA9">
      <w:pPr>
        <w:numPr>
          <w:ilvl w:val="0"/>
          <w:numId w:val="243"/>
        </w:numPr>
        <w:spacing w:after="143" w:line="248" w:lineRule="auto"/>
        <w:ind w:right="244" w:hanging="247"/>
        <w:jc w:val="both"/>
      </w:pPr>
      <w:r>
        <w:rPr>
          <w:rFonts w:ascii="Arial" w:eastAsia="Arial" w:hAnsi="Arial" w:cs="Arial"/>
          <w:i/>
          <w:color w:val="202020"/>
        </w:rPr>
        <w:t xml:space="preserve">Son causas de anulabilidad de la resolución de concesión las demás infracciones del ordenamiento jurídico y, en especial, </w:t>
      </w:r>
      <w:r>
        <w:rPr>
          <w:rFonts w:ascii="Arial" w:eastAsia="Arial" w:hAnsi="Arial" w:cs="Arial"/>
          <w:i/>
          <w:color w:val="202020"/>
        </w:rPr>
        <w:t xml:space="preserve">de las reglas contenidas en la presente ordenanza, de conformidad con lo previsto en la legislación vigente en materia de Régimen Jurídico de las Administraciones Públicas y Procedimiento Administrativo. </w:t>
      </w:r>
    </w:p>
    <w:p w:rsidR="00FF384B" w:rsidRDefault="003E3BA9">
      <w:pPr>
        <w:numPr>
          <w:ilvl w:val="0"/>
          <w:numId w:val="243"/>
        </w:numPr>
        <w:spacing w:after="143" w:line="248" w:lineRule="auto"/>
        <w:ind w:right="244" w:hanging="247"/>
        <w:jc w:val="both"/>
      </w:pPr>
      <w:r>
        <w:rPr>
          <w:rFonts w:ascii="Arial" w:eastAsia="Arial" w:hAnsi="Arial" w:cs="Arial"/>
          <w:i/>
          <w:color w:val="202020"/>
        </w:rPr>
        <w:t>Cuando el acto de concesión incurriera en alguna de</w:t>
      </w:r>
      <w:r>
        <w:rPr>
          <w:rFonts w:ascii="Arial" w:eastAsia="Arial" w:hAnsi="Arial" w:cs="Arial"/>
          <w:i/>
          <w:color w:val="202020"/>
        </w:rPr>
        <w:t xml:space="preserve"> las causas previstas anteriormente, el órgano concedente procederá a su revisión de oficio o, en su caso, a la declaración de lesividad y ulterior impugnación, de conformidad con lo previsto en la legislación vigente en materia de Régimen Jurídico de las </w:t>
      </w:r>
      <w:r>
        <w:rPr>
          <w:rFonts w:ascii="Arial" w:eastAsia="Arial" w:hAnsi="Arial" w:cs="Arial"/>
          <w:i/>
          <w:color w:val="202020"/>
        </w:rPr>
        <w:t xml:space="preserve">Administraciones Públicas y Procedimiento Administrativo. </w:t>
      </w:r>
    </w:p>
    <w:p w:rsidR="00FF384B" w:rsidRDefault="003E3BA9">
      <w:pPr>
        <w:numPr>
          <w:ilvl w:val="0"/>
          <w:numId w:val="243"/>
        </w:numPr>
        <w:spacing w:after="143" w:line="248" w:lineRule="auto"/>
        <w:ind w:right="244" w:hanging="247"/>
        <w:jc w:val="both"/>
      </w:pPr>
      <w:r>
        <w:rPr>
          <w:rFonts w:ascii="Arial" w:eastAsia="Arial" w:hAnsi="Arial" w:cs="Arial"/>
          <w:i/>
          <w:color w:val="202020"/>
        </w:rPr>
        <w:t xml:space="preserve">La declaración judicial o administrativa de nulidad o anulación llevará consigo la obligación de devolver las cantidades percibidas. </w:t>
      </w:r>
    </w:p>
    <w:p w:rsidR="00FF384B" w:rsidRDefault="003E3BA9">
      <w:pPr>
        <w:numPr>
          <w:ilvl w:val="0"/>
          <w:numId w:val="243"/>
        </w:numPr>
        <w:spacing w:after="143" w:line="248" w:lineRule="auto"/>
        <w:ind w:right="244" w:hanging="247"/>
        <w:jc w:val="both"/>
      </w:pPr>
      <w:r>
        <w:rPr>
          <w:rFonts w:ascii="Arial" w:eastAsia="Arial" w:hAnsi="Arial" w:cs="Arial"/>
          <w:i/>
          <w:color w:val="202020"/>
        </w:rPr>
        <w:t>No procederá la revisión de oficio del acto de concesión cuando</w:t>
      </w:r>
      <w:r>
        <w:rPr>
          <w:rFonts w:ascii="Arial" w:eastAsia="Arial" w:hAnsi="Arial" w:cs="Arial"/>
          <w:i/>
          <w:color w:val="202020"/>
        </w:rPr>
        <w:t xml:space="preserve"> concurra alguna de las causas de reintegro contempladas en el artículo siguiente. </w:t>
      </w:r>
    </w:p>
    <w:p w:rsidR="00FF384B" w:rsidRDefault="003E3BA9">
      <w:pPr>
        <w:spacing w:after="142" w:line="248" w:lineRule="auto"/>
        <w:ind w:left="278" w:right="244" w:hanging="10"/>
        <w:jc w:val="both"/>
      </w:pPr>
      <w:r>
        <w:rPr>
          <w:rFonts w:ascii="Arial" w:eastAsia="Arial" w:hAnsi="Arial" w:cs="Arial"/>
          <w:color w:val="202020"/>
        </w:rPr>
        <w:t xml:space="preserve">Artículo 59. Causas de reintegro. </w:t>
      </w:r>
    </w:p>
    <w:p w:rsidR="00FF384B" w:rsidRDefault="003E3BA9">
      <w:pPr>
        <w:spacing w:after="143" w:line="248" w:lineRule="auto"/>
        <w:ind w:left="278" w:right="244" w:hanging="10"/>
        <w:jc w:val="both"/>
      </w:pPr>
      <w:r>
        <w:rPr>
          <w:rFonts w:ascii="Arial" w:eastAsia="Arial" w:hAnsi="Arial" w:cs="Arial"/>
          <w:i/>
          <w:color w:val="202020"/>
        </w:rPr>
        <w:t xml:space="preserve">Procederá el reintegro de las cantidades percibidas y la exigencia del interés de demora correspondiente desde el momento del pago de la </w:t>
      </w:r>
      <w:r>
        <w:rPr>
          <w:rFonts w:ascii="Arial" w:eastAsia="Arial" w:hAnsi="Arial" w:cs="Arial"/>
          <w:i/>
          <w:color w:val="202020"/>
        </w:rPr>
        <w:t xml:space="preserve">subvención hasta la fecha en que se acuerde la procedencia del reintegro y, en su caso, la anulación de obligaciones pendientes de pago. </w:t>
      </w:r>
    </w:p>
    <w:p w:rsidR="00FF384B" w:rsidRDefault="003E3BA9">
      <w:pPr>
        <w:spacing w:after="142" w:line="248" w:lineRule="auto"/>
        <w:ind w:left="278" w:right="244" w:hanging="10"/>
        <w:jc w:val="both"/>
      </w:pPr>
      <w:r>
        <w:rPr>
          <w:rFonts w:ascii="Arial" w:eastAsia="Arial" w:hAnsi="Arial" w:cs="Arial"/>
          <w:color w:val="202020"/>
        </w:rPr>
        <w:t xml:space="preserve">Artículo 60. Naturaleza del crédito a reintegrar y de los procedimientos para su exigencia. </w:t>
      </w:r>
    </w:p>
    <w:p w:rsidR="00FF384B" w:rsidRDefault="003E3BA9">
      <w:pPr>
        <w:numPr>
          <w:ilvl w:val="0"/>
          <w:numId w:val="244"/>
        </w:numPr>
        <w:spacing w:after="143" w:line="248" w:lineRule="auto"/>
        <w:ind w:right="244" w:hanging="10"/>
        <w:jc w:val="both"/>
      </w:pPr>
      <w:r>
        <w:rPr>
          <w:rFonts w:ascii="Arial" w:eastAsia="Arial" w:hAnsi="Arial" w:cs="Arial"/>
          <w:i/>
          <w:color w:val="202020"/>
        </w:rPr>
        <w:t>Las cantidades a reintegr</w:t>
      </w:r>
      <w:r>
        <w:rPr>
          <w:rFonts w:ascii="Arial" w:eastAsia="Arial" w:hAnsi="Arial" w:cs="Arial"/>
          <w:i/>
          <w:color w:val="202020"/>
        </w:rPr>
        <w:t xml:space="preserve">ar tendrán la consideración de ingresos de derecho público para su cobranza, aplicándose la Ley General Presupuestaria y el Reglamento General de Recaudación para ello; el procedimiento de reintegro tendrá siempre carácter administrativo. </w:t>
      </w:r>
    </w:p>
    <w:p w:rsidR="00FF384B" w:rsidRDefault="003E3BA9">
      <w:pPr>
        <w:numPr>
          <w:ilvl w:val="0"/>
          <w:numId w:val="244"/>
        </w:numPr>
        <w:spacing w:after="143" w:line="248" w:lineRule="auto"/>
        <w:ind w:right="244" w:hanging="10"/>
        <w:jc w:val="both"/>
      </w:pPr>
      <w:r>
        <w:rPr>
          <w:rFonts w:ascii="Arial" w:eastAsia="Arial" w:hAnsi="Arial" w:cs="Arial"/>
          <w:i/>
          <w:color w:val="202020"/>
        </w:rPr>
        <w:t xml:space="preserve">El reintegro de </w:t>
      </w:r>
      <w:r>
        <w:rPr>
          <w:rFonts w:ascii="Arial" w:eastAsia="Arial" w:hAnsi="Arial" w:cs="Arial"/>
          <w:i/>
          <w:color w:val="202020"/>
        </w:rPr>
        <w:t xml:space="preserve">las cantidades percibidas llevará aparejada la exigencia del interés de demora correspondiente desde el momento del pago de la subvención hasta la fecha en que se acuerde la procedencia del reintegro. </w:t>
      </w:r>
    </w:p>
    <w:p w:rsidR="00FF384B" w:rsidRDefault="003E3BA9">
      <w:pPr>
        <w:numPr>
          <w:ilvl w:val="0"/>
          <w:numId w:val="244"/>
        </w:numPr>
        <w:spacing w:after="143" w:line="248" w:lineRule="auto"/>
        <w:ind w:right="244" w:hanging="10"/>
        <w:jc w:val="both"/>
      </w:pPr>
      <w:r>
        <w:rPr>
          <w:rFonts w:ascii="Arial" w:eastAsia="Arial" w:hAnsi="Arial" w:cs="Arial"/>
          <w:i/>
          <w:color w:val="202020"/>
        </w:rPr>
        <w:t>El interés de demora aplicable en materia de subvencio</w:t>
      </w:r>
      <w:r>
        <w:rPr>
          <w:rFonts w:ascii="Arial" w:eastAsia="Arial" w:hAnsi="Arial" w:cs="Arial"/>
          <w:i/>
          <w:color w:val="202020"/>
        </w:rPr>
        <w:t xml:space="preserve">nes será el interés legal del dinero incrementado en un 25%, salvo que la Ley de Presupuestos Generales del Estado establezca otro diferente. </w:t>
      </w:r>
    </w:p>
    <w:p w:rsidR="00FF384B" w:rsidRDefault="003E3BA9">
      <w:pPr>
        <w:numPr>
          <w:ilvl w:val="0"/>
          <w:numId w:val="244"/>
        </w:numPr>
        <w:spacing w:after="143" w:line="248" w:lineRule="auto"/>
        <w:ind w:right="244" w:hanging="10"/>
        <w:jc w:val="both"/>
      </w:pPr>
      <w:r>
        <w:rPr>
          <w:rFonts w:ascii="Arial" w:eastAsia="Arial" w:hAnsi="Arial" w:cs="Arial"/>
          <w:i/>
          <w:color w:val="202020"/>
        </w:rPr>
        <w:t xml:space="preserve">El destino de los reintegros de los fondos procedentes de la Unión Europea tendrá el tratamiento que, en su caso, determine la normativa comunitaria. </w:t>
      </w:r>
    </w:p>
    <w:p w:rsidR="00FF384B" w:rsidRDefault="003E3BA9">
      <w:pPr>
        <w:spacing w:after="142" w:line="248" w:lineRule="auto"/>
        <w:ind w:left="278" w:right="244" w:hanging="10"/>
        <w:jc w:val="both"/>
      </w:pPr>
      <w:r>
        <w:rPr>
          <w:noProof/>
        </w:rPr>
        <mc:AlternateContent>
          <mc:Choice Requires="wpg">
            <w:drawing>
              <wp:anchor distT="0" distB="0" distL="114300" distR="114300" simplePos="0" relativeHeight="2518476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643" name="Group 47664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576" name="Picture 33576"/>
                          <pic:cNvPicPr/>
                        </pic:nvPicPr>
                        <pic:blipFill>
                          <a:blip r:embed="rId62"/>
                          <a:stretch>
                            <a:fillRect/>
                          </a:stretch>
                        </pic:blipFill>
                        <pic:spPr>
                          <a:xfrm rot="-5399999">
                            <a:off x="-1720849" y="1720849"/>
                            <a:ext cx="3797300" cy="355601"/>
                          </a:xfrm>
                          <a:prstGeom prst="rect">
                            <a:avLst/>
                          </a:prstGeom>
                        </pic:spPr>
                      </pic:pic>
                      <wps:wsp>
                        <wps:cNvPr id="33577" name="Rectangle 3357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578" name="Rectangle 3357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643" style="width:41.2715pt;height:299pt;position:absolute;mso-position-horizontal-relative:page;mso-position-horizontal:absolute;margin-left:653.71pt;mso-position-vertical-relative:page;margin-top:512.92pt;" coordsize="5241,37973">
                <v:shape id="Picture 33576" style="position:absolute;width:37973;height:3556;left:-17208;top:17208;rotation:-89;" filled="f">
                  <v:imagedata r:id="rId63"/>
                </v:shape>
                <v:rect id="Rectangle 3357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57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184 de 353 </w:t>
                        </w:r>
                      </w:p>
                    </w:txbxContent>
                  </v:textbox>
                </v:rect>
                <w10:wrap type="square"/>
              </v:group>
            </w:pict>
          </mc:Fallback>
        </mc:AlternateContent>
      </w:r>
      <w:r>
        <w:rPr>
          <w:rFonts w:ascii="Arial" w:eastAsia="Arial" w:hAnsi="Arial" w:cs="Arial"/>
          <w:color w:val="202020"/>
        </w:rPr>
        <w:t xml:space="preserve">Artículo 61 Reintegro parcial. </w:t>
      </w:r>
    </w:p>
    <w:p w:rsidR="00FF384B" w:rsidRDefault="003E3BA9">
      <w:pPr>
        <w:numPr>
          <w:ilvl w:val="0"/>
          <w:numId w:val="245"/>
        </w:numPr>
        <w:spacing w:after="143" w:line="248" w:lineRule="auto"/>
        <w:ind w:right="244" w:hanging="10"/>
        <w:jc w:val="both"/>
      </w:pPr>
      <w:r>
        <w:rPr>
          <w:rFonts w:ascii="Arial" w:eastAsia="Arial" w:hAnsi="Arial" w:cs="Arial"/>
          <w:i/>
          <w:color w:val="202020"/>
        </w:rPr>
        <w:t>El reintegro parcial de la subvención se regirá por los criterios de gradación de los posibles incumplimientos de las condiciones</w:t>
      </w:r>
      <w:r>
        <w:rPr>
          <w:rFonts w:ascii="Arial" w:eastAsia="Arial" w:hAnsi="Arial" w:cs="Arial"/>
          <w:i/>
          <w:color w:val="202020"/>
        </w:rPr>
        <w:t xml:space="preserve"> impuestas con motivo de la concesión y por el principio de proporcionalidad. </w:t>
      </w:r>
    </w:p>
    <w:p w:rsidR="00FF384B" w:rsidRDefault="003E3BA9">
      <w:pPr>
        <w:numPr>
          <w:ilvl w:val="0"/>
          <w:numId w:val="245"/>
        </w:numPr>
        <w:spacing w:after="143" w:line="248" w:lineRule="auto"/>
        <w:ind w:right="244" w:hanging="10"/>
        <w:jc w:val="both"/>
      </w:pPr>
      <w:r>
        <w:rPr>
          <w:rFonts w:ascii="Arial" w:eastAsia="Arial" w:hAnsi="Arial" w:cs="Arial"/>
          <w:i/>
          <w:color w:val="202020"/>
        </w:rPr>
        <w:t>Los criterios de gradación que se fijen en las convocatorias deberán tener en cuenta, entre otros, el porcentaje de ejecución de la acción que se subvenciona y el cumplimiento d</w:t>
      </w:r>
      <w:r>
        <w:rPr>
          <w:rFonts w:ascii="Arial" w:eastAsia="Arial" w:hAnsi="Arial" w:cs="Arial"/>
          <w:i/>
          <w:color w:val="202020"/>
        </w:rPr>
        <w:t xml:space="preserve">e las obligaciones por los beneficiarios. </w:t>
      </w:r>
    </w:p>
    <w:p w:rsidR="00FF384B" w:rsidRDefault="003E3BA9">
      <w:pPr>
        <w:spacing w:after="142" w:line="248" w:lineRule="auto"/>
        <w:ind w:left="278" w:right="244" w:hanging="10"/>
        <w:jc w:val="both"/>
      </w:pPr>
      <w:r>
        <w:rPr>
          <w:rFonts w:ascii="Arial" w:eastAsia="Arial" w:hAnsi="Arial" w:cs="Arial"/>
          <w:color w:val="202020"/>
        </w:rPr>
        <w:t xml:space="preserve">Artículo 62. Prescripción. </w:t>
      </w:r>
    </w:p>
    <w:p w:rsidR="00FF384B" w:rsidRDefault="003E3BA9">
      <w:pPr>
        <w:spacing w:after="143" w:line="248" w:lineRule="auto"/>
        <w:ind w:left="278" w:right="244" w:hanging="10"/>
        <w:jc w:val="both"/>
      </w:pPr>
      <w:r>
        <w:rPr>
          <w:rFonts w:ascii="Arial" w:eastAsia="Arial" w:hAnsi="Arial" w:cs="Arial"/>
          <w:i/>
          <w:color w:val="202020"/>
        </w:rPr>
        <w:t>1. Prescribirá a los cuatro años el derecho a reconocer o liquidar el reintegro. 2. El cómputo del plazo y la interrupción de la prescripción se regirán por lo dispuesto en la Ley Gener</w:t>
      </w:r>
      <w:r>
        <w:rPr>
          <w:rFonts w:ascii="Arial" w:eastAsia="Arial" w:hAnsi="Arial" w:cs="Arial"/>
          <w:i/>
          <w:color w:val="202020"/>
        </w:rPr>
        <w:t xml:space="preserve">al Tributaria. </w:t>
      </w:r>
      <w:r>
        <w:rPr>
          <w:rFonts w:ascii="Arial" w:eastAsia="Arial" w:hAnsi="Arial" w:cs="Arial"/>
          <w:color w:val="202020"/>
        </w:rPr>
        <w:t xml:space="preserve">Artículo 63. Obligados al reintegro. </w:t>
      </w:r>
    </w:p>
    <w:p w:rsidR="00FF384B" w:rsidRDefault="003E3BA9">
      <w:pPr>
        <w:numPr>
          <w:ilvl w:val="0"/>
          <w:numId w:val="246"/>
        </w:numPr>
        <w:spacing w:after="143" w:line="248" w:lineRule="auto"/>
        <w:ind w:right="244" w:hanging="10"/>
        <w:jc w:val="both"/>
      </w:pPr>
      <w:r>
        <w:rPr>
          <w:rFonts w:ascii="Arial" w:eastAsia="Arial" w:hAnsi="Arial" w:cs="Arial"/>
          <w:i/>
          <w:color w:val="202020"/>
        </w:rPr>
        <w:t>Los beneficiarios y entidades colaboradoras deberán reintegrar la totalidad o parte de las cantidades percibidas más los correspondientes intereses de demora. Esta obligación será independiente de las sa</w:t>
      </w:r>
      <w:r>
        <w:rPr>
          <w:rFonts w:ascii="Arial" w:eastAsia="Arial" w:hAnsi="Arial" w:cs="Arial"/>
          <w:i/>
          <w:color w:val="202020"/>
        </w:rPr>
        <w:t xml:space="preserve">nciones que, en su caso, resulten exigibles. </w:t>
      </w:r>
    </w:p>
    <w:p w:rsidR="00FF384B" w:rsidRDefault="003E3BA9">
      <w:pPr>
        <w:numPr>
          <w:ilvl w:val="0"/>
          <w:numId w:val="246"/>
        </w:numPr>
        <w:spacing w:after="143" w:line="248" w:lineRule="auto"/>
        <w:ind w:right="244" w:hanging="10"/>
        <w:jc w:val="both"/>
      </w:pPr>
      <w:r>
        <w:rPr>
          <w:rFonts w:ascii="Arial" w:eastAsia="Arial" w:hAnsi="Arial" w:cs="Arial"/>
          <w:i/>
          <w:color w:val="202020"/>
        </w:rPr>
        <w:t xml:space="preserve">Estarán obligados al reintegro los beneficiarios y entidades colaboradoras, definidos en los artículos 9 y 10 de esta Ordenanza. </w:t>
      </w:r>
    </w:p>
    <w:p w:rsidR="00FF384B" w:rsidRDefault="003E3BA9">
      <w:pPr>
        <w:numPr>
          <w:ilvl w:val="0"/>
          <w:numId w:val="246"/>
        </w:numPr>
        <w:spacing w:after="143" w:line="248" w:lineRule="auto"/>
        <w:ind w:right="244" w:hanging="10"/>
        <w:jc w:val="both"/>
      </w:pPr>
      <w:r>
        <w:rPr>
          <w:rFonts w:ascii="Arial" w:eastAsia="Arial" w:hAnsi="Arial" w:cs="Arial"/>
          <w:i/>
          <w:color w:val="202020"/>
        </w:rPr>
        <w:t xml:space="preserve">A los efectos de reintegro, será de aplicación lo establecido en la Ley General </w:t>
      </w:r>
      <w:r>
        <w:rPr>
          <w:rFonts w:ascii="Arial" w:eastAsia="Arial" w:hAnsi="Arial" w:cs="Arial"/>
          <w:i/>
          <w:color w:val="202020"/>
        </w:rPr>
        <w:t xml:space="preserve">de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64. Competencia para la resolución del procedimiento de reintegro. </w:t>
      </w:r>
    </w:p>
    <w:p w:rsidR="00FF384B" w:rsidRDefault="003E3BA9">
      <w:pPr>
        <w:numPr>
          <w:ilvl w:val="0"/>
          <w:numId w:val="247"/>
        </w:numPr>
        <w:spacing w:after="143" w:line="248" w:lineRule="auto"/>
        <w:ind w:right="244" w:hanging="10"/>
        <w:jc w:val="both"/>
      </w:pPr>
      <w:r>
        <w:rPr>
          <w:rFonts w:ascii="Arial" w:eastAsia="Arial" w:hAnsi="Arial" w:cs="Arial"/>
          <w:i/>
          <w:color w:val="202020"/>
        </w:rPr>
        <w:t xml:space="preserve">El órgano concedente será el competente para exigir del beneficiario o entidad colaboradora el reintegro de subvenciones, cuando aprecie la existencia de alguno de los supuestos de reintegro establecidos en el artículo 60 de esta ordenanza. </w:t>
      </w:r>
    </w:p>
    <w:p w:rsidR="00FF384B" w:rsidRDefault="003E3BA9">
      <w:pPr>
        <w:numPr>
          <w:ilvl w:val="0"/>
          <w:numId w:val="247"/>
        </w:numPr>
        <w:spacing w:after="143" w:line="248" w:lineRule="auto"/>
        <w:ind w:right="244" w:hanging="10"/>
        <w:jc w:val="both"/>
      </w:pPr>
      <w:r>
        <w:rPr>
          <w:rFonts w:ascii="Arial" w:eastAsia="Arial" w:hAnsi="Arial" w:cs="Arial"/>
          <w:i/>
          <w:color w:val="202020"/>
        </w:rPr>
        <w:t>Si el reintegr</w:t>
      </w:r>
      <w:r>
        <w:rPr>
          <w:rFonts w:ascii="Arial" w:eastAsia="Arial" w:hAnsi="Arial" w:cs="Arial"/>
          <w:i/>
          <w:color w:val="202020"/>
        </w:rPr>
        <w:t xml:space="preserve">o es acordado por los órganos de la Unión Europea, el órgano a quien corresponda la gestión del recurso ejecutará dichos acuerdos. </w:t>
      </w:r>
    </w:p>
    <w:p w:rsidR="00FF384B" w:rsidRDefault="003E3BA9">
      <w:pPr>
        <w:numPr>
          <w:ilvl w:val="0"/>
          <w:numId w:val="247"/>
        </w:numPr>
        <w:spacing w:after="291" w:line="248" w:lineRule="auto"/>
        <w:ind w:right="244" w:hanging="10"/>
        <w:jc w:val="both"/>
      </w:pPr>
      <w:r>
        <w:rPr>
          <w:rFonts w:ascii="Arial" w:eastAsia="Arial" w:hAnsi="Arial" w:cs="Arial"/>
          <w:i/>
          <w:color w:val="202020"/>
        </w:rPr>
        <w:t>Cuando la subvención haya sido concedida por la Comisión Europea u otra institución comunitaria y la obligación de restituir</w:t>
      </w:r>
      <w:r>
        <w:rPr>
          <w:rFonts w:ascii="Arial" w:eastAsia="Arial" w:hAnsi="Arial" w:cs="Arial"/>
          <w:i/>
          <w:color w:val="202020"/>
        </w:rPr>
        <w:t xml:space="preserve"> surgiera como consecuencia de la actuación fiscalizadora, distinta del control financiero de subvenciones, correspondiente a las instituciones españolas habilitadas legalmente para la realización de estas actuaciones, el acuerdo de reintegro será dictado </w:t>
      </w:r>
      <w:r>
        <w:rPr>
          <w:rFonts w:ascii="Arial" w:eastAsia="Arial" w:hAnsi="Arial" w:cs="Arial"/>
          <w:i/>
          <w:color w:val="202020"/>
        </w:rPr>
        <w:t xml:space="preserve">por el órgano gestor de la subvención. El mencionado acuerdo se dictará de oficio o a propuesta de otras instituciones y órganos de la Administración habilitados legalmente para fiscalizar fondos públicos. </w:t>
      </w:r>
    </w:p>
    <w:p w:rsidR="00FF384B" w:rsidRDefault="003E3BA9">
      <w:pPr>
        <w:spacing w:after="0"/>
        <w:ind w:left="283"/>
      </w:pPr>
      <w:r>
        <w:rPr>
          <w:rFonts w:ascii="Arial" w:eastAsia="Arial" w:hAnsi="Arial" w:cs="Arial"/>
          <w:i/>
          <w:color w:val="202020"/>
        </w:rPr>
        <w:t xml:space="preserve"> </w:t>
      </w:r>
    </w:p>
    <w:p w:rsidR="00FF384B" w:rsidRDefault="003E3BA9">
      <w:pPr>
        <w:spacing w:after="96" w:line="248" w:lineRule="auto"/>
        <w:ind w:left="278" w:right="244" w:hanging="10"/>
        <w:jc w:val="both"/>
      </w:pPr>
      <w:r>
        <w:rPr>
          <w:rFonts w:ascii="Arial" w:eastAsia="Arial" w:hAnsi="Arial" w:cs="Arial"/>
          <w:i/>
          <w:color w:val="202020"/>
        </w:rPr>
        <w:t>CAPÍTULO V. Procedimiento de reintegro.</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Artícu</w:t>
      </w:r>
      <w:r>
        <w:rPr>
          <w:rFonts w:ascii="Arial" w:eastAsia="Arial" w:hAnsi="Arial" w:cs="Arial"/>
          <w:color w:val="202020"/>
        </w:rPr>
        <w:t xml:space="preserve">lo 65. Legislación aplicable. </w:t>
      </w:r>
    </w:p>
    <w:p w:rsidR="00FF384B" w:rsidRDefault="003E3BA9">
      <w:pPr>
        <w:spacing w:after="143" w:line="248" w:lineRule="auto"/>
        <w:ind w:left="278" w:right="244" w:hanging="10"/>
        <w:jc w:val="both"/>
      </w:pPr>
      <w:r>
        <w:rPr>
          <w:noProof/>
        </w:rPr>
        <mc:AlternateContent>
          <mc:Choice Requires="wpg">
            <w:drawing>
              <wp:anchor distT="0" distB="0" distL="114300" distR="114300" simplePos="0" relativeHeight="2518487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7654" name="Group 47765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731" name="Picture 33731"/>
                          <pic:cNvPicPr/>
                        </pic:nvPicPr>
                        <pic:blipFill>
                          <a:blip r:embed="rId62"/>
                          <a:stretch>
                            <a:fillRect/>
                          </a:stretch>
                        </pic:blipFill>
                        <pic:spPr>
                          <a:xfrm rot="-5399999">
                            <a:off x="-1720849" y="1720849"/>
                            <a:ext cx="3797300" cy="355601"/>
                          </a:xfrm>
                          <a:prstGeom prst="rect">
                            <a:avLst/>
                          </a:prstGeom>
                        </pic:spPr>
                      </pic:pic>
                      <wps:wsp>
                        <wps:cNvPr id="33732" name="Rectangle 3373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733" name="Rectangle 3373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7654" style="width:41.2715pt;height:299pt;position:absolute;mso-position-horizontal-relative:page;mso-position-horizontal:absolute;margin-left:653.71pt;mso-position-vertical-relative:page;margin-top:512.92pt;" coordsize="5241,37973">
                <v:shape id="Picture 33731" style="position:absolute;width:37973;height:3556;left:-17208;top:17208;rotation:-89;" filled="f">
                  <v:imagedata r:id="rId63"/>
                </v:shape>
                <v:rect id="Rectangle 3373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73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185 de 353 </w:t>
                        </w:r>
                      </w:p>
                    </w:txbxContent>
                  </v:textbox>
                </v:rect>
                <w10:wrap type="square"/>
              </v:group>
            </w:pict>
          </mc:Fallback>
        </mc:AlternateContent>
      </w:r>
      <w:r>
        <w:rPr>
          <w:rFonts w:ascii="Arial" w:eastAsia="Arial" w:hAnsi="Arial" w:cs="Arial"/>
          <w:i/>
          <w:color w:val="202020"/>
        </w:rPr>
        <w:t>El procedimiento de reinteg</w:t>
      </w:r>
      <w:r>
        <w:rPr>
          <w:rFonts w:ascii="Arial" w:eastAsia="Arial" w:hAnsi="Arial" w:cs="Arial"/>
          <w:i/>
          <w:color w:val="202020"/>
        </w:rPr>
        <w:t>ro de subvenciones se regirá por las disposiciones generales sobre procedimientos administrativos previstos en la legislación vigente en materia de Régimen Jurídico de las Administraciones Públicas y Procedimiento Administrativo, sin perjuicio de las espec</w:t>
      </w:r>
      <w:r>
        <w:rPr>
          <w:rFonts w:ascii="Arial" w:eastAsia="Arial" w:hAnsi="Arial" w:cs="Arial"/>
          <w:i/>
          <w:color w:val="202020"/>
        </w:rPr>
        <w:t xml:space="preserve">ialidades establecidas en la normativa se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66. Inicio del procedimiento. </w:t>
      </w:r>
    </w:p>
    <w:p w:rsidR="00FF384B" w:rsidRDefault="003E3BA9">
      <w:pPr>
        <w:spacing w:after="143" w:line="248" w:lineRule="auto"/>
        <w:ind w:left="278" w:right="244" w:hanging="10"/>
        <w:jc w:val="both"/>
      </w:pPr>
      <w:r>
        <w:rPr>
          <w:rFonts w:ascii="Arial" w:eastAsia="Arial" w:hAnsi="Arial" w:cs="Arial"/>
          <w:i/>
          <w:color w:val="202020"/>
        </w:rPr>
        <w:t>El procedimiento de reintegro de subvenciones se iniciará de oficio por acuerdo del órgano competente, bien por propia iniciativa, bien como consecuencia de or</w:t>
      </w:r>
      <w:r>
        <w:rPr>
          <w:rFonts w:ascii="Arial" w:eastAsia="Arial" w:hAnsi="Arial" w:cs="Arial"/>
          <w:i/>
          <w:color w:val="202020"/>
        </w:rPr>
        <w:t xml:space="preserve">den superior, a petición razonada de otros órganos o por denuncia. También se iniciará a consecuencia del informe de control financiero emitido por la Intervención Municipal. </w:t>
      </w:r>
    </w:p>
    <w:p w:rsidR="00FF384B" w:rsidRDefault="003E3BA9">
      <w:pPr>
        <w:spacing w:after="142" w:line="248" w:lineRule="auto"/>
        <w:ind w:left="278" w:right="244" w:hanging="10"/>
        <w:jc w:val="both"/>
      </w:pPr>
      <w:r>
        <w:rPr>
          <w:rFonts w:ascii="Arial" w:eastAsia="Arial" w:hAnsi="Arial" w:cs="Arial"/>
          <w:color w:val="202020"/>
        </w:rPr>
        <w:t xml:space="preserve">Artículo 67. Retención de pagos. </w:t>
      </w:r>
    </w:p>
    <w:p w:rsidR="00FF384B" w:rsidRDefault="003E3BA9">
      <w:pPr>
        <w:numPr>
          <w:ilvl w:val="0"/>
          <w:numId w:val="248"/>
        </w:numPr>
        <w:spacing w:after="143" w:line="248" w:lineRule="auto"/>
        <w:ind w:right="244" w:hanging="10"/>
        <w:jc w:val="both"/>
      </w:pPr>
      <w:r>
        <w:rPr>
          <w:rFonts w:ascii="Arial" w:eastAsia="Arial" w:hAnsi="Arial" w:cs="Arial"/>
          <w:i/>
          <w:color w:val="202020"/>
        </w:rPr>
        <w:t>Como medida cautelar, el órgano concedente de la subvención, una vez acordado el inicio del procedimiento de reintegro, o bien la autoridad pagadora, o a propuesta de la Intervención General, podrá acordar la suspensión de los libramientos de pago al benef</w:t>
      </w:r>
      <w:r>
        <w:rPr>
          <w:rFonts w:ascii="Arial" w:eastAsia="Arial" w:hAnsi="Arial" w:cs="Arial"/>
          <w:i/>
          <w:color w:val="202020"/>
        </w:rPr>
        <w:t>iciario o entidad colaboradora, por el importe que fije la resolución de inicio del expediente de reintegro y con los intereses de demora devengados hasta la fecha, lo cual debe efectuarse de forma motivada y con notificación al beneficiario con independen</w:t>
      </w:r>
      <w:r>
        <w:rPr>
          <w:rFonts w:ascii="Arial" w:eastAsia="Arial" w:hAnsi="Arial" w:cs="Arial"/>
          <w:i/>
          <w:color w:val="202020"/>
        </w:rPr>
        <w:t xml:space="preserve">cia de los recursos pertinentes. </w:t>
      </w:r>
    </w:p>
    <w:p w:rsidR="00FF384B" w:rsidRDefault="003E3BA9">
      <w:pPr>
        <w:numPr>
          <w:ilvl w:val="0"/>
          <w:numId w:val="248"/>
        </w:numPr>
        <w:spacing w:after="143" w:line="248" w:lineRule="auto"/>
        <w:ind w:right="244" w:hanging="10"/>
        <w:jc w:val="both"/>
      </w:pPr>
      <w:r>
        <w:rPr>
          <w:rFonts w:ascii="Arial" w:eastAsia="Arial" w:hAnsi="Arial" w:cs="Arial"/>
          <w:i/>
          <w:color w:val="202020"/>
        </w:rPr>
        <w:t>Dicha retención deberá ser proporcional, mantenerse hasta que se dicte resolución sin superar el período que se fija para su trámite, deberá levantarse cuando desaparezcan las causas que en su caso las justificaban, pudien</w:t>
      </w:r>
      <w:r>
        <w:rPr>
          <w:rFonts w:ascii="Arial" w:eastAsia="Arial" w:hAnsi="Arial" w:cs="Arial"/>
          <w:i/>
          <w:color w:val="202020"/>
        </w:rPr>
        <w:t xml:space="preserve">do ser sustituida a solicitud del beneficiario por la constitución de una garantía suficiente. </w:t>
      </w:r>
    </w:p>
    <w:p w:rsidR="00FF384B" w:rsidRDefault="003E3BA9">
      <w:pPr>
        <w:numPr>
          <w:ilvl w:val="0"/>
          <w:numId w:val="248"/>
        </w:numPr>
        <w:spacing w:after="143" w:line="248" w:lineRule="auto"/>
        <w:ind w:right="244" w:hanging="10"/>
        <w:jc w:val="both"/>
      </w:pPr>
      <w:r>
        <w:rPr>
          <w:rFonts w:ascii="Arial" w:eastAsia="Arial" w:hAnsi="Arial" w:cs="Arial"/>
          <w:i/>
          <w:color w:val="202020"/>
        </w:rPr>
        <w:t>En todo caso, procederá la suspensión si existen indicios racionales que permitan prever la imposibilidad de obtener el resarcimiento, o si este puede verse fru</w:t>
      </w:r>
      <w:r>
        <w:rPr>
          <w:rFonts w:ascii="Arial" w:eastAsia="Arial" w:hAnsi="Arial" w:cs="Arial"/>
          <w:i/>
          <w:color w:val="202020"/>
        </w:rPr>
        <w:t xml:space="preserve">strado o gravemente dificultado y, en especial, si el perceptor hace actos de ocultación, gravamen o disposición de sus bienes. </w:t>
      </w:r>
    </w:p>
    <w:p w:rsidR="00FF384B" w:rsidRDefault="003E3BA9">
      <w:pPr>
        <w:spacing w:after="142" w:line="248" w:lineRule="auto"/>
        <w:ind w:left="278" w:right="244" w:hanging="10"/>
        <w:jc w:val="both"/>
      </w:pPr>
      <w:r>
        <w:rPr>
          <w:rFonts w:ascii="Arial" w:eastAsia="Arial" w:hAnsi="Arial" w:cs="Arial"/>
          <w:color w:val="202020"/>
        </w:rPr>
        <w:t xml:space="preserve">Artículo 68 Audiencia del interesado. </w:t>
      </w:r>
    </w:p>
    <w:p w:rsidR="00FF384B" w:rsidRDefault="003E3BA9">
      <w:pPr>
        <w:spacing w:after="79" w:line="309" w:lineRule="auto"/>
        <w:ind w:left="278" w:right="244" w:hanging="10"/>
        <w:jc w:val="both"/>
      </w:pPr>
      <w:r>
        <w:rPr>
          <w:rFonts w:ascii="Arial" w:eastAsia="Arial" w:hAnsi="Arial" w:cs="Arial"/>
          <w:i/>
          <w:color w:val="202020"/>
        </w:rPr>
        <w:t>En la tramitación del procedimiento se garantizará en todo caso el derecho del interesad</w:t>
      </w:r>
      <w:r>
        <w:rPr>
          <w:rFonts w:ascii="Arial" w:eastAsia="Arial" w:hAnsi="Arial" w:cs="Arial"/>
          <w:i/>
          <w:color w:val="202020"/>
        </w:rPr>
        <w:t xml:space="preserve">o a la audiencia. </w:t>
      </w:r>
      <w:r>
        <w:rPr>
          <w:rFonts w:ascii="Arial" w:eastAsia="Arial" w:hAnsi="Arial" w:cs="Arial"/>
          <w:color w:val="202020"/>
        </w:rPr>
        <w:t xml:space="preserve">Artículo 69. Resolución. </w:t>
      </w:r>
    </w:p>
    <w:p w:rsidR="00FF384B" w:rsidRDefault="003E3BA9">
      <w:pPr>
        <w:numPr>
          <w:ilvl w:val="0"/>
          <w:numId w:val="249"/>
        </w:numPr>
        <w:spacing w:after="143" w:line="248" w:lineRule="auto"/>
        <w:ind w:right="244" w:hanging="247"/>
        <w:jc w:val="both"/>
      </w:pPr>
      <w:r>
        <w:rPr>
          <w:rFonts w:ascii="Arial" w:eastAsia="Arial" w:hAnsi="Arial" w:cs="Arial"/>
          <w:i/>
          <w:color w:val="202020"/>
        </w:rPr>
        <w:t>El plazo máximo para resolver y notificar la resolución del procedimiento de reintegro será de doce meses desde la fecha del acuerdo de iniciación. Dicho plazo podrá suspenderse o ampliarse de acuerdo con lo prev</w:t>
      </w:r>
      <w:r>
        <w:rPr>
          <w:rFonts w:ascii="Arial" w:eastAsia="Arial" w:hAnsi="Arial" w:cs="Arial"/>
          <w:i/>
          <w:color w:val="202020"/>
        </w:rPr>
        <w:t xml:space="preserve">isto en la legislación vigente en materia de Régimen Jurídico de las Administraciones Públicas y Procedimiento Administrativo. </w:t>
      </w:r>
    </w:p>
    <w:p w:rsidR="00FF384B" w:rsidRDefault="003E3BA9">
      <w:pPr>
        <w:numPr>
          <w:ilvl w:val="0"/>
          <w:numId w:val="249"/>
        </w:numPr>
        <w:spacing w:after="143" w:line="248" w:lineRule="auto"/>
        <w:ind w:right="244" w:hanging="247"/>
        <w:jc w:val="both"/>
      </w:pPr>
      <w:r>
        <w:rPr>
          <w:rFonts w:ascii="Arial" w:eastAsia="Arial" w:hAnsi="Arial" w:cs="Arial"/>
          <w:i/>
          <w:color w:val="202020"/>
        </w:rPr>
        <w:t xml:space="preserve">Si transcurriese ese plazo máximo para resolver sin que se haya notificado la resolución expresa, se producirá la caducidad del </w:t>
      </w:r>
      <w:r>
        <w:rPr>
          <w:rFonts w:ascii="Arial" w:eastAsia="Arial" w:hAnsi="Arial" w:cs="Arial"/>
          <w:i/>
          <w:color w:val="202020"/>
        </w:rPr>
        <w:t xml:space="preserve">procedimiento, sin perjuicio de continuar las actuaciones hasta su terminación y sin que se considere interrumpida la prescripción por las actuaciones realizadas hasta la finalización del citado plazo. </w:t>
      </w:r>
    </w:p>
    <w:p w:rsidR="00FF384B" w:rsidRDefault="003E3BA9">
      <w:pPr>
        <w:numPr>
          <w:ilvl w:val="0"/>
          <w:numId w:val="249"/>
        </w:numPr>
        <w:spacing w:after="291" w:line="248" w:lineRule="auto"/>
        <w:ind w:right="244" w:hanging="247"/>
        <w:jc w:val="both"/>
      </w:pPr>
      <w:r>
        <w:rPr>
          <w:rFonts w:ascii="Arial" w:eastAsia="Arial" w:hAnsi="Arial" w:cs="Arial"/>
          <w:i/>
          <w:color w:val="202020"/>
        </w:rPr>
        <w:t>La resolución del procedimiento de reintegro pondrá f</w:t>
      </w:r>
      <w:r>
        <w:rPr>
          <w:rFonts w:ascii="Arial" w:eastAsia="Arial" w:hAnsi="Arial" w:cs="Arial"/>
          <w:i/>
          <w:color w:val="202020"/>
        </w:rPr>
        <w:t xml:space="preserve">in a la vía administrativa. </w:t>
      </w:r>
    </w:p>
    <w:p w:rsidR="00FF384B" w:rsidRDefault="003E3BA9">
      <w:pPr>
        <w:spacing w:after="244" w:line="248" w:lineRule="auto"/>
        <w:ind w:left="278" w:right="244" w:hanging="10"/>
        <w:jc w:val="both"/>
      </w:pPr>
      <w:r>
        <w:rPr>
          <w:rFonts w:ascii="Arial" w:eastAsia="Arial" w:hAnsi="Arial" w:cs="Arial"/>
          <w:i/>
          <w:color w:val="202020"/>
        </w:rPr>
        <w:t>TÍTULO V. CONTROL DE SUBVENCIONES</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CAPÍTULO I. Disposiciones comunes. </w:t>
      </w:r>
    </w:p>
    <w:p w:rsidR="00FF384B" w:rsidRDefault="003E3BA9">
      <w:pPr>
        <w:spacing w:after="142" w:line="248" w:lineRule="auto"/>
        <w:ind w:left="278" w:right="244" w:hanging="10"/>
        <w:jc w:val="both"/>
      </w:pPr>
      <w:r>
        <w:rPr>
          <w:rFonts w:ascii="Arial" w:eastAsia="Arial" w:hAnsi="Arial" w:cs="Arial"/>
          <w:color w:val="202020"/>
        </w:rPr>
        <w:t xml:space="preserve">Artículo 70. Objeto y competencia. </w:t>
      </w:r>
    </w:p>
    <w:p w:rsidR="00FF384B" w:rsidRDefault="003E3BA9">
      <w:pPr>
        <w:numPr>
          <w:ilvl w:val="0"/>
          <w:numId w:val="250"/>
        </w:numPr>
        <w:spacing w:after="143" w:line="248" w:lineRule="auto"/>
        <w:ind w:right="244" w:hanging="247"/>
        <w:jc w:val="both"/>
      </w:pPr>
      <w:r>
        <w:rPr>
          <w:noProof/>
        </w:rPr>
        <mc:AlternateContent>
          <mc:Choice Requires="wpg">
            <w:drawing>
              <wp:anchor distT="0" distB="0" distL="114300" distR="114300" simplePos="0" relativeHeight="2518497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701" name="Group 47670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3858" name="Picture 33858"/>
                          <pic:cNvPicPr/>
                        </pic:nvPicPr>
                        <pic:blipFill>
                          <a:blip r:embed="rId62"/>
                          <a:stretch>
                            <a:fillRect/>
                          </a:stretch>
                        </pic:blipFill>
                        <pic:spPr>
                          <a:xfrm rot="-5399999">
                            <a:off x="-1720849" y="1720849"/>
                            <a:ext cx="3797300" cy="355601"/>
                          </a:xfrm>
                          <a:prstGeom prst="rect">
                            <a:avLst/>
                          </a:prstGeom>
                        </pic:spPr>
                      </pic:pic>
                      <wps:wsp>
                        <wps:cNvPr id="33859" name="Rectangle 3385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3860" name="Rectangle 3386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701" style="width:41.2715pt;height:299pt;position:absolute;mso-position-horizontal-relative:page;mso-position-horizontal:absolute;margin-left:653.71pt;mso-position-vertical-relative:page;margin-top:512.92pt;" coordsize="5241,37973">
                <v:shape id="Picture 33858" style="position:absolute;width:37973;height:3556;left:-17208;top:17208;rotation:-89;" filled="f">
                  <v:imagedata r:id="rId63"/>
                </v:shape>
                <v:rect id="Rectangle 3385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386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186 de 353 </w:t>
                        </w:r>
                      </w:p>
                    </w:txbxContent>
                  </v:textbox>
                </v:rect>
                <w10:wrap type="square"/>
              </v:group>
            </w:pict>
          </mc:Fallback>
        </mc:AlternateContent>
      </w:r>
      <w:r>
        <w:rPr>
          <w:rFonts w:ascii="Arial" w:eastAsia="Arial" w:hAnsi="Arial" w:cs="Arial"/>
          <w:i/>
          <w:color w:val="202020"/>
        </w:rPr>
        <w:t>El control de subvenciones se ejercerá sobre los beneficiarios y, en su caso, entidades colaboradoras, por las subvenciones concedidas con cargo Presupuesto Gene</w:t>
      </w:r>
      <w:r>
        <w:rPr>
          <w:rFonts w:ascii="Arial" w:eastAsia="Arial" w:hAnsi="Arial" w:cs="Arial"/>
          <w:i/>
          <w:color w:val="202020"/>
        </w:rPr>
        <w:t xml:space="preserve">ral municipal, en la modalidad dispuesta por el Texto Refundido de la Ley de Haciendas Locales y de acuerdo a lo previsto en la legislación vigente en materia de Régimen Jurídico de las Administraciones Públicas y Procedimiento Administrativo. </w:t>
      </w:r>
    </w:p>
    <w:p w:rsidR="00FF384B" w:rsidRDefault="003E3BA9">
      <w:pPr>
        <w:numPr>
          <w:ilvl w:val="0"/>
          <w:numId w:val="250"/>
        </w:numPr>
        <w:spacing w:after="11" w:line="248" w:lineRule="auto"/>
        <w:ind w:right="244" w:hanging="247"/>
        <w:jc w:val="both"/>
      </w:pPr>
      <w:r>
        <w:rPr>
          <w:rFonts w:ascii="Arial" w:eastAsia="Arial" w:hAnsi="Arial" w:cs="Arial"/>
          <w:i/>
          <w:color w:val="202020"/>
        </w:rPr>
        <w:t>En todo cas</w:t>
      </w:r>
      <w:r>
        <w:rPr>
          <w:rFonts w:ascii="Arial" w:eastAsia="Arial" w:hAnsi="Arial" w:cs="Arial"/>
          <w:i/>
          <w:color w:val="202020"/>
        </w:rPr>
        <w:t xml:space="preserve">o, el control de las subvenciones tendrá como objeto verificar: </w:t>
      </w:r>
    </w:p>
    <w:p w:rsidR="00FF384B" w:rsidRDefault="003E3BA9">
      <w:pPr>
        <w:spacing w:after="0"/>
        <w:ind w:left="283"/>
      </w:pPr>
      <w:r>
        <w:rPr>
          <w:rFonts w:ascii="Arial" w:eastAsia="Arial" w:hAnsi="Arial" w:cs="Arial"/>
          <w:i/>
          <w:color w:val="202020"/>
        </w:rPr>
        <w:t xml:space="preserve"> </w:t>
      </w:r>
    </w:p>
    <w:p w:rsidR="00FF384B" w:rsidRDefault="003E3BA9">
      <w:pPr>
        <w:numPr>
          <w:ilvl w:val="1"/>
          <w:numId w:val="250"/>
        </w:numPr>
        <w:spacing w:after="0"/>
        <w:ind w:right="244" w:firstLine="360"/>
        <w:jc w:val="both"/>
      </w:pPr>
      <w:r>
        <w:rPr>
          <w:rFonts w:ascii="Arial" w:eastAsia="Arial" w:hAnsi="Arial" w:cs="Arial"/>
          <w:i/>
        </w:rPr>
        <w:t xml:space="preserve">La adecuada y correcta obtención de la subvención por parte del beneficiario. </w:t>
      </w:r>
    </w:p>
    <w:p w:rsidR="00FF384B" w:rsidRDefault="003E3BA9">
      <w:pPr>
        <w:numPr>
          <w:ilvl w:val="1"/>
          <w:numId w:val="250"/>
        </w:numPr>
        <w:spacing w:after="4" w:line="250" w:lineRule="auto"/>
        <w:ind w:right="244" w:firstLine="360"/>
        <w:jc w:val="both"/>
      </w:pPr>
      <w:r>
        <w:rPr>
          <w:rFonts w:ascii="Arial" w:eastAsia="Arial" w:hAnsi="Arial" w:cs="Arial"/>
          <w:i/>
        </w:rPr>
        <w:t xml:space="preserve">El cumplimiento por parte de beneficiarios y entidades colaboradoras de sus </w:t>
      </w:r>
    </w:p>
    <w:p w:rsidR="00FF384B" w:rsidRDefault="003E3BA9">
      <w:pPr>
        <w:spacing w:after="4" w:line="247" w:lineRule="auto"/>
        <w:ind w:left="278" w:right="244" w:hanging="10"/>
        <w:jc w:val="both"/>
      </w:pPr>
      <w:r>
        <w:rPr>
          <w:rFonts w:ascii="Arial" w:eastAsia="Arial" w:hAnsi="Arial" w:cs="Arial"/>
          <w:i/>
        </w:rPr>
        <w:t>obligaciones en la gestión y apli</w:t>
      </w:r>
      <w:r>
        <w:rPr>
          <w:rFonts w:ascii="Arial" w:eastAsia="Arial" w:hAnsi="Arial" w:cs="Arial"/>
          <w:i/>
        </w:rPr>
        <w:t xml:space="preserve">cación de la subvención. </w:t>
      </w:r>
    </w:p>
    <w:p w:rsidR="00FF384B" w:rsidRDefault="003E3BA9">
      <w:pPr>
        <w:numPr>
          <w:ilvl w:val="1"/>
          <w:numId w:val="250"/>
        </w:numPr>
        <w:spacing w:after="4" w:line="250" w:lineRule="auto"/>
        <w:ind w:right="244" w:firstLine="360"/>
        <w:jc w:val="both"/>
      </w:pPr>
      <w:r>
        <w:rPr>
          <w:rFonts w:ascii="Arial" w:eastAsia="Arial" w:hAnsi="Arial" w:cs="Arial"/>
          <w:i/>
        </w:rPr>
        <w:t xml:space="preserve">La adecuada y correcta justificación de la subvención por parte de beneficiarios y </w:t>
      </w:r>
    </w:p>
    <w:p w:rsidR="00FF384B" w:rsidRDefault="003E3BA9">
      <w:pPr>
        <w:spacing w:after="4" w:line="247" w:lineRule="auto"/>
        <w:ind w:left="278" w:right="244" w:hanging="10"/>
        <w:jc w:val="both"/>
      </w:pPr>
      <w:r>
        <w:rPr>
          <w:rFonts w:ascii="Arial" w:eastAsia="Arial" w:hAnsi="Arial" w:cs="Arial"/>
          <w:i/>
        </w:rPr>
        <w:t xml:space="preserve">entidades colaboradoras. </w:t>
      </w:r>
    </w:p>
    <w:p w:rsidR="00FF384B" w:rsidRDefault="003E3BA9">
      <w:pPr>
        <w:numPr>
          <w:ilvl w:val="1"/>
          <w:numId w:val="250"/>
        </w:numPr>
        <w:spacing w:after="4" w:line="247" w:lineRule="auto"/>
        <w:ind w:right="244" w:firstLine="360"/>
        <w:jc w:val="both"/>
      </w:pPr>
      <w:r>
        <w:rPr>
          <w:rFonts w:ascii="Arial" w:eastAsia="Arial" w:hAnsi="Arial" w:cs="Arial"/>
          <w:i/>
        </w:rPr>
        <w:t xml:space="preserve">La realidad y la regularidad de las operaciones que, de acuerdo con la justificación presentada por beneficiarios y entidades colaboradoras, han sido financiadas con la subvención. </w:t>
      </w:r>
    </w:p>
    <w:p w:rsidR="00FF384B" w:rsidRDefault="003E3BA9">
      <w:pPr>
        <w:numPr>
          <w:ilvl w:val="1"/>
          <w:numId w:val="250"/>
        </w:numPr>
        <w:spacing w:after="4" w:line="247" w:lineRule="auto"/>
        <w:ind w:right="244" w:firstLine="360"/>
        <w:jc w:val="both"/>
      </w:pPr>
      <w:r>
        <w:rPr>
          <w:rFonts w:ascii="Arial" w:eastAsia="Arial" w:hAnsi="Arial" w:cs="Arial"/>
          <w:i/>
        </w:rPr>
        <w:t>La adecuada y correcta financiación de las actividades subvencionadas, par</w:t>
      </w:r>
      <w:r>
        <w:rPr>
          <w:rFonts w:ascii="Arial" w:eastAsia="Arial" w:hAnsi="Arial" w:cs="Arial"/>
          <w:i/>
        </w:rPr>
        <w:t xml:space="preserve">a comprobar que el importe de la subvención abonada o de la suma de ellas con otras subvenciones, ayudas, ingresos o recursos, no supere el coste de la actividad subvencionada. </w:t>
      </w:r>
    </w:p>
    <w:p w:rsidR="00FF384B" w:rsidRDefault="003E3BA9">
      <w:pPr>
        <w:numPr>
          <w:ilvl w:val="1"/>
          <w:numId w:val="250"/>
        </w:numPr>
        <w:spacing w:after="4" w:line="247" w:lineRule="auto"/>
        <w:ind w:right="244" w:firstLine="360"/>
        <w:jc w:val="both"/>
      </w:pPr>
      <w:r>
        <w:rPr>
          <w:rFonts w:ascii="Arial" w:eastAsia="Arial" w:hAnsi="Arial" w:cs="Arial"/>
          <w:i/>
        </w:rPr>
        <w:t>La existencia de hechos, circunstancias o situaciones no declaradas a la Admin</w:t>
      </w:r>
      <w:r>
        <w:rPr>
          <w:rFonts w:ascii="Arial" w:eastAsia="Arial" w:hAnsi="Arial" w:cs="Arial"/>
          <w:i/>
        </w:rPr>
        <w:t>istración por beneficiarios y entidades colaboradoras y que pudieran afectar a la financiación de las actividades subvencionadas, a la adecuada y correcta obtención, utilización, disfrute o justificación de la subvención, así como a la realidad y regularid</w:t>
      </w:r>
      <w:r>
        <w:rPr>
          <w:rFonts w:ascii="Arial" w:eastAsia="Arial" w:hAnsi="Arial" w:cs="Arial"/>
          <w:i/>
        </w:rPr>
        <w:t xml:space="preserve">ad de las operaciones con ella financiadas. </w:t>
      </w:r>
    </w:p>
    <w:p w:rsidR="00FF384B" w:rsidRDefault="003E3BA9">
      <w:pPr>
        <w:spacing w:after="0"/>
        <w:ind w:left="283"/>
      </w:pPr>
      <w:r>
        <w:rPr>
          <w:rFonts w:ascii="Arial" w:eastAsia="Arial" w:hAnsi="Arial" w:cs="Arial"/>
          <w:i/>
          <w:color w:val="202020"/>
        </w:rPr>
        <w:t xml:space="preserve"> </w:t>
      </w:r>
    </w:p>
    <w:p w:rsidR="00FF384B" w:rsidRDefault="003E3BA9">
      <w:pPr>
        <w:numPr>
          <w:ilvl w:val="0"/>
          <w:numId w:val="250"/>
        </w:numPr>
        <w:spacing w:after="0" w:line="248" w:lineRule="auto"/>
        <w:ind w:right="244" w:hanging="247"/>
        <w:jc w:val="both"/>
      </w:pPr>
      <w:r>
        <w:rPr>
          <w:rFonts w:ascii="Arial" w:eastAsia="Arial" w:hAnsi="Arial" w:cs="Arial"/>
          <w:i/>
          <w:color w:val="202020"/>
        </w:rPr>
        <w:t xml:space="preserve">La competencia para el ejercicio del control de subvenciones corresponde a la Intervención, a través del Control financiero permanente. </w:t>
      </w:r>
    </w:p>
    <w:p w:rsidR="00FF384B" w:rsidRDefault="003E3BA9">
      <w:pPr>
        <w:spacing w:after="0"/>
        <w:ind w:left="283"/>
      </w:pPr>
      <w:r>
        <w:rPr>
          <w:rFonts w:ascii="Arial" w:eastAsia="Arial" w:hAnsi="Arial" w:cs="Arial"/>
          <w:i/>
          <w:color w:val="202020"/>
        </w:rPr>
        <w:t xml:space="preserve"> </w:t>
      </w:r>
    </w:p>
    <w:p w:rsidR="00FF384B" w:rsidRDefault="003E3BA9">
      <w:pPr>
        <w:numPr>
          <w:ilvl w:val="0"/>
          <w:numId w:val="250"/>
        </w:numPr>
        <w:spacing w:after="0" w:line="248" w:lineRule="auto"/>
        <w:ind w:right="244" w:hanging="247"/>
        <w:jc w:val="both"/>
      </w:pPr>
      <w:r>
        <w:rPr>
          <w:rFonts w:ascii="Arial" w:eastAsia="Arial" w:hAnsi="Arial" w:cs="Arial"/>
          <w:i/>
          <w:color w:val="202020"/>
        </w:rPr>
        <w:t>El control podrá extenderse a las personas físicas o jurídicas a las q</w:t>
      </w:r>
      <w:r>
        <w:rPr>
          <w:rFonts w:ascii="Arial" w:eastAsia="Arial" w:hAnsi="Arial" w:cs="Arial"/>
          <w:i/>
          <w:color w:val="202020"/>
        </w:rPr>
        <w:t>ue se encuentren asociados los beneficiarios, así como a cualquier otra persona susceptible de presentar un interés en la consecución de los objetivos, en la realización de las actividades, en la ejecución de los proyectos o en la adopción de los comportam</w:t>
      </w:r>
      <w:r>
        <w:rPr>
          <w:rFonts w:ascii="Arial" w:eastAsia="Arial" w:hAnsi="Arial" w:cs="Arial"/>
          <w:i/>
          <w:color w:val="202020"/>
        </w:rPr>
        <w:t xml:space="preserve">ientos. </w:t>
      </w:r>
    </w:p>
    <w:p w:rsidR="00FF384B" w:rsidRDefault="003E3BA9">
      <w:pPr>
        <w:spacing w:after="130"/>
        <w:ind w:left="283"/>
      </w:pPr>
      <w:r>
        <w:rPr>
          <w:rFonts w:ascii="Arial" w:eastAsia="Arial" w:hAnsi="Arial" w:cs="Arial"/>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71. Obligación de colaboración. </w:t>
      </w:r>
    </w:p>
    <w:p w:rsidR="00FF384B" w:rsidRDefault="003E3BA9">
      <w:pPr>
        <w:numPr>
          <w:ilvl w:val="0"/>
          <w:numId w:val="251"/>
        </w:numPr>
        <w:spacing w:after="143" w:line="248" w:lineRule="auto"/>
        <w:ind w:right="244" w:hanging="10"/>
        <w:jc w:val="both"/>
      </w:pPr>
      <w:r>
        <w:rPr>
          <w:rFonts w:ascii="Arial" w:eastAsia="Arial" w:hAnsi="Arial" w:cs="Arial"/>
          <w:i/>
          <w:color w:val="202020"/>
        </w:rPr>
        <w:t>Los solicitantes, beneficiarios, las entidades colaboradoras y los terceros relacionados con el objeto de la subvención o su justificación, estarán obligados a prestar colaboración y facilitar cuanta doc</w:t>
      </w:r>
      <w:r>
        <w:rPr>
          <w:rFonts w:ascii="Arial" w:eastAsia="Arial" w:hAnsi="Arial" w:cs="Arial"/>
          <w:i/>
          <w:color w:val="202020"/>
        </w:rPr>
        <w:t>umentación sea requerida en el ejercicio de las funciones de control financiero por la Intervención Municipal, así como a los órganos que, de acuerdo con la normativa comunitaria, tengan atribuidas funciones de control financiero, a cuyo fin tendrán las si</w:t>
      </w:r>
      <w:r>
        <w:rPr>
          <w:rFonts w:ascii="Arial" w:eastAsia="Arial" w:hAnsi="Arial" w:cs="Arial"/>
          <w:i/>
          <w:color w:val="202020"/>
        </w:rPr>
        <w:t xml:space="preserve">guientes facultades y derechos: </w:t>
      </w:r>
    </w:p>
    <w:p w:rsidR="00FF384B" w:rsidRDefault="003E3BA9">
      <w:pPr>
        <w:numPr>
          <w:ilvl w:val="1"/>
          <w:numId w:val="251"/>
        </w:numPr>
        <w:spacing w:after="92" w:line="248" w:lineRule="auto"/>
        <w:ind w:right="244" w:hanging="10"/>
        <w:jc w:val="both"/>
      </w:pPr>
      <w:r>
        <w:rPr>
          <w:rFonts w:ascii="Arial" w:eastAsia="Arial" w:hAnsi="Arial" w:cs="Arial"/>
          <w:i/>
          <w:color w:val="202020"/>
        </w:rPr>
        <w:t xml:space="preserve">El libre acceso a toda la documentación objeto de comprobación, incluidos libros y registros contables, programas y archivos en soportes informáticos. </w:t>
      </w:r>
    </w:p>
    <w:p w:rsidR="00FF384B" w:rsidRDefault="003E3BA9">
      <w:pPr>
        <w:numPr>
          <w:ilvl w:val="1"/>
          <w:numId w:val="251"/>
        </w:numPr>
        <w:spacing w:after="92" w:line="248" w:lineRule="auto"/>
        <w:ind w:right="244" w:hanging="10"/>
        <w:jc w:val="both"/>
      </w:pPr>
      <w:r>
        <w:rPr>
          <w:rFonts w:ascii="Arial" w:eastAsia="Arial" w:hAnsi="Arial" w:cs="Arial"/>
          <w:i/>
          <w:color w:val="202020"/>
        </w:rPr>
        <w:t>El libre acceso a los locales de negocio y demás establecimientos o lug</w:t>
      </w:r>
      <w:r>
        <w:rPr>
          <w:rFonts w:ascii="Arial" w:eastAsia="Arial" w:hAnsi="Arial" w:cs="Arial"/>
          <w:i/>
          <w:color w:val="202020"/>
        </w:rPr>
        <w:t xml:space="preserve">ares en que se desarrolle la actividad subvencionada o se permita verificar la realidad y regularidad de las operaciones financiadas con cargo a la subvención. </w:t>
      </w:r>
    </w:p>
    <w:p w:rsidR="00FF384B" w:rsidRDefault="003E3BA9">
      <w:pPr>
        <w:numPr>
          <w:ilvl w:val="1"/>
          <w:numId w:val="251"/>
        </w:numPr>
        <w:spacing w:after="94" w:line="248" w:lineRule="auto"/>
        <w:ind w:right="244" w:hanging="10"/>
        <w:jc w:val="both"/>
      </w:pPr>
      <w:r>
        <w:rPr>
          <w:noProof/>
        </w:rPr>
        <mc:AlternateContent>
          <mc:Choice Requires="wpg">
            <w:drawing>
              <wp:anchor distT="0" distB="0" distL="114300" distR="114300" simplePos="0" relativeHeight="2518507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699" name="Group 47669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001" name="Picture 34001"/>
                          <pic:cNvPicPr/>
                        </pic:nvPicPr>
                        <pic:blipFill>
                          <a:blip r:embed="rId62"/>
                          <a:stretch>
                            <a:fillRect/>
                          </a:stretch>
                        </pic:blipFill>
                        <pic:spPr>
                          <a:xfrm rot="-5399999">
                            <a:off x="-1720849" y="1720849"/>
                            <a:ext cx="3797300" cy="355601"/>
                          </a:xfrm>
                          <a:prstGeom prst="rect">
                            <a:avLst/>
                          </a:prstGeom>
                        </pic:spPr>
                      </pic:pic>
                      <wps:wsp>
                        <wps:cNvPr id="34002" name="Rectangle 3400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003" name="Rectangle 3400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699" style="width:41.2715pt;height:299pt;position:absolute;mso-position-horizontal-relative:page;mso-position-horizontal:absolute;margin-left:653.71pt;mso-position-vertical-relative:page;margin-top:512.92pt;" coordsize="5241,37973">
                <v:shape id="Picture 34001" style="position:absolute;width:37973;height:3556;left:-17208;top:17208;rotation:-89;" filled="f">
                  <v:imagedata r:id="rId63"/>
                </v:shape>
                <v:rect id="Rectangle 3400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00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187 de 353 </w:t>
                        </w:r>
                      </w:p>
                    </w:txbxContent>
                  </v:textbox>
                </v:rect>
                <w10:wrap type="square"/>
              </v:group>
            </w:pict>
          </mc:Fallback>
        </mc:AlternateContent>
      </w:r>
      <w:r>
        <w:rPr>
          <w:rFonts w:ascii="Arial" w:eastAsia="Arial" w:hAnsi="Arial" w:cs="Arial"/>
          <w:i/>
          <w:color w:val="202020"/>
        </w:rPr>
        <w:t>La obtención de copia o la retención de las facturas, documen</w:t>
      </w:r>
      <w:r>
        <w:rPr>
          <w:rFonts w:ascii="Arial" w:eastAsia="Arial" w:hAnsi="Arial" w:cs="Arial"/>
          <w:i/>
          <w:color w:val="202020"/>
        </w:rPr>
        <w:t xml:space="preserve">tos equivalentes o sustitutivos y de cualquier otro documento relativo a las operaciones en las que se deduzcan indicios de la incorrecta obtención, disfrute o destino de la subvención. </w:t>
      </w:r>
    </w:p>
    <w:p w:rsidR="00FF384B" w:rsidRDefault="003E3BA9">
      <w:pPr>
        <w:numPr>
          <w:ilvl w:val="1"/>
          <w:numId w:val="251"/>
        </w:numPr>
        <w:spacing w:after="92" w:line="248" w:lineRule="auto"/>
        <w:ind w:right="244" w:hanging="10"/>
        <w:jc w:val="both"/>
      </w:pPr>
      <w:r>
        <w:rPr>
          <w:rFonts w:ascii="Arial" w:eastAsia="Arial" w:hAnsi="Arial" w:cs="Arial"/>
          <w:i/>
          <w:color w:val="202020"/>
        </w:rPr>
        <w:t>El libre acceso a información de las cuentas bancarias en las entidad</w:t>
      </w:r>
      <w:r>
        <w:rPr>
          <w:rFonts w:ascii="Arial" w:eastAsia="Arial" w:hAnsi="Arial" w:cs="Arial"/>
          <w:i/>
          <w:color w:val="202020"/>
        </w:rPr>
        <w:t xml:space="preserve">es financieras donde se pueda haber efectuado el cobro de las subvenciones o con cargo a las cuales se puedan haber realizado las disposiciones de los fondos. </w:t>
      </w:r>
    </w:p>
    <w:p w:rsidR="00FF384B" w:rsidRDefault="003E3BA9">
      <w:pPr>
        <w:numPr>
          <w:ilvl w:val="0"/>
          <w:numId w:val="251"/>
        </w:numPr>
        <w:spacing w:after="143" w:line="248" w:lineRule="auto"/>
        <w:ind w:right="244" w:hanging="10"/>
        <w:jc w:val="both"/>
      </w:pPr>
      <w:r>
        <w:rPr>
          <w:rFonts w:ascii="Arial" w:eastAsia="Arial" w:hAnsi="Arial" w:cs="Arial"/>
          <w:i/>
          <w:color w:val="202020"/>
        </w:rPr>
        <w:t>La negativa al cumplimiento de esta obligación se considerará resistencia, excusa, obstrucción o</w:t>
      </w:r>
      <w:r>
        <w:rPr>
          <w:rFonts w:ascii="Arial" w:eastAsia="Arial" w:hAnsi="Arial" w:cs="Arial"/>
          <w:i/>
          <w:color w:val="202020"/>
        </w:rPr>
        <w:t xml:space="preserve"> negativa a los efectos del artículo 59 de esta ordenanza, sin perjuicio de las sanciones que, en su caso, pudieran corresponder. </w:t>
      </w:r>
      <w:r>
        <w:rPr>
          <w:rFonts w:ascii="Arial" w:eastAsia="Arial" w:hAnsi="Arial" w:cs="Arial"/>
          <w:color w:val="202020"/>
        </w:rPr>
        <w:t xml:space="preserve">Artículo 72. Derechos y deberes del personal controlador. </w:t>
      </w:r>
    </w:p>
    <w:p w:rsidR="00FF384B" w:rsidRDefault="003E3BA9">
      <w:pPr>
        <w:numPr>
          <w:ilvl w:val="0"/>
          <w:numId w:val="252"/>
        </w:numPr>
        <w:spacing w:after="143" w:line="248" w:lineRule="auto"/>
        <w:ind w:right="244" w:hanging="10"/>
        <w:jc w:val="both"/>
      </w:pPr>
      <w:r>
        <w:rPr>
          <w:rFonts w:ascii="Arial" w:eastAsia="Arial" w:hAnsi="Arial" w:cs="Arial"/>
          <w:i/>
          <w:color w:val="202020"/>
        </w:rPr>
        <w:t>En el ejercicio de sus funciones, los funcionarios de la Intervenci</w:t>
      </w:r>
      <w:r>
        <w:rPr>
          <w:rFonts w:ascii="Arial" w:eastAsia="Arial" w:hAnsi="Arial" w:cs="Arial"/>
          <w:i/>
          <w:color w:val="202020"/>
        </w:rPr>
        <w:t xml:space="preserve">ón Municipal y a los que específicamente se les pueda asignar este cometido, de acuerdo con la normativa comunitaria, serán considerados agentes de la autoridad. </w:t>
      </w:r>
    </w:p>
    <w:p w:rsidR="00FF384B" w:rsidRDefault="003E3BA9">
      <w:pPr>
        <w:numPr>
          <w:ilvl w:val="0"/>
          <w:numId w:val="252"/>
        </w:numPr>
        <w:spacing w:after="143" w:line="248" w:lineRule="auto"/>
        <w:ind w:right="244" w:hanging="10"/>
        <w:jc w:val="both"/>
      </w:pPr>
      <w:r>
        <w:rPr>
          <w:rFonts w:ascii="Arial" w:eastAsia="Arial" w:hAnsi="Arial" w:cs="Arial"/>
          <w:i/>
          <w:color w:val="202020"/>
        </w:rPr>
        <w:t>Los funcionarios y auditores que ejecuten los trabajos, bien individualmente o formando parte</w:t>
      </w:r>
      <w:r>
        <w:rPr>
          <w:rFonts w:ascii="Arial" w:eastAsia="Arial" w:hAnsi="Arial" w:cs="Arial"/>
          <w:i/>
          <w:color w:val="202020"/>
        </w:rPr>
        <w:t xml:space="preserve"> de equipos de auditoría, deben poseer la cualificación profesional necesaria, mantener una posición de independencia y objetividad, actuar con la debida diligencia profesional, responder de su trabajo y observar la confidencialidad y el secreto respecto d</w:t>
      </w:r>
      <w:r>
        <w:rPr>
          <w:rFonts w:ascii="Arial" w:eastAsia="Arial" w:hAnsi="Arial" w:cs="Arial"/>
          <w:i/>
          <w:color w:val="202020"/>
        </w:rPr>
        <w:t xml:space="preserve">e la información obtenida en el curso de las actuaciones. </w:t>
      </w:r>
    </w:p>
    <w:p w:rsidR="00FF384B" w:rsidRDefault="003E3BA9">
      <w:pPr>
        <w:numPr>
          <w:ilvl w:val="0"/>
          <w:numId w:val="252"/>
        </w:numPr>
        <w:spacing w:after="143" w:line="248" w:lineRule="auto"/>
        <w:ind w:right="244" w:hanging="10"/>
        <w:jc w:val="both"/>
      </w:pPr>
      <w:r>
        <w:rPr>
          <w:rFonts w:ascii="Arial" w:eastAsia="Arial" w:hAnsi="Arial" w:cs="Arial"/>
          <w:i/>
          <w:color w:val="202020"/>
        </w:rPr>
        <w:t>Los datos, informes o antecedentes obtenidos en el ejercicio de dicho control solamente podrán utilizarse para los fines asignados al mismo, servir de fundamento para la exigencia de reintegro y, e</w:t>
      </w:r>
      <w:r>
        <w:rPr>
          <w:rFonts w:ascii="Arial" w:eastAsia="Arial" w:hAnsi="Arial" w:cs="Arial"/>
          <w:i/>
          <w:color w:val="202020"/>
        </w:rPr>
        <w:t xml:space="preserve">n su caso, para poner en conocimiento de los órganos competentes los hechos que puedan ser constitutivos de infracción administrativa, responsabilidad contable o penal. </w:t>
      </w:r>
    </w:p>
    <w:p w:rsidR="00FF384B" w:rsidRDefault="003E3BA9">
      <w:pPr>
        <w:numPr>
          <w:ilvl w:val="0"/>
          <w:numId w:val="252"/>
        </w:numPr>
        <w:spacing w:after="294" w:line="248" w:lineRule="auto"/>
        <w:ind w:right="244" w:hanging="10"/>
        <w:jc w:val="both"/>
      </w:pPr>
      <w:r>
        <w:rPr>
          <w:rFonts w:ascii="Arial" w:eastAsia="Arial" w:hAnsi="Arial" w:cs="Arial"/>
          <w:i/>
          <w:color w:val="202020"/>
        </w:rPr>
        <w:t>Cuando en la práctica de un control sobre subvenciones el funcionario encargado apreci</w:t>
      </w:r>
      <w:r>
        <w:rPr>
          <w:rFonts w:ascii="Arial" w:eastAsia="Arial" w:hAnsi="Arial" w:cs="Arial"/>
          <w:i/>
          <w:color w:val="202020"/>
        </w:rPr>
        <w:t>e que los hechos acreditados en el expediente pudieran ser susceptibles de constituir una infracción administrativa o de responsabilidades contables o penales lo deberá poner en conocimiento de la Intervención Municipal para que, si procede, remita lo actu</w:t>
      </w:r>
      <w:r>
        <w:rPr>
          <w:rFonts w:ascii="Arial" w:eastAsia="Arial" w:hAnsi="Arial" w:cs="Arial"/>
          <w:i/>
          <w:color w:val="202020"/>
        </w:rPr>
        <w:t xml:space="preserve">ado al órgano competente para la iniciación de los oportunos procedimientos. </w:t>
      </w:r>
    </w:p>
    <w:p w:rsidR="00FF384B" w:rsidRDefault="003E3BA9">
      <w:pPr>
        <w:spacing w:after="0" w:line="401" w:lineRule="auto"/>
        <w:ind w:left="278" w:right="2294" w:hanging="10"/>
        <w:jc w:val="both"/>
      </w:pPr>
      <w:r>
        <w:rPr>
          <w:rFonts w:ascii="Arial" w:eastAsia="Arial" w:hAnsi="Arial" w:cs="Arial"/>
          <w:i/>
          <w:color w:val="202020"/>
        </w:rPr>
        <w:t>CAPÍTULO II. Procedimientos de control de subvenciones</w:t>
      </w:r>
      <w:r>
        <w:rPr>
          <w:sz w:val="26"/>
        </w:rPr>
        <w:t xml:space="preserve"> </w:t>
      </w:r>
      <w:r>
        <w:rPr>
          <w:rFonts w:ascii="Arial" w:eastAsia="Arial" w:hAnsi="Arial" w:cs="Arial"/>
          <w:color w:val="202020"/>
        </w:rPr>
        <w:t xml:space="preserve">Artículo 73. Procedimientos de control de subvenciones. </w:t>
      </w:r>
    </w:p>
    <w:p w:rsidR="00FF384B" w:rsidRDefault="003E3BA9">
      <w:pPr>
        <w:spacing w:after="143" w:line="248" w:lineRule="auto"/>
        <w:ind w:left="268" w:right="244" w:firstLine="708"/>
        <w:jc w:val="both"/>
      </w:pPr>
      <w:r>
        <w:rPr>
          <w:rFonts w:ascii="Arial" w:eastAsia="Arial" w:hAnsi="Arial" w:cs="Arial"/>
          <w:i/>
          <w:color w:val="202020"/>
        </w:rPr>
        <w:t xml:space="preserve">El ejercicio del control de subvenciones se adecuará a la modalidad a aplicar, sea función interventora o control financiero, conforme establezca el interventor municipal, de conformidad con el Real Decreto 424/2017 de abril. </w:t>
      </w:r>
    </w:p>
    <w:p w:rsidR="00FF384B" w:rsidRDefault="003E3BA9">
      <w:pPr>
        <w:spacing w:after="142" w:line="248" w:lineRule="auto"/>
        <w:ind w:left="278" w:right="244" w:hanging="10"/>
        <w:jc w:val="both"/>
      </w:pPr>
      <w:r>
        <w:rPr>
          <w:rFonts w:ascii="Arial" w:eastAsia="Arial" w:hAnsi="Arial" w:cs="Arial"/>
          <w:color w:val="202020"/>
        </w:rPr>
        <w:t>Artículo 74. Función interven</w:t>
      </w:r>
      <w:r>
        <w:rPr>
          <w:rFonts w:ascii="Arial" w:eastAsia="Arial" w:hAnsi="Arial" w:cs="Arial"/>
          <w:color w:val="202020"/>
        </w:rPr>
        <w:t xml:space="preserve">tora. </w:t>
      </w:r>
    </w:p>
    <w:p w:rsidR="00FF384B" w:rsidRDefault="003E3BA9">
      <w:pPr>
        <w:spacing w:after="143" w:line="248" w:lineRule="auto"/>
        <w:ind w:left="268" w:right="244" w:firstLine="708"/>
        <w:jc w:val="both"/>
      </w:pPr>
      <w:r>
        <w:rPr>
          <w:noProof/>
        </w:rPr>
        <mc:AlternateContent>
          <mc:Choice Requires="wpg">
            <w:drawing>
              <wp:anchor distT="0" distB="0" distL="114300" distR="114300" simplePos="0" relativeHeight="2518517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6918" name="Group 47691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143" name="Picture 34143"/>
                          <pic:cNvPicPr/>
                        </pic:nvPicPr>
                        <pic:blipFill>
                          <a:blip r:embed="rId62"/>
                          <a:stretch>
                            <a:fillRect/>
                          </a:stretch>
                        </pic:blipFill>
                        <pic:spPr>
                          <a:xfrm rot="-5399999">
                            <a:off x="-1720849" y="1720849"/>
                            <a:ext cx="3797300" cy="355601"/>
                          </a:xfrm>
                          <a:prstGeom prst="rect">
                            <a:avLst/>
                          </a:prstGeom>
                        </pic:spPr>
                      </pic:pic>
                      <wps:wsp>
                        <wps:cNvPr id="34144" name="Rectangle 3414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145" name="Rectangle 3414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6918" style="width:41.2715pt;height:299pt;position:absolute;mso-position-horizontal-relative:page;mso-position-horizontal:absolute;margin-left:653.71pt;mso-position-vertical-relative:page;margin-top:512.92pt;" coordsize="5241,37973">
                <v:shape id="Picture 34143" style="position:absolute;width:37973;height:3556;left:-17208;top:17208;rotation:-89;" filled="f">
                  <v:imagedata r:id="rId63"/>
                </v:shape>
                <v:rect id="Rectangle 3414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14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188 de 353 </w:t>
                        </w:r>
                      </w:p>
                    </w:txbxContent>
                  </v:textbox>
                </v:rect>
                <w10:wrap type="square"/>
              </v:group>
            </w:pict>
          </mc:Fallback>
        </mc:AlternateContent>
      </w:r>
      <w:r>
        <w:rPr>
          <w:rFonts w:ascii="Arial" w:eastAsia="Arial" w:hAnsi="Arial" w:cs="Arial"/>
          <w:i/>
          <w:color w:val="202020"/>
        </w:rPr>
        <w:t>El ejercicio de la función interventora sobre las s</w:t>
      </w:r>
      <w:r>
        <w:rPr>
          <w:rFonts w:ascii="Arial" w:eastAsia="Arial" w:hAnsi="Arial" w:cs="Arial"/>
          <w:i/>
          <w:color w:val="202020"/>
        </w:rPr>
        <w:t>ubvenciones reguladas en esta ordenanza, podrá consistir en la intervención previa plena, de los expedientes en la tramitación de las diferentes fases de autorización y disposición del gasto y reconocimiento de la obligación, o en la intervención previa de</w:t>
      </w:r>
      <w:r>
        <w:rPr>
          <w:rFonts w:ascii="Arial" w:eastAsia="Arial" w:hAnsi="Arial" w:cs="Arial"/>
          <w:i/>
          <w:color w:val="202020"/>
        </w:rPr>
        <w:t xml:space="preserve"> requisitos esenciales, que se completará con el control posterior, bien a través de la fiscalización plena posterior, bien mediante técnicas de auditoría, de acuerdo con lo dispuesto en el Texto Refundido de la Ley de Haciendas Locales </w:t>
      </w:r>
    </w:p>
    <w:p w:rsidR="00FF384B" w:rsidRDefault="003E3BA9">
      <w:pPr>
        <w:spacing w:after="143" w:line="248" w:lineRule="auto"/>
        <w:ind w:left="268" w:right="244" w:firstLine="708"/>
        <w:jc w:val="both"/>
      </w:pPr>
      <w:r>
        <w:rPr>
          <w:rFonts w:ascii="Arial" w:eastAsia="Arial" w:hAnsi="Arial" w:cs="Arial"/>
          <w:i/>
          <w:color w:val="202020"/>
        </w:rPr>
        <w:t>El control posteri</w:t>
      </w:r>
      <w:r>
        <w:rPr>
          <w:rFonts w:ascii="Arial" w:eastAsia="Arial" w:hAnsi="Arial" w:cs="Arial"/>
          <w:i/>
          <w:color w:val="202020"/>
        </w:rPr>
        <w:t xml:space="preserve">or efectuado a través de técnicas de auditoría se someterá, en lo correspondiente a su procedimiento y formalización, a lo determinado en los artículos siguientes. </w:t>
      </w:r>
    </w:p>
    <w:p w:rsidR="00FF384B" w:rsidRDefault="003E3BA9">
      <w:pPr>
        <w:spacing w:after="142" w:line="248" w:lineRule="auto"/>
        <w:ind w:left="278" w:right="244" w:hanging="10"/>
        <w:jc w:val="both"/>
      </w:pPr>
      <w:r>
        <w:rPr>
          <w:rFonts w:ascii="Arial" w:eastAsia="Arial" w:hAnsi="Arial" w:cs="Arial"/>
          <w:color w:val="202020"/>
        </w:rPr>
        <w:t xml:space="preserve">Artículo 75. Control financiero. </w:t>
      </w:r>
    </w:p>
    <w:p w:rsidR="00FF384B" w:rsidRDefault="003E3BA9">
      <w:pPr>
        <w:numPr>
          <w:ilvl w:val="0"/>
          <w:numId w:val="253"/>
        </w:numPr>
        <w:spacing w:after="143" w:line="248" w:lineRule="auto"/>
        <w:ind w:right="244" w:hanging="247"/>
        <w:jc w:val="both"/>
      </w:pPr>
      <w:r>
        <w:rPr>
          <w:rFonts w:ascii="Arial" w:eastAsia="Arial" w:hAnsi="Arial" w:cs="Arial"/>
          <w:i/>
          <w:color w:val="202020"/>
        </w:rPr>
        <w:t>Cuando se realicen los controles mediante técnicas de aud</w:t>
      </w:r>
      <w:r>
        <w:rPr>
          <w:rFonts w:ascii="Arial" w:eastAsia="Arial" w:hAnsi="Arial" w:cs="Arial"/>
          <w:i/>
          <w:color w:val="202020"/>
        </w:rPr>
        <w:t>itoría, el inicio de las actuaciones se notificará a los órganos, organismos o entidades objeto de control y a los beneficiarios y, en su caso, entidades colaboradoras y al resto de los interesados, con indicación de la naturaleza y alcance de las actuacio</w:t>
      </w:r>
      <w:r>
        <w:rPr>
          <w:rFonts w:ascii="Arial" w:eastAsia="Arial" w:hAnsi="Arial" w:cs="Arial"/>
          <w:i/>
          <w:color w:val="202020"/>
        </w:rPr>
        <w:t>nes a desarrollar, la fecha de personación del equipo de control que va a realizarlas, la documentación que en un principio debe ponerse a disposición del mismo y los demás elementos que se consideren necesarios. Estas actuaciones serán comunicadas, igualm</w:t>
      </w:r>
      <w:r>
        <w:rPr>
          <w:rFonts w:ascii="Arial" w:eastAsia="Arial" w:hAnsi="Arial" w:cs="Arial"/>
          <w:i/>
          <w:color w:val="202020"/>
        </w:rPr>
        <w:t xml:space="preserve">ente, a los órganos gestores de las subvenciones. </w:t>
      </w:r>
    </w:p>
    <w:p w:rsidR="00FF384B" w:rsidRDefault="003E3BA9">
      <w:pPr>
        <w:numPr>
          <w:ilvl w:val="0"/>
          <w:numId w:val="253"/>
        </w:numPr>
        <w:spacing w:after="143" w:line="248" w:lineRule="auto"/>
        <w:ind w:right="244" w:hanging="247"/>
        <w:jc w:val="both"/>
      </w:pPr>
      <w:r>
        <w:rPr>
          <w:rFonts w:ascii="Arial" w:eastAsia="Arial" w:hAnsi="Arial" w:cs="Arial"/>
          <w:i/>
          <w:color w:val="202020"/>
        </w:rPr>
        <w:t xml:space="preserve">El informe definitivo se remitirá a los órganos previstos en la normativa vigente. </w:t>
      </w:r>
    </w:p>
    <w:p w:rsidR="00FF384B" w:rsidRDefault="003E3BA9">
      <w:pPr>
        <w:spacing w:after="142" w:line="248" w:lineRule="auto"/>
        <w:ind w:left="278" w:right="244" w:hanging="10"/>
        <w:jc w:val="both"/>
      </w:pPr>
      <w:r>
        <w:rPr>
          <w:rFonts w:ascii="Arial" w:eastAsia="Arial" w:hAnsi="Arial" w:cs="Arial"/>
          <w:color w:val="202020"/>
        </w:rPr>
        <w:t xml:space="preserve">Artículo 76. Plan anual de control financiero. </w:t>
      </w:r>
    </w:p>
    <w:p w:rsidR="00FF384B" w:rsidRDefault="003E3BA9">
      <w:pPr>
        <w:numPr>
          <w:ilvl w:val="0"/>
          <w:numId w:val="254"/>
        </w:numPr>
        <w:spacing w:after="143" w:line="248" w:lineRule="auto"/>
        <w:ind w:right="244" w:hanging="10"/>
        <w:jc w:val="both"/>
      </w:pPr>
      <w:r>
        <w:rPr>
          <w:rFonts w:ascii="Arial" w:eastAsia="Arial" w:hAnsi="Arial" w:cs="Arial"/>
          <w:i/>
          <w:color w:val="202020"/>
        </w:rPr>
        <w:t xml:space="preserve">La Intervención Municipal elaborará un Plan anual de control financiero, </w:t>
      </w:r>
      <w:r>
        <w:rPr>
          <w:rFonts w:ascii="Arial" w:eastAsia="Arial" w:hAnsi="Arial" w:cs="Arial"/>
          <w:i/>
          <w:color w:val="202020"/>
        </w:rPr>
        <w:t xml:space="preserve">que incluirá la programación de los controles financieros a realizar en el ejercicio. Dicho Plan será elevado al Pleno para su conocimiento durante el primer semestre del año. </w:t>
      </w:r>
    </w:p>
    <w:p w:rsidR="00FF384B" w:rsidRDefault="003E3BA9">
      <w:pPr>
        <w:numPr>
          <w:ilvl w:val="0"/>
          <w:numId w:val="254"/>
        </w:numPr>
        <w:spacing w:after="143" w:line="248" w:lineRule="auto"/>
        <w:ind w:right="244" w:hanging="10"/>
        <w:jc w:val="both"/>
      </w:pPr>
      <w:r>
        <w:rPr>
          <w:rFonts w:ascii="Arial" w:eastAsia="Arial" w:hAnsi="Arial" w:cs="Arial"/>
          <w:i/>
          <w:color w:val="202020"/>
        </w:rPr>
        <w:t>El Plan podrá ser modificado en función de los medios disponibles, de las neces</w:t>
      </w:r>
      <w:r>
        <w:rPr>
          <w:rFonts w:ascii="Arial" w:eastAsia="Arial" w:hAnsi="Arial" w:cs="Arial"/>
          <w:i/>
          <w:color w:val="202020"/>
        </w:rPr>
        <w:t xml:space="preserve">idades de control detectadas en el ejercicio del mismo o de las solicitudes para la realización de auditorías específicas que efectúe el Pleno de la Corporación. </w:t>
      </w:r>
    </w:p>
    <w:p w:rsidR="00FF384B" w:rsidRDefault="003E3BA9">
      <w:pPr>
        <w:numPr>
          <w:ilvl w:val="0"/>
          <w:numId w:val="254"/>
        </w:numPr>
        <w:spacing w:after="294" w:line="248" w:lineRule="auto"/>
        <w:ind w:right="244" w:hanging="10"/>
        <w:jc w:val="both"/>
      </w:pPr>
      <w:r>
        <w:rPr>
          <w:rFonts w:ascii="Arial" w:eastAsia="Arial" w:hAnsi="Arial" w:cs="Arial"/>
          <w:i/>
          <w:color w:val="202020"/>
        </w:rPr>
        <w:t>A tales efectos, se elevará propuesta o petición razonada a la Intervención Municipal que, previa valoración, resolverá, según proceda, acerca de la inclusión de un control no contemplado inicialmente en el Plan anual o su supresión, y la extensión del mis</w:t>
      </w:r>
      <w:r>
        <w:rPr>
          <w:rFonts w:ascii="Arial" w:eastAsia="Arial" w:hAnsi="Arial" w:cs="Arial"/>
          <w:i/>
          <w:color w:val="202020"/>
        </w:rPr>
        <w:t xml:space="preserve">mo a otra persona física o jurídica, debiendo dar cuenta, en todo caso, al Pleno de la Corporación. </w:t>
      </w:r>
    </w:p>
    <w:p w:rsidR="00FF384B" w:rsidRDefault="003E3BA9">
      <w:pPr>
        <w:spacing w:after="264" w:line="248" w:lineRule="auto"/>
        <w:ind w:left="278" w:right="244" w:hanging="10"/>
        <w:jc w:val="both"/>
      </w:pPr>
      <w:r>
        <w:rPr>
          <w:rFonts w:ascii="Arial" w:eastAsia="Arial" w:hAnsi="Arial" w:cs="Arial"/>
          <w:i/>
          <w:color w:val="202020"/>
        </w:rPr>
        <w:t>TÍTULO VI. INFRACCIONES Y SANCIONES ADMINISTRATIVAS EN MATERIA DE SUBVENCIONES. PROCEDIMIENTO SANCIONADOR.</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CAPÍTULO I. Infracciones en materia de subvenci</w:t>
      </w:r>
      <w:r>
        <w:rPr>
          <w:rFonts w:ascii="Arial" w:eastAsia="Arial" w:hAnsi="Arial" w:cs="Arial"/>
          <w:i/>
          <w:color w:val="202020"/>
        </w:rPr>
        <w:t xml:space="preserve">ones. </w:t>
      </w:r>
    </w:p>
    <w:p w:rsidR="00FF384B" w:rsidRDefault="003E3BA9">
      <w:pPr>
        <w:spacing w:after="142" w:line="248" w:lineRule="auto"/>
        <w:ind w:left="278" w:right="244" w:hanging="10"/>
        <w:jc w:val="both"/>
      </w:pPr>
      <w:r>
        <w:rPr>
          <w:rFonts w:ascii="Arial" w:eastAsia="Arial" w:hAnsi="Arial" w:cs="Arial"/>
          <w:color w:val="202020"/>
        </w:rPr>
        <w:t xml:space="preserve">Artículo 77. Concepto de infracción. </w:t>
      </w:r>
    </w:p>
    <w:p w:rsidR="00FF384B" w:rsidRDefault="003E3BA9">
      <w:pPr>
        <w:numPr>
          <w:ilvl w:val="0"/>
          <w:numId w:val="255"/>
        </w:numPr>
        <w:spacing w:after="143" w:line="248" w:lineRule="auto"/>
        <w:ind w:right="244" w:hanging="10"/>
        <w:jc w:val="both"/>
      </w:pPr>
      <w:r>
        <w:rPr>
          <w:rFonts w:ascii="Arial" w:eastAsia="Arial" w:hAnsi="Arial" w:cs="Arial"/>
          <w:i/>
          <w:color w:val="202020"/>
        </w:rPr>
        <w:t xml:space="preserve">Constituyen infracciones administrativas en materia de subvenciones las acciones y omisiones tipificadas en la normativa de subvenciones, así como en la presente Ordenanza municipal. </w:t>
      </w:r>
    </w:p>
    <w:p w:rsidR="00FF384B" w:rsidRDefault="003E3BA9">
      <w:pPr>
        <w:numPr>
          <w:ilvl w:val="0"/>
          <w:numId w:val="255"/>
        </w:numPr>
        <w:spacing w:after="143" w:line="248" w:lineRule="auto"/>
        <w:ind w:right="244" w:hanging="10"/>
        <w:jc w:val="both"/>
      </w:pPr>
      <w:r>
        <w:rPr>
          <w:noProof/>
        </w:rPr>
        <mc:AlternateContent>
          <mc:Choice Requires="wpg">
            <w:drawing>
              <wp:anchor distT="0" distB="0" distL="114300" distR="114300" simplePos="0" relativeHeight="2518528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7155" name="Group 4771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270" name="Picture 34270"/>
                          <pic:cNvPicPr/>
                        </pic:nvPicPr>
                        <pic:blipFill>
                          <a:blip r:embed="rId62"/>
                          <a:stretch>
                            <a:fillRect/>
                          </a:stretch>
                        </pic:blipFill>
                        <pic:spPr>
                          <a:xfrm rot="-5399999">
                            <a:off x="-1720849" y="1720849"/>
                            <a:ext cx="3797300" cy="355601"/>
                          </a:xfrm>
                          <a:prstGeom prst="rect">
                            <a:avLst/>
                          </a:prstGeom>
                        </pic:spPr>
                      </pic:pic>
                      <wps:wsp>
                        <wps:cNvPr id="34271" name="Rectangle 3427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w:t>
                              </w:r>
                              <w:r>
                                <w:rPr>
                                  <w:rFonts w:ascii="Arial" w:eastAsia="Arial" w:hAnsi="Arial" w:cs="Arial"/>
                                  <w:sz w:val="12"/>
                                </w:rPr>
                                <w:t xml:space="preserve">G9QWZ53RMHD5RCHL7K | Verificación: https://candelaria.sedelectronica.es/ </w:t>
                              </w:r>
                            </w:p>
                          </w:txbxContent>
                        </wps:txbx>
                        <wps:bodyPr horzOverflow="overflow" vert="horz" lIns="0" tIns="0" rIns="0" bIns="0" rtlCol="0">
                          <a:noAutofit/>
                        </wps:bodyPr>
                      </wps:wsp>
                      <wps:wsp>
                        <wps:cNvPr id="34272" name="Rectangle 3427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189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7155" style="width:41.2715pt;height:299pt;position:absolute;mso-position-horizontal-relative:page;mso-position-horizontal:absolute;margin-left:653.71pt;mso-position-vertical-relative:page;margin-top:512.92pt;" coordsize="5241,37973">
                <v:shape id="Picture 34270" style="position:absolute;width:37973;height:3556;left:-17208;top:17208;rotation:-89;" filled="f">
                  <v:imagedata r:id="rId63"/>
                </v:shape>
                <v:rect id="Rectangle 3427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27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189 de 353 </w:t>
                        </w:r>
                      </w:p>
                    </w:txbxContent>
                  </v:textbox>
                </v:rect>
                <w10:wrap type="square"/>
              </v:group>
            </w:pict>
          </mc:Fallback>
        </mc:AlternateContent>
      </w:r>
      <w:r>
        <w:rPr>
          <w:rFonts w:ascii="Arial" w:eastAsia="Arial" w:hAnsi="Arial" w:cs="Arial"/>
          <w:i/>
          <w:color w:val="202020"/>
        </w:rPr>
        <w:t>Las infracciones administrativas en materia de subvenciones serán sancionables inclus</w:t>
      </w:r>
      <w:r>
        <w:rPr>
          <w:rFonts w:ascii="Arial" w:eastAsia="Arial" w:hAnsi="Arial" w:cs="Arial"/>
          <w:i/>
          <w:color w:val="202020"/>
        </w:rPr>
        <w:t xml:space="preserve">o a título de simple negligencia. </w:t>
      </w:r>
    </w:p>
    <w:p w:rsidR="00FF384B" w:rsidRDefault="003E3BA9">
      <w:pPr>
        <w:numPr>
          <w:ilvl w:val="0"/>
          <w:numId w:val="255"/>
        </w:numPr>
        <w:spacing w:after="143" w:line="248" w:lineRule="auto"/>
        <w:ind w:right="244" w:hanging="10"/>
        <w:jc w:val="both"/>
      </w:pPr>
      <w:r>
        <w:rPr>
          <w:rFonts w:ascii="Arial" w:eastAsia="Arial" w:hAnsi="Arial" w:cs="Arial"/>
          <w:i/>
          <w:color w:val="202020"/>
        </w:rPr>
        <w:t xml:space="preserve">Los sujetos responsables y supuestos de exención de responsabilidad serán los previstos en la Ley General de Subvenciones. </w:t>
      </w:r>
    </w:p>
    <w:p w:rsidR="00FF384B" w:rsidRDefault="003E3BA9">
      <w:pPr>
        <w:spacing w:after="142" w:line="248" w:lineRule="auto"/>
        <w:ind w:left="278" w:right="244" w:hanging="10"/>
        <w:jc w:val="both"/>
      </w:pPr>
      <w:r>
        <w:rPr>
          <w:rFonts w:ascii="Arial" w:eastAsia="Arial" w:hAnsi="Arial" w:cs="Arial"/>
          <w:color w:val="202020"/>
        </w:rPr>
        <w:t xml:space="preserve">Artículo 78. Concurrencia de actuaciones con el orden jurisdiccional penal. </w:t>
      </w:r>
    </w:p>
    <w:p w:rsidR="00FF384B" w:rsidRDefault="003E3BA9">
      <w:pPr>
        <w:numPr>
          <w:ilvl w:val="0"/>
          <w:numId w:val="256"/>
        </w:numPr>
        <w:spacing w:after="143" w:line="248" w:lineRule="auto"/>
        <w:ind w:right="244" w:hanging="10"/>
        <w:jc w:val="both"/>
      </w:pPr>
      <w:r>
        <w:rPr>
          <w:rFonts w:ascii="Arial" w:eastAsia="Arial" w:hAnsi="Arial" w:cs="Arial"/>
          <w:i/>
          <w:color w:val="202020"/>
        </w:rPr>
        <w:t>En los supuestos en que la conducta pudiera ser constitutiva de delito, se pasará el tanto de culpa a la jurisdicción competente y se abstendrá de seguir el procedimiento sancionador mientras la autoridad judicial no dicte sentencia firme, tenga lugar el s</w:t>
      </w:r>
      <w:r>
        <w:rPr>
          <w:rFonts w:ascii="Arial" w:eastAsia="Arial" w:hAnsi="Arial" w:cs="Arial"/>
          <w:i/>
          <w:color w:val="202020"/>
        </w:rPr>
        <w:t xml:space="preserve">obreseimiento o el archivo de las actuaciones o se produzca la devolución del expediente por el Ministerio Fiscal. </w:t>
      </w:r>
    </w:p>
    <w:p w:rsidR="00FF384B" w:rsidRDefault="003E3BA9">
      <w:pPr>
        <w:numPr>
          <w:ilvl w:val="0"/>
          <w:numId w:val="256"/>
        </w:numPr>
        <w:spacing w:after="143" w:line="248" w:lineRule="auto"/>
        <w:ind w:right="244" w:hanging="10"/>
        <w:jc w:val="both"/>
      </w:pPr>
      <w:r>
        <w:rPr>
          <w:rFonts w:ascii="Arial" w:eastAsia="Arial" w:hAnsi="Arial" w:cs="Arial"/>
          <w:i/>
          <w:color w:val="202020"/>
        </w:rPr>
        <w:t>La pena impuesta por la autoridad judicial excluirá la imposición de sanción administrativa, si ya se le impuso al mismo sujeto por los mism</w:t>
      </w:r>
      <w:r>
        <w:rPr>
          <w:rFonts w:ascii="Arial" w:eastAsia="Arial" w:hAnsi="Arial" w:cs="Arial"/>
          <w:i/>
          <w:color w:val="202020"/>
        </w:rPr>
        <w:t xml:space="preserve">os hechos e idéntico fundamento a los tenidos en cuenta en el procedimiento sancionador. </w:t>
      </w:r>
    </w:p>
    <w:p w:rsidR="00FF384B" w:rsidRDefault="003E3BA9">
      <w:pPr>
        <w:numPr>
          <w:ilvl w:val="0"/>
          <w:numId w:val="256"/>
        </w:numPr>
        <w:spacing w:after="143" w:line="248" w:lineRule="auto"/>
        <w:ind w:right="244" w:hanging="10"/>
        <w:jc w:val="both"/>
      </w:pPr>
      <w:r>
        <w:rPr>
          <w:rFonts w:ascii="Arial" w:eastAsia="Arial" w:hAnsi="Arial" w:cs="Arial"/>
          <w:i/>
          <w:color w:val="202020"/>
        </w:rPr>
        <w:t>De no haberse estimado la existencia de delito, se iniciará o continuará el expediente sancionador, con base en los hechos que los tribunales hayan considerado probad</w:t>
      </w:r>
      <w:r>
        <w:rPr>
          <w:rFonts w:ascii="Arial" w:eastAsia="Arial" w:hAnsi="Arial" w:cs="Arial"/>
          <w:i/>
          <w:color w:val="202020"/>
        </w:rPr>
        <w:t xml:space="preserve">os. </w:t>
      </w:r>
    </w:p>
    <w:p w:rsidR="00FF384B" w:rsidRDefault="003E3BA9">
      <w:pPr>
        <w:spacing w:after="142" w:line="248" w:lineRule="auto"/>
        <w:ind w:left="278" w:right="244" w:hanging="10"/>
        <w:jc w:val="both"/>
      </w:pPr>
      <w:r>
        <w:rPr>
          <w:rFonts w:ascii="Arial" w:eastAsia="Arial" w:hAnsi="Arial" w:cs="Arial"/>
          <w:color w:val="202020"/>
        </w:rPr>
        <w:t xml:space="preserve">Artículo 79. Clases de Infracciones. </w:t>
      </w:r>
    </w:p>
    <w:p w:rsidR="00FF384B" w:rsidRDefault="003E3BA9">
      <w:pPr>
        <w:numPr>
          <w:ilvl w:val="0"/>
          <w:numId w:val="257"/>
        </w:numPr>
        <w:spacing w:after="143" w:line="248" w:lineRule="auto"/>
        <w:ind w:right="244" w:hanging="247"/>
        <w:jc w:val="both"/>
      </w:pPr>
      <w:r>
        <w:rPr>
          <w:rFonts w:ascii="Arial" w:eastAsia="Arial" w:hAnsi="Arial" w:cs="Arial"/>
          <w:i/>
          <w:color w:val="202020"/>
        </w:rPr>
        <w:t xml:space="preserve">Las infracciones se clasificarán en leves, graves y muy graves </w:t>
      </w:r>
    </w:p>
    <w:p w:rsidR="00FF384B" w:rsidRDefault="003E3BA9">
      <w:pPr>
        <w:numPr>
          <w:ilvl w:val="0"/>
          <w:numId w:val="257"/>
        </w:numPr>
        <w:spacing w:after="143" w:line="248" w:lineRule="auto"/>
        <w:ind w:right="244" w:hanging="247"/>
        <w:jc w:val="both"/>
      </w:pPr>
      <w:r>
        <w:rPr>
          <w:rFonts w:ascii="Arial" w:eastAsia="Arial" w:hAnsi="Arial" w:cs="Arial"/>
          <w:i/>
          <w:color w:val="202020"/>
        </w:rPr>
        <w:t>Constituyen infracciones los incumplimientos de las obligaciones recogidas en la presente Ordenanza, en las cláusulas de los convenios suscritos y la</w:t>
      </w:r>
      <w:r>
        <w:rPr>
          <w:rFonts w:ascii="Arial" w:eastAsia="Arial" w:hAnsi="Arial" w:cs="Arial"/>
          <w:i/>
          <w:color w:val="202020"/>
        </w:rPr>
        <w:t xml:space="preserve">s convocatorias de subvenciones, así como las previstas en la Ley General de Subvenciones. </w:t>
      </w:r>
    </w:p>
    <w:p w:rsidR="00FF384B" w:rsidRDefault="003E3BA9">
      <w:pPr>
        <w:spacing w:after="278"/>
        <w:ind w:left="283"/>
      </w:pPr>
      <w:r>
        <w:rPr>
          <w:rFonts w:ascii="Arial" w:eastAsia="Arial" w:hAnsi="Arial" w:cs="Arial"/>
          <w:i/>
          <w:color w:val="202020"/>
        </w:rPr>
        <w:t xml:space="preserve"> </w:t>
      </w:r>
    </w:p>
    <w:p w:rsidR="00FF384B" w:rsidRDefault="003E3BA9">
      <w:pPr>
        <w:spacing w:after="96" w:line="248" w:lineRule="auto"/>
        <w:ind w:left="278" w:right="244" w:hanging="10"/>
        <w:jc w:val="both"/>
      </w:pPr>
      <w:r>
        <w:rPr>
          <w:rFonts w:ascii="Arial" w:eastAsia="Arial" w:hAnsi="Arial" w:cs="Arial"/>
          <w:i/>
          <w:color w:val="202020"/>
        </w:rPr>
        <w:t>CAPÍTULO II. Sanciones administrativas en materia de subvenciones.</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80. Clases de sanciones. </w:t>
      </w:r>
    </w:p>
    <w:p w:rsidR="00FF384B" w:rsidRDefault="003E3BA9">
      <w:pPr>
        <w:numPr>
          <w:ilvl w:val="0"/>
          <w:numId w:val="258"/>
        </w:numPr>
        <w:spacing w:after="143" w:line="248" w:lineRule="auto"/>
        <w:ind w:right="244" w:hanging="10"/>
      </w:pPr>
      <w:r>
        <w:rPr>
          <w:rFonts w:ascii="Arial" w:eastAsia="Arial" w:hAnsi="Arial" w:cs="Arial"/>
          <w:i/>
          <w:color w:val="202020"/>
        </w:rPr>
        <w:t xml:space="preserve">Las infracciones en materia de subvenciones se sancionarán </w:t>
      </w:r>
      <w:r>
        <w:rPr>
          <w:rFonts w:ascii="Arial" w:eastAsia="Arial" w:hAnsi="Arial" w:cs="Arial"/>
          <w:i/>
          <w:color w:val="202020"/>
        </w:rPr>
        <w:t xml:space="preserve">mediante la imposición de sanciones pecuniarias y, cuando proceda, de sanciones no pecuniarias. </w:t>
      </w:r>
    </w:p>
    <w:p w:rsidR="00FF384B" w:rsidRDefault="003E3BA9">
      <w:pPr>
        <w:numPr>
          <w:ilvl w:val="0"/>
          <w:numId w:val="258"/>
        </w:numPr>
        <w:spacing w:after="98" w:line="309" w:lineRule="auto"/>
        <w:ind w:right="244" w:hanging="10"/>
      </w:pPr>
      <w:r>
        <w:rPr>
          <w:rFonts w:ascii="Arial" w:eastAsia="Arial" w:hAnsi="Arial" w:cs="Arial"/>
          <w:i/>
          <w:color w:val="202020"/>
        </w:rPr>
        <w:t xml:space="preserve">Las sanciones, su graduación y cuantías se establecerán de acuerdo con lo previsto en la Ley General de Subvenciones. </w:t>
      </w:r>
      <w:r>
        <w:rPr>
          <w:rFonts w:ascii="Arial" w:eastAsia="Arial" w:hAnsi="Arial" w:cs="Arial"/>
          <w:color w:val="202020"/>
        </w:rPr>
        <w:t xml:space="preserve">Artículo 81. Procedimiento sancionador. </w:t>
      </w:r>
    </w:p>
    <w:p w:rsidR="00FF384B" w:rsidRDefault="003E3BA9">
      <w:pPr>
        <w:numPr>
          <w:ilvl w:val="0"/>
          <w:numId w:val="259"/>
        </w:numPr>
        <w:spacing w:after="143" w:line="248" w:lineRule="auto"/>
        <w:ind w:right="244" w:hanging="247"/>
        <w:jc w:val="both"/>
      </w:pPr>
      <w:r>
        <w:rPr>
          <w:rFonts w:ascii="Arial" w:eastAsia="Arial" w:hAnsi="Arial" w:cs="Arial"/>
          <w:i/>
          <w:color w:val="202020"/>
        </w:rPr>
        <w:t xml:space="preserve">La instrucción de los procedimientos sancionadores corresponderá al funcionario, unidad administrativa u órgano que se determine en el acuerdo de iniciación, de conformidad con lo dispuesto en la regulación del procedimiento sancionador. </w:t>
      </w:r>
    </w:p>
    <w:p w:rsidR="00FF384B" w:rsidRDefault="003E3BA9">
      <w:pPr>
        <w:numPr>
          <w:ilvl w:val="0"/>
          <w:numId w:val="259"/>
        </w:numPr>
        <w:spacing w:after="143" w:line="248" w:lineRule="auto"/>
        <w:ind w:right="244" w:hanging="247"/>
        <w:jc w:val="both"/>
      </w:pPr>
      <w:r>
        <w:rPr>
          <w:noProof/>
        </w:rPr>
        <mc:AlternateContent>
          <mc:Choice Requires="wpg">
            <w:drawing>
              <wp:anchor distT="0" distB="0" distL="114300" distR="114300" simplePos="0" relativeHeight="2518538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7286" name="Group 47728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411" name="Picture 34411"/>
                          <pic:cNvPicPr/>
                        </pic:nvPicPr>
                        <pic:blipFill>
                          <a:blip r:embed="rId62"/>
                          <a:stretch>
                            <a:fillRect/>
                          </a:stretch>
                        </pic:blipFill>
                        <pic:spPr>
                          <a:xfrm rot="-5399999">
                            <a:off x="-1720849" y="1720849"/>
                            <a:ext cx="3797300" cy="355601"/>
                          </a:xfrm>
                          <a:prstGeom prst="rect">
                            <a:avLst/>
                          </a:prstGeom>
                        </pic:spPr>
                      </pic:pic>
                      <wps:wsp>
                        <wps:cNvPr id="34412" name="Rectangle 3441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413" name="Rectangle 3441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7286" style="width:41.2715pt;height:299pt;position:absolute;mso-position-horizontal-relative:page;mso-position-horizontal:absolute;margin-left:653.71pt;mso-position-vertical-relative:page;margin-top:512.92pt;" coordsize="5241,37973">
                <v:shape id="Picture 34411" style="position:absolute;width:37973;height:3556;left:-17208;top:17208;rotation:-89;" filled="f">
                  <v:imagedata r:id="rId63"/>
                </v:shape>
                <v:rect id="Rectangle 3441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41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190 de 353 </w:t>
                        </w:r>
                      </w:p>
                    </w:txbxContent>
                  </v:textbox>
                </v:rect>
                <w10:wrap type="square"/>
              </v:group>
            </w:pict>
          </mc:Fallback>
        </mc:AlternateContent>
      </w:r>
      <w:r>
        <w:rPr>
          <w:rFonts w:ascii="Arial" w:eastAsia="Arial" w:hAnsi="Arial" w:cs="Arial"/>
          <w:i/>
          <w:color w:val="202020"/>
        </w:rPr>
        <w:t xml:space="preserve">La imposición de las sanciones en materia de subvenciones se </w:t>
      </w:r>
      <w:r>
        <w:rPr>
          <w:rFonts w:ascii="Arial" w:eastAsia="Arial" w:hAnsi="Arial" w:cs="Arial"/>
          <w:i/>
          <w:color w:val="202020"/>
        </w:rPr>
        <w:t>efectuará mediante expediente administrativo en el que, en todo caso, se dará audiencia al interesado antes de dictarse el acuerdo correspondiente y que será tramitado conforme lo previsto en la legislación vigente en materia de procedimiento administrativ</w:t>
      </w:r>
      <w:r>
        <w:rPr>
          <w:rFonts w:ascii="Arial" w:eastAsia="Arial" w:hAnsi="Arial" w:cs="Arial"/>
          <w:i/>
          <w:color w:val="202020"/>
        </w:rPr>
        <w:t xml:space="preserve">o y en el procedimiento para el ejercicio de la potestad sancionadora vigente en la Comunidad Autónoma de Canarias. </w:t>
      </w:r>
    </w:p>
    <w:p w:rsidR="00FF384B" w:rsidRDefault="003E3BA9">
      <w:pPr>
        <w:numPr>
          <w:ilvl w:val="0"/>
          <w:numId w:val="259"/>
        </w:numPr>
        <w:spacing w:after="143" w:line="248" w:lineRule="auto"/>
        <w:ind w:right="244" w:hanging="247"/>
        <w:jc w:val="both"/>
      </w:pPr>
      <w:r>
        <w:rPr>
          <w:rFonts w:ascii="Arial" w:eastAsia="Arial" w:hAnsi="Arial" w:cs="Arial"/>
          <w:i/>
          <w:color w:val="202020"/>
        </w:rPr>
        <w:t>El procedimiento se iniciará de oficio, como consecuencia de la actuación de comprobación desarrollada por el órgano concedente o por la en</w:t>
      </w:r>
      <w:r>
        <w:rPr>
          <w:rFonts w:ascii="Arial" w:eastAsia="Arial" w:hAnsi="Arial" w:cs="Arial"/>
          <w:i/>
          <w:color w:val="202020"/>
        </w:rPr>
        <w:t xml:space="preserve">tidad colaboradora, así como de las actuaciones de control financiero. </w:t>
      </w:r>
    </w:p>
    <w:p w:rsidR="00FF384B" w:rsidRDefault="003E3BA9">
      <w:pPr>
        <w:numPr>
          <w:ilvl w:val="0"/>
          <w:numId w:val="259"/>
        </w:numPr>
        <w:spacing w:after="143" w:line="248" w:lineRule="auto"/>
        <w:ind w:right="244" w:hanging="247"/>
        <w:jc w:val="both"/>
      </w:pPr>
      <w:r>
        <w:rPr>
          <w:rFonts w:ascii="Arial" w:eastAsia="Arial" w:hAnsi="Arial" w:cs="Arial"/>
          <w:i/>
          <w:color w:val="202020"/>
        </w:rPr>
        <w:t xml:space="preserve">Los acuerdos de imposición de sanciones pondrán fin a la vía administrativa. </w:t>
      </w:r>
    </w:p>
    <w:p w:rsidR="00FF384B" w:rsidRDefault="003E3BA9">
      <w:pPr>
        <w:spacing w:after="142" w:line="248" w:lineRule="auto"/>
        <w:ind w:left="278" w:right="244" w:hanging="10"/>
        <w:jc w:val="both"/>
      </w:pPr>
      <w:r>
        <w:rPr>
          <w:rFonts w:ascii="Arial" w:eastAsia="Arial" w:hAnsi="Arial" w:cs="Arial"/>
          <w:color w:val="202020"/>
        </w:rPr>
        <w:t xml:space="preserve">Artículo 82. Competencia para la imposición de sanciones. </w:t>
      </w:r>
    </w:p>
    <w:p w:rsidR="00FF384B" w:rsidRDefault="003E3BA9">
      <w:pPr>
        <w:spacing w:after="291" w:line="248" w:lineRule="auto"/>
        <w:ind w:left="278" w:right="244" w:hanging="10"/>
        <w:jc w:val="both"/>
      </w:pPr>
      <w:r>
        <w:rPr>
          <w:rFonts w:ascii="Arial" w:eastAsia="Arial" w:hAnsi="Arial" w:cs="Arial"/>
          <w:i/>
          <w:color w:val="202020"/>
        </w:rPr>
        <w:t>Para la imposición de las sanciones serán compe</w:t>
      </w:r>
      <w:r>
        <w:rPr>
          <w:rFonts w:ascii="Arial" w:eastAsia="Arial" w:hAnsi="Arial" w:cs="Arial"/>
          <w:i/>
          <w:color w:val="202020"/>
        </w:rPr>
        <w:t xml:space="preserve">tentes, la Alcaldía. </w:t>
      </w:r>
    </w:p>
    <w:p w:rsidR="00FF384B" w:rsidRDefault="003E3BA9">
      <w:pPr>
        <w:spacing w:after="96" w:line="248" w:lineRule="auto"/>
        <w:ind w:left="278" w:right="244" w:hanging="10"/>
        <w:jc w:val="both"/>
      </w:pPr>
      <w:r>
        <w:rPr>
          <w:rFonts w:ascii="Arial" w:eastAsia="Arial" w:hAnsi="Arial" w:cs="Arial"/>
          <w:i/>
          <w:color w:val="202020"/>
        </w:rPr>
        <w:t>CAPÍTULO III. Prescripción y responsabilidad.</w:t>
      </w:r>
      <w:r>
        <w:rPr>
          <w:sz w:val="26"/>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83. Prescripción de infracciones y sanciones. </w:t>
      </w:r>
    </w:p>
    <w:p w:rsidR="00FF384B" w:rsidRDefault="003E3BA9">
      <w:pPr>
        <w:numPr>
          <w:ilvl w:val="0"/>
          <w:numId w:val="260"/>
        </w:numPr>
        <w:spacing w:after="143" w:line="248" w:lineRule="auto"/>
        <w:ind w:right="244" w:hanging="10"/>
        <w:jc w:val="both"/>
      </w:pPr>
      <w:r>
        <w:rPr>
          <w:rFonts w:ascii="Arial" w:eastAsia="Arial" w:hAnsi="Arial" w:cs="Arial"/>
          <w:i/>
          <w:color w:val="202020"/>
        </w:rPr>
        <w:t xml:space="preserve">Las infracciones prescribirán en el plazo de cuatro años a contar desde el día en que la infracción se hubiera cometido. </w:t>
      </w:r>
    </w:p>
    <w:p w:rsidR="00FF384B" w:rsidRDefault="003E3BA9">
      <w:pPr>
        <w:numPr>
          <w:ilvl w:val="0"/>
          <w:numId w:val="260"/>
        </w:numPr>
        <w:spacing w:after="143" w:line="248" w:lineRule="auto"/>
        <w:ind w:right="244" w:hanging="10"/>
        <w:jc w:val="both"/>
      </w:pPr>
      <w:r>
        <w:rPr>
          <w:rFonts w:ascii="Arial" w:eastAsia="Arial" w:hAnsi="Arial" w:cs="Arial"/>
          <w:i/>
          <w:color w:val="202020"/>
        </w:rPr>
        <w:t>Las sanci</w:t>
      </w:r>
      <w:r>
        <w:rPr>
          <w:rFonts w:ascii="Arial" w:eastAsia="Arial" w:hAnsi="Arial" w:cs="Arial"/>
          <w:i/>
          <w:color w:val="202020"/>
        </w:rPr>
        <w:t xml:space="preserve">ones prescribirán en el plazo de cuatro años a contar desde el día siguiente a aquel en que hubiera adquirido firmeza la resolución por la que se impuso la sanción. </w:t>
      </w:r>
    </w:p>
    <w:p w:rsidR="00FF384B" w:rsidRDefault="003E3BA9">
      <w:pPr>
        <w:numPr>
          <w:ilvl w:val="0"/>
          <w:numId w:val="260"/>
        </w:numPr>
        <w:spacing w:after="143" w:line="248" w:lineRule="auto"/>
        <w:ind w:right="244" w:hanging="10"/>
        <w:jc w:val="both"/>
      </w:pPr>
      <w:r>
        <w:rPr>
          <w:rFonts w:ascii="Arial" w:eastAsia="Arial" w:hAnsi="Arial" w:cs="Arial"/>
          <w:i/>
          <w:color w:val="202020"/>
        </w:rPr>
        <w:t>El plazo de prescripción se interrumpirá conforme lo previsto en la legislación vigente en</w:t>
      </w:r>
      <w:r>
        <w:rPr>
          <w:rFonts w:ascii="Arial" w:eastAsia="Arial" w:hAnsi="Arial" w:cs="Arial"/>
          <w:i/>
          <w:color w:val="202020"/>
        </w:rPr>
        <w:t xml:space="preserve"> materia de Procedimiento Administrativo. </w:t>
      </w:r>
    </w:p>
    <w:p w:rsidR="00FF384B" w:rsidRDefault="003E3BA9">
      <w:pPr>
        <w:numPr>
          <w:ilvl w:val="0"/>
          <w:numId w:val="260"/>
        </w:numPr>
        <w:spacing w:after="143" w:line="248" w:lineRule="auto"/>
        <w:ind w:right="244" w:hanging="10"/>
        <w:jc w:val="both"/>
      </w:pPr>
      <w:r>
        <w:rPr>
          <w:rFonts w:ascii="Arial" w:eastAsia="Arial" w:hAnsi="Arial" w:cs="Arial"/>
          <w:i/>
          <w:color w:val="202020"/>
        </w:rPr>
        <w:t xml:space="preserve">La prescripción se aplicará de oficio, sin perjuicio de que pueda ser solicitada su declaración por el interesado. </w:t>
      </w:r>
    </w:p>
    <w:p w:rsidR="00FF384B" w:rsidRDefault="003E3BA9">
      <w:pPr>
        <w:spacing w:after="131"/>
        <w:ind w:left="283"/>
      </w:pPr>
      <w:r>
        <w:rPr>
          <w:rFonts w:ascii="Arial" w:eastAsia="Arial" w:hAnsi="Arial" w:cs="Arial"/>
          <w:b/>
          <w:color w:val="202020"/>
        </w:rPr>
        <w:t xml:space="preserve"> </w:t>
      </w:r>
    </w:p>
    <w:p w:rsidR="00FF384B" w:rsidRDefault="003E3BA9">
      <w:pPr>
        <w:spacing w:after="142" w:line="248" w:lineRule="auto"/>
        <w:ind w:left="278" w:right="244" w:hanging="10"/>
        <w:jc w:val="both"/>
      </w:pPr>
      <w:r>
        <w:rPr>
          <w:rFonts w:ascii="Arial" w:eastAsia="Arial" w:hAnsi="Arial" w:cs="Arial"/>
          <w:color w:val="202020"/>
        </w:rPr>
        <w:t xml:space="preserve">Artículo 84. Extinción de la responsabilidad derivada de la comisión de infracciones. </w:t>
      </w:r>
    </w:p>
    <w:p w:rsidR="00FF384B" w:rsidRDefault="003E3BA9">
      <w:pPr>
        <w:spacing w:after="143" w:line="248" w:lineRule="auto"/>
        <w:ind w:left="278" w:right="244" w:hanging="10"/>
        <w:jc w:val="both"/>
      </w:pPr>
      <w:r>
        <w:rPr>
          <w:rFonts w:ascii="Arial" w:eastAsia="Arial" w:hAnsi="Arial" w:cs="Arial"/>
          <w:i/>
          <w:color w:val="202020"/>
        </w:rPr>
        <w:t xml:space="preserve">1. La responsabilidad derivada de las infracciones se extingue por el pago o cumplimiento de la sanción o por prescripción o por fallecimiento. </w:t>
      </w:r>
    </w:p>
    <w:p w:rsidR="00FF384B" w:rsidRDefault="003E3BA9">
      <w:pPr>
        <w:spacing w:after="51" w:line="248" w:lineRule="auto"/>
        <w:ind w:left="278" w:right="244" w:hanging="10"/>
        <w:jc w:val="both"/>
      </w:pPr>
      <w:r>
        <w:rPr>
          <w:rFonts w:ascii="Arial" w:eastAsia="Arial" w:hAnsi="Arial" w:cs="Arial"/>
          <w:i/>
          <w:color w:val="202020"/>
        </w:rPr>
        <w:t xml:space="preserve">DISPOSICIÓN TRANSITORIA. </w:t>
      </w:r>
    </w:p>
    <w:p w:rsidR="00FF384B" w:rsidRDefault="003E3BA9">
      <w:pPr>
        <w:spacing w:after="0"/>
        <w:ind w:left="283"/>
      </w:pPr>
      <w:r>
        <w:rPr>
          <w:rFonts w:ascii="Arial" w:eastAsia="Arial" w:hAnsi="Arial" w:cs="Arial"/>
          <w:i/>
          <w:color w:val="202020"/>
        </w:rPr>
        <w:t xml:space="preserve"> </w:t>
      </w:r>
    </w:p>
    <w:p w:rsidR="00FF384B" w:rsidRDefault="003E3BA9">
      <w:pPr>
        <w:spacing w:after="11" w:line="248" w:lineRule="auto"/>
        <w:ind w:left="278" w:right="244" w:hanging="10"/>
        <w:jc w:val="both"/>
      </w:pPr>
      <w:r>
        <w:rPr>
          <w:rFonts w:ascii="Arial" w:eastAsia="Arial" w:hAnsi="Arial" w:cs="Arial"/>
          <w:i/>
          <w:color w:val="202020"/>
        </w:rPr>
        <w:t>Procedimientos iniciados.</w:t>
      </w:r>
      <w:r>
        <w:rPr>
          <w:sz w:val="26"/>
        </w:rPr>
        <w:t xml:space="preserve"> </w:t>
      </w:r>
    </w:p>
    <w:p w:rsidR="00FF384B" w:rsidRDefault="003E3BA9">
      <w:pPr>
        <w:spacing w:after="143" w:line="248" w:lineRule="auto"/>
        <w:ind w:left="278" w:right="244" w:hanging="10"/>
        <w:jc w:val="both"/>
      </w:pPr>
      <w:r>
        <w:rPr>
          <w:rFonts w:ascii="Arial" w:eastAsia="Arial" w:hAnsi="Arial" w:cs="Arial"/>
          <w:i/>
          <w:color w:val="202020"/>
        </w:rPr>
        <w:t xml:space="preserve">1. No se aplicará el contenido de la presente Ordenanza </w:t>
      </w:r>
      <w:r>
        <w:rPr>
          <w:rFonts w:ascii="Arial" w:eastAsia="Arial" w:hAnsi="Arial" w:cs="Arial"/>
          <w:i/>
          <w:color w:val="202020"/>
        </w:rPr>
        <w:t xml:space="preserve">municipal a las cuestiones relacionadas con la justificación de las subvenciones cuyo otorgamiento se hubiera aprobado con anterioridad a la entrada en vigor de dicha normativa. </w:t>
      </w:r>
    </w:p>
    <w:p w:rsidR="00FF384B" w:rsidRDefault="003E3BA9">
      <w:pPr>
        <w:spacing w:after="143" w:line="248" w:lineRule="auto"/>
        <w:ind w:left="278" w:right="244" w:hanging="10"/>
        <w:jc w:val="both"/>
      </w:pPr>
      <w:r>
        <w:rPr>
          <w:rFonts w:ascii="Arial" w:eastAsia="Arial" w:hAnsi="Arial" w:cs="Arial"/>
          <w:i/>
          <w:color w:val="202020"/>
        </w:rPr>
        <w:t>En todo caso, sí serán de aplicación los artículos relativos al procedimiento</w:t>
      </w:r>
      <w:r>
        <w:rPr>
          <w:rFonts w:ascii="Arial" w:eastAsia="Arial" w:hAnsi="Arial" w:cs="Arial"/>
          <w:i/>
          <w:color w:val="202020"/>
        </w:rPr>
        <w:t xml:space="preserve"> de reintegro regulado en el capítulo V del título IV de la presente Ordenanza. </w:t>
      </w:r>
    </w:p>
    <w:p w:rsidR="00FF384B" w:rsidRDefault="003E3BA9">
      <w:pPr>
        <w:spacing w:after="48" w:line="248" w:lineRule="auto"/>
        <w:ind w:left="278" w:right="244" w:hanging="10"/>
        <w:jc w:val="both"/>
      </w:pPr>
      <w:r>
        <w:rPr>
          <w:rFonts w:ascii="Arial" w:eastAsia="Arial" w:hAnsi="Arial" w:cs="Arial"/>
          <w:i/>
          <w:color w:val="202020"/>
        </w:rPr>
        <w:t xml:space="preserve">DISPOSICIÓN FINAL SEGUNDA. </w:t>
      </w:r>
    </w:p>
    <w:p w:rsidR="00FF384B" w:rsidRDefault="003E3BA9">
      <w:pPr>
        <w:spacing w:after="0"/>
        <w:ind w:left="283"/>
      </w:pPr>
      <w:r>
        <w:rPr>
          <w:rFonts w:ascii="Arial" w:eastAsia="Arial" w:hAnsi="Arial" w:cs="Arial"/>
          <w:i/>
          <w:color w:val="202020"/>
        </w:rPr>
        <w:t xml:space="preserve"> </w:t>
      </w:r>
    </w:p>
    <w:p w:rsidR="00FF384B" w:rsidRDefault="003E3BA9">
      <w:pPr>
        <w:spacing w:after="51" w:line="248" w:lineRule="auto"/>
        <w:ind w:left="278" w:right="244" w:hanging="10"/>
        <w:jc w:val="both"/>
      </w:pPr>
      <w:r>
        <w:rPr>
          <w:rFonts w:ascii="Arial" w:eastAsia="Arial" w:hAnsi="Arial" w:cs="Arial"/>
          <w:i/>
          <w:color w:val="202020"/>
        </w:rPr>
        <w:t xml:space="preserve">Entrada en vigor. </w:t>
      </w:r>
    </w:p>
    <w:p w:rsidR="00FF384B" w:rsidRDefault="003E3BA9">
      <w:pPr>
        <w:spacing w:after="294" w:line="248" w:lineRule="auto"/>
        <w:ind w:left="278" w:right="244" w:hanging="10"/>
        <w:jc w:val="both"/>
      </w:pPr>
      <w:r>
        <w:rPr>
          <w:rFonts w:ascii="Arial" w:eastAsia="Arial" w:hAnsi="Arial" w:cs="Arial"/>
          <w:i/>
          <w:color w:val="202020"/>
        </w:rPr>
        <w:t xml:space="preserve">La presente Ordenanza entrará en vigor en los términos previsto en la legislación de Régimen Local. </w:t>
      </w:r>
    </w:p>
    <w:p w:rsidR="00FF384B" w:rsidRDefault="003E3BA9">
      <w:pPr>
        <w:spacing w:after="11" w:line="248" w:lineRule="auto"/>
        <w:ind w:left="278" w:right="244" w:hanging="10"/>
        <w:jc w:val="both"/>
      </w:pPr>
      <w:r>
        <w:rPr>
          <w:rFonts w:ascii="Arial" w:eastAsia="Arial" w:hAnsi="Arial" w:cs="Arial"/>
          <w:i/>
          <w:color w:val="202020"/>
        </w:rPr>
        <w:t xml:space="preserve">ANEXO  </w:t>
      </w:r>
    </w:p>
    <w:p w:rsidR="00FF384B" w:rsidRDefault="003E3BA9">
      <w:pPr>
        <w:spacing w:after="96" w:line="248" w:lineRule="auto"/>
        <w:ind w:left="278" w:right="244" w:hanging="10"/>
        <w:jc w:val="both"/>
      </w:pPr>
      <w:r>
        <w:rPr>
          <w:noProof/>
        </w:rPr>
        <mc:AlternateContent>
          <mc:Choice Requires="wpg">
            <w:drawing>
              <wp:anchor distT="0" distB="0" distL="114300" distR="114300" simplePos="0" relativeHeight="2518548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7875" name="Group 47787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580" name="Picture 34580"/>
                          <pic:cNvPicPr/>
                        </pic:nvPicPr>
                        <pic:blipFill>
                          <a:blip r:embed="rId62"/>
                          <a:stretch>
                            <a:fillRect/>
                          </a:stretch>
                        </pic:blipFill>
                        <pic:spPr>
                          <a:xfrm rot="-5399999">
                            <a:off x="-1720849" y="1720849"/>
                            <a:ext cx="3797300" cy="355601"/>
                          </a:xfrm>
                          <a:prstGeom prst="rect">
                            <a:avLst/>
                          </a:prstGeom>
                        </pic:spPr>
                      </pic:pic>
                      <wps:wsp>
                        <wps:cNvPr id="34581" name="Rectangle 3458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582" name="Rectangle 3458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7875" style="width:41.2715pt;height:299pt;position:absolute;mso-position-horizontal-relative:page;mso-position-horizontal:absolute;margin-left:653.71pt;mso-position-vertical-relative:page;margin-top:512.92pt;" coordsize="5241,37973">
                <v:shape id="Picture 34580" style="position:absolute;width:37973;height:3556;left:-17208;top:17208;rotation:-89;" filled="f">
                  <v:imagedata r:id="rId63"/>
                </v:shape>
                <v:rect id="Rectangle 3458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58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191 de 353 </w:t>
                        </w:r>
                      </w:p>
                    </w:txbxContent>
                  </v:textbox>
                </v:rect>
                <w10:wrap type="square"/>
              </v:group>
            </w:pict>
          </mc:Fallback>
        </mc:AlternateContent>
      </w:r>
      <w:r>
        <w:rPr>
          <w:rFonts w:ascii="Arial" w:eastAsia="Arial" w:hAnsi="Arial" w:cs="Arial"/>
          <w:i/>
          <w:color w:val="202020"/>
        </w:rPr>
        <w:t>CONTENIDO MÍNIMO DE LAS CONVOCATORIAS DE SUBVENCIONES</w:t>
      </w:r>
      <w:r>
        <w:rPr>
          <w:sz w:val="26"/>
        </w:rPr>
        <w:t xml:space="preserve"> </w:t>
      </w:r>
    </w:p>
    <w:p w:rsidR="00FF384B" w:rsidRDefault="003E3BA9">
      <w:pPr>
        <w:spacing w:after="143" w:line="248" w:lineRule="auto"/>
        <w:ind w:left="653" w:right="244" w:hanging="10"/>
        <w:jc w:val="both"/>
      </w:pPr>
      <w:r>
        <w:rPr>
          <w:rFonts w:ascii="Arial" w:eastAsia="Arial" w:hAnsi="Arial" w:cs="Arial"/>
          <w:i/>
          <w:color w:val="202020"/>
        </w:rPr>
        <w:t xml:space="preserve">Las convocatorias de subvenciones contendrán al menos los siguientes aspectos: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Objeto de la subvención. </w:t>
      </w:r>
    </w:p>
    <w:p w:rsidR="00FF384B" w:rsidRDefault="003E3BA9">
      <w:pPr>
        <w:numPr>
          <w:ilvl w:val="0"/>
          <w:numId w:val="261"/>
        </w:numPr>
        <w:spacing w:after="92" w:line="248" w:lineRule="auto"/>
        <w:ind w:right="244" w:hanging="360"/>
        <w:jc w:val="both"/>
      </w:pPr>
      <w:r>
        <w:rPr>
          <w:rFonts w:ascii="Arial" w:eastAsia="Arial" w:hAnsi="Arial" w:cs="Arial"/>
          <w:i/>
          <w:color w:val="202020"/>
        </w:rPr>
        <w:t>Indicación del acuerdo plenario donde se aprueba definitivamente la Ordenanza municipal de Subvenciones del Ayuntamiento de Candelaria y de la fecha y</w:t>
      </w:r>
      <w:r>
        <w:rPr>
          <w:rFonts w:ascii="Arial" w:eastAsia="Arial" w:hAnsi="Arial" w:cs="Arial"/>
          <w:i/>
          <w:color w:val="202020"/>
        </w:rPr>
        <w:t xml:space="preserve"> número del "Boletín Oficial de la Provincia" donde esté publicado la misma. </w:t>
      </w:r>
    </w:p>
    <w:p w:rsidR="00FF384B" w:rsidRDefault="003E3BA9">
      <w:pPr>
        <w:numPr>
          <w:ilvl w:val="0"/>
          <w:numId w:val="261"/>
        </w:numPr>
        <w:spacing w:after="93" w:line="248" w:lineRule="auto"/>
        <w:ind w:right="244" w:hanging="360"/>
        <w:jc w:val="both"/>
      </w:pPr>
      <w:r>
        <w:rPr>
          <w:rFonts w:ascii="Arial" w:eastAsia="Arial" w:hAnsi="Arial" w:cs="Arial"/>
          <w:i/>
          <w:color w:val="202020"/>
        </w:rPr>
        <w:t xml:space="preserve">Requisitos que deben reunir los beneficiarios para la obtención de la subvención y condiciones de solvencia y eficacia que deben reunir los mismos.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Forma y plazo en los que deben presentarse las solicitudes.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Línea estratégica y específica del Plan estratégico de subvenciones a la que corresponde la convocatoria.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Aplicación presupuestaria a la que se imputa la subvención, cuantía total máxima de las </w:t>
      </w:r>
      <w:r>
        <w:rPr>
          <w:rFonts w:ascii="Arial" w:eastAsia="Arial" w:hAnsi="Arial" w:cs="Arial"/>
          <w:i/>
          <w:color w:val="202020"/>
        </w:rPr>
        <w:t xml:space="preserve">subvenciones convocadas dentro de los créditos disponibles así como la posibilidad de incrementar ésta, si las disponibilidades presupuestarias lo permiten, e importe máximo a conceder, en su caso.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Procedimiento de concesión </w:t>
      </w:r>
    </w:p>
    <w:p w:rsidR="00FF384B" w:rsidRDefault="003E3BA9">
      <w:pPr>
        <w:numPr>
          <w:ilvl w:val="0"/>
          <w:numId w:val="261"/>
        </w:numPr>
        <w:spacing w:after="89" w:line="248" w:lineRule="auto"/>
        <w:ind w:right="244" w:hanging="360"/>
        <w:jc w:val="both"/>
      </w:pPr>
      <w:r>
        <w:rPr>
          <w:rFonts w:ascii="Arial" w:eastAsia="Arial" w:hAnsi="Arial" w:cs="Arial"/>
          <w:i/>
          <w:color w:val="202020"/>
        </w:rPr>
        <w:t>Criterios objetivos de otorga</w:t>
      </w:r>
      <w:r>
        <w:rPr>
          <w:rFonts w:ascii="Arial" w:eastAsia="Arial" w:hAnsi="Arial" w:cs="Arial"/>
          <w:i/>
          <w:color w:val="202020"/>
        </w:rPr>
        <w:t xml:space="preserve">miento de subvención. </w:t>
      </w:r>
    </w:p>
    <w:p w:rsidR="00FF384B" w:rsidRDefault="003E3BA9">
      <w:pPr>
        <w:numPr>
          <w:ilvl w:val="0"/>
          <w:numId w:val="261"/>
        </w:numPr>
        <w:spacing w:after="143" w:line="248" w:lineRule="auto"/>
        <w:ind w:right="244" w:hanging="360"/>
        <w:jc w:val="both"/>
      </w:pPr>
      <w:r>
        <w:rPr>
          <w:rFonts w:ascii="Arial" w:eastAsia="Arial" w:hAnsi="Arial" w:cs="Arial"/>
          <w:i/>
          <w:color w:val="202020"/>
        </w:rPr>
        <w:t xml:space="preserve">Criterios para establecer la cuantía individualizada de la subvención, así como la exigencia, en su caso, de determinar un porcentaje de financiación propia y forma de acreditarla. </w:t>
      </w:r>
    </w:p>
    <w:p w:rsidR="00FF384B" w:rsidRDefault="003E3BA9">
      <w:pPr>
        <w:numPr>
          <w:ilvl w:val="0"/>
          <w:numId w:val="261"/>
        </w:numPr>
        <w:spacing w:after="92" w:line="248" w:lineRule="auto"/>
        <w:ind w:right="244" w:hanging="360"/>
        <w:jc w:val="both"/>
      </w:pPr>
      <w:r>
        <w:rPr>
          <w:rFonts w:ascii="Arial" w:eastAsia="Arial" w:hAnsi="Arial" w:cs="Arial"/>
          <w:i/>
          <w:color w:val="202020"/>
        </w:rPr>
        <w:t>Órganos competentes para la ordenación, instrucción</w:t>
      </w:r>
      <w:r>
        <w:rPr>
          <w:rFonts w:ascii="Arial" w:eastAsia="Arial" w:hAnsi="Arial" w:cs="Arial"/>
          <w:i/>
          <w:color w:val="202020"/>
        </w:rPr>
        <w:t xml:space="preserve"> y resolución del procedimiento de concesión de subvención, así como determinación de los componentes de la comisión de valoración.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Plazo de resolución.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Posibilidad de reformular la solicitud. </w:t>
      </w:r>
    </w:p>
    <w:p w:rsidR="00FF384B" w:rsidRDefault="003E3BA9">
      <w:pPr>
        <w:numPr>
          <w:ilvl w:val="0"/>
          <w:numId w:val="261"/>
        </w:numPr>
        <w:spacing w:after="90" w:line="248" w:lineRule="auto"/>
        <w:ind w:right="244" w:hanging="360"/>
        <w:jc w:val="both"/>
      </w:pPr>
      <w:r>
        <w:rPr>
          <w:rFonts w:ascii="Arial" w:eastAsia="Arial" w:hAnsi="Arial" w:cs="Arial"/>
          <w:i/>
          <w:color w:val="202020"/>
        </w:rPr>
        <w:t xml:space="preserve">Forma de acreditar la aceptación.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Determinación en su caso </w:t>
      </w:r>
      <w:r>
        <w:rPr>
          <w:rFonts w:ascii="Arial" w:eastAsia="Arial" w:hAnsi="Arial" w:cs="Arial"/>
          <w:i/>
          <w:color w:val="202020"/>
        </w:rPr>
        <w:t xml:space="preserve">de los libros y registros contables específicos para garantizar la adecuada justificación de la subvención.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Forma y plazo de justificación, indicando la documentación concreta a aportar. </w:t>
      </w:r>
    </w:p>
    <w:p w:rsidR="00FF384B" w:rsidRDefault="003E3BA9">
      <w:pPr>
        <w:numPr>
          <w:ilvl w:val="0"/>
          <w:numId w:val="261"/>
        </w:numPr>
        <w:spacing w:after="92" w:line="248" w:lineRule="auto"/>
        <w:ind w:right="244" w:hanging="360"/>
        <w:jc w:val="both"/>
      </w:pPr>
      <w:r>
        <w:rPr>
          <w:rFonts w:ascii="Arial" w:eastAsia="Arial" w:hAnsi="Arial" w:cs="Arial"/>
          <w:i/>
          <w:color w:val="202020"/>
        </w:rPr>
        <w:t>Forma de acreditar la realización de las actividades incluidas en o</w:t>
      </w:r>
      <w:r>
        <w:rPr>
          <w:rFonts w:ascii="Arial" w:eastAsia="Arial" w:hAnsi="Arial" w:cs="Arial"/>
          <w:i/>
          <w:color w:val="202020"/>
        </w:rPr>
        <w:t xml:space="preserve">tras subvenciones concedidas al beneficiario con anterioridad, para el mismo destino y finalidad.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Posibilidad de efectuar pagos anticipados y abonos a cuenta, así como el régimen de garantías que, en su caso, deben aportar los beneficiarios.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Posibilidad </w:t>
      </w:r>
      <w:r>
        <w:rPr>
          <w:rFonts w:ascii="Arial" w:eastAsia="Arial" w:hAnsi="Arial" w:cs="Arial"/>
          <w:i/>
          <w:color w:val="202020"/>
        </w:rPr>
        <w:t xml:space="preserve">de subvencionar, y en su caso porcentaje, los gastos indirectos de gestión y de garantía bancaria. </w:t>
      </w:r>
    </w:p>
    <w:p w:rsidR="00FF384B" w:rsidRDefault="003E3BA9">
      <w:pPr>
        <w:numPr>
          <w:ilvl w:val="0"/>
          <w:numId w:val="261"/>
        </w:numPr>
        <w:spacing w:after="90" w:line="248" w:lineRule="auto"/>
        <w:ind w:right="244" w:hanging="360"/>
        <w:jc w:val="both"/>
      </w:pPr>
      <w:r>
        <w:rPr>
          <w:rFonts w:ascii="Arial" w:eastAsia="Arial" w:hAnsi="Arial" w:cs="Arial"/>
          <w:i/>
          <w:color w:val="202020"/>
        </w:rPr>
        <w:t xml:space="preserve">Circunstancias que pueden dar lugar a la modificación de la resolución. </w:t>
      </w:r>
    </w:p>
    <w:p w:rsidR="00FF384B" w:rsidRDefault="003E3BA9">
      <w:pPr>
        <w:numPr>
          <w:ilvl w:val="0"/>
          <w:numId w:val="261"/>
        </w:numPr>
        <w:spacing w:after="92" w:line="248" w:lineRule="auto"/>
        <w:ind w:right="244" w:hanging="360"/>
        <w:jc w:val="both"/>
      </w:pPr>
      <w:r>
        <w:rPr>
          <w:rFonts w:ascii="Arial" w:eastAsia="Arial" w:hAnsi="Arial" w:cs="Arial"/>
          <w:i/>
          <w:color w:val="202020"/>
        </w:rPr>
        <w:t xml:space="preserve">Compatibilidad o incompatibilidad con otras subvenciones, ayudas o ingresos recursos para la misma finalidad. </w:t>
      </w:r>
    </w:p>
    <w:p w:rsidR="00FF384B" w:rsidRDefault="003E3BA9">
      <w:pPr>
        <w:numPr>
          <w:ilvl w:val="0"/>
          <w:numId w:val="261"/>
        </w:numPr>
        <w:spacing w:after="89" w:line="248" w:lineRule="auto"/>
        <w:ind w:right="244" w:hanging="360"/>
        <w:jc w:val="both"/>
      </w:pPr>
      <w:r>
        <w:rPr>
          <w:noProof/>
        </w:rPr>
        <mc:AlternateContent>
          <mc:Choice Requires="wpg">
            <w:drawing>
              <wp:anchor distT="0" distB="0" distL="114300" distR="114300" simplePos="0" relativeHeight="2518558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8068" name="Group 47806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728" name="Picture 34728"/>
                          <pic:cNvPicPr/>
                        </pic:nvPicPr>
                        <pic:blipFill>
                          <a:blip r:embed="rId62"/>
                          <a:stretch>
                            <a:fillRect/>
                          </a:stretch>
                        </pic:blipFill>
                        <pic:spPr>
                          <a:xfrm rot="-5399999">
                            <a:off x="-1720849" y="1720849"/>
                            <a:ext cx="3797300" cy="355601"/>
                          </a:xfrm>
                          <a:prstGeom prst="rect">
                            <a:avLst/>
                          </a:prstGeom>
                        </pic:spPr>
                      </pic:pic>
                      <wps:wsp>
                        <wps:cNvPr id="34729" name="Rectangle 3472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730" name="Rectangle 3473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w:t>
                              </w:r>
                              <w:r>
                                <w:rPr>
                                  <w:rFonts w:ascii="Arial" w:eastAsia="Arial" w:hAnsi="Arial" w:cs="Arial"/>
                                  <w:sz w:val="12"/>
                                </w:rPr>
                                <w:t xml:space="preserve">a plataforma esPublico Gestiona | Página 192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8068" style="width:41.2715pt;height:299pt;position:absolute;mso-position-horizontal-relative:page;mso-position-horizontal:absolute;margin-left:653.71pt;mso-position-vertical-relative:page;margin-top:512.92pt;" coordsize="5241,37973">
                <v:shape id="Picture 34728" style="position:absolute;width:37973;height:3556;left:-17208;top:17208;rotation:-89;" filled="f">
                  <v:imagedata r:id="rId63"/>
                </v:shape>
                <v:rect id="Rectangle 347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73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192 de 353 </w:t>
                        </w:r>
                      </w:p>
                    </w:txbxContent>
                  </v:textbox>
                </v:rect>
                <w10:wrap type="square"/>
              </v:group>
            </w:pict>
          </mc:Fallback>
        </mc:AlternateContent>
      </w:r>
      <w:r>
        <w:rPr>
          <w:rFonts w:ascii="Arial" w:eastAsia="Arial" w:hAnsi="Arial" w:cs="Arial"/>
          <w:i/>
          <w:color w:val="202020"/>
        </w:rPr>
        <w:t xml:space="preserve">Criterios de graduación de posibles incumplimientos. </w:t>
      </w:r>
    </w:p>
    <w:p w:rsidR="00FF384B" w:rsidRDefault="003E3BA9">
      <w:pPr>
        <w:numPr>
          <w:ilvl w:val="0"/>
          <w:numId w:val="261"/>
        </w:numPr>
        <w:spacing w:after="89" w:line="248" w:lineRule="auto"/>
        <w:ind w:right="244" w:hanging="360"/>
        <w:jc w:val="both"/>
      </w:pPr>
      <w:r>
        <w:rPr>
          <w:rFonts w:ascii="Arial" w:eastAsia="Arial" w:hAnsi="Arial" w:cs="Arial"/>
          <w:i/>
          <w:color w:val="202020"/>
        </w:rPr>
        <w:t xml:space="preserve">Posibilidad y límites de la subcontratación. </w:t>
      </w:r>
    </w:p>
    <w:p w:rsidR="00FF384B" w:rsidRDefault="003E3BA9">
      <w:pPr>
        <w:numPr>
          <w:ilvl w:val="0"/>
          <w:numId w:val="261"/>
        </w:numPr>
        <w:spacing w:after="88" w:line="248" w:lineRule="auto"/>
        <w:ind w:right="244" w:hanging="360"/>
        <w:jc w:val="both"/>
      </w:pPr>
      <w:r>
        <w:rPr>
          <w:rFonts w:ascii="Arial" w:eastAsia="Arial" w:hAnsi="Arial" w:cs="Arial"/>
          <w:i/>
          <w:color w:val="202020"/>
        </w:rPr>
        <w:t>Periodo durante el cual el beneficiario, en el supuesto de adquisición, construcción rehabilitación y m</w:t>
      </w:r>
      <w:r>
        <w:rPr>
          <w:rFonts w:ascii="Arial" w:eastAsia="Arial" w:hAnsi="Arial" w:cs="Arial"/>
          <w:i/>
          <w:color w:val="202020"/>
        </w:rPr>
        <w:t xml:space="preserve">ejora de bienes inventariables, debe destinar dichos bienes al fin concreto para el que se le concedió la subvención, que no puede ser inferior a cinco años en el caso de bienes inscribibles e un registro público, ni a dos para el resto de bienes.” </w:t>
      </w:r>
    </w:p>
    <w:p w:rsidR="00FF384B" w:rsidRDefault="003E3BA9">
      <w:pPr>
        <w:spacing w:after="161"/>
        <w:ind w:left="283"/>
      </w:pPr>
      <w:r>
        <w:rPr>
          <w:rFonts w:ascii="Arial" w:eastAsia="Arial" w:hAnsi="Arial" w:cs="Arial"/>
          <w:b/>
        </w:rPr>
        <w:t xml:space="preserve"> </w:t>
      </w:r>
    </w:p>
    <w:p w:rsidR="00FF384B" w:rsidRDefault="003E3BA9">
      <w:pPr>
        <w:spacing w:after="154" w:line="247" w:lineRule="auto"/>
        <w:ind w:left="283" w:right="253" w:firstLine="360"/>
        <w:jc w:val="both"/>
      </w:pPr>
      <w:r>
        <w:rPr>
          <w:rFonts w:ascii="Arial" w:eastAsia="Arial" w:hAnsi="Arial" w:cs="Arial"/>
          <w:b/>
        </w:rPr>
        <w:t>TERC</w:t>
      </w:r>
      <w:r>
        <w:rPr>
          <w:rFonts w:ascii="Arial" w:eastAsia="Arial" w:hAnsi="Arial" w:cs="Arial"/>
          <w:b/>
        </w:rPr>
        <w:t>ERO. - Publicar el contenido íntegro de la presente Ordenanza en el Boletín Oficial de la Provincia que entrará en vigor una vez haya transcurrido el plazo establecido en el artículo 65.2 de la Ley de Bases del Régimen local.”</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991"/>
      </w:pPr>
      <w:r>
        <w:rPr>
          <w:rFonts w:ascii="Arial" w:eastAsia="Arial" w:hAnsi="Arial" w:cs="Arial"/>
        </w:rPr>
        <w:t xml:space="preserve"> </w:t>
      </w:r>
    </w:p>
    <w:p w:rsidR="00FF384B" w:rsidRDefault="003E3BA9">
      <w:pPr>
        <w:spacing w:after="100"/>
        <w:ind w:left="991"/>
      </w:pPr>
      <w:r>
        <w:rPr>
          <w:rFonts w:ascii="Arial" w:eastAsia="Arial" w:hAnsi="Arial" w:cs="Arial"/>
        </w:rPr>
        <w:t xml:space="preserve"> </w:t>
      </w:r>
    </w:p>
    <w:p w:rsidR="00FF384B" w:rsidRDefault="003E3BA9">
      <w:pPr>
        <w:spacing w:after="115"/>
        <w:ind w:left="991"/>
      </w:pPr>
      <w:r>
        <w:rPr>
          <w:rFonts w:ascii="Arial" w:eastAsia="Arial" w:hAnsi="Arial" w:cs="Arial"/>
        </w:rPr>
        <w:t xml:space="preserve"> </w:t>
      </w:r>
    </w:p>
    <w:p w:rsidR="00FF384B" w:rsidRDefault="003E3BA9">
      <w:pPr>
        <w:spacing w:after="102" w:line="240" w:lineRule="auto"/>
        <w:ind w:left="283" w:right="254" w:firstLine="708"/>
        <w:jc w:val="both"/>
      </w:pPr>
      <w:r>
        <w:rPr>
          <w:rFonts w:ascii="Arial" w:eastAsia="Arial" w:hAnsi="Arial" w:cs="Arial"/>
          <w:b/>
          <w:sz w:val="24"/>
        </w:rPr>
        <w:t>6.</w:t>
      </w:r>
      <w:r>
        <w:rPr>
          <w:rFonts w:ascii="Arial" w:eastAsia="Arial" w:hAnsi="Arial" w:cs="Arial"/>
          <w:b/>
          <w:sz w:val="24"/>
        </w:rPr>
        <w:t>-</w:t>
      </w:r>
      <w:r>
        <w:rPr>
          <w:rFonts w:ascii="Arial" w:eastAsia="Arial" w:hAnsi="Arial" w:cs="Arial"/>
          <w:sz w:val="24"/>
        </w:rPr>
        <w:t xml:space="preserve"> </w:t>
      </w:r>
      <w:r>
        <w:rPr>
          <w:rFonts w:ascii="Arial" w:eastAsia="Arial" w:hAnsi="Arial" w:cs="Arial"/>
          <w:b/>
          <w:sz w:val="24"/>
        </w:rPr>
        <w:t>Expediente 1178/2021. Propuesta de la Alcaldesa-Presidenta de fecha 21 de abril de 2021 al Pleno para la aprobación de la adjudicación del expediente del contrato basado en el Acuerdo Marco para la contratación del suministro de electricidad en alta y ba</w:t>
      </w:r>
      <w:r>
        <w:rPr>
          <w:rFonts w:ascii="Arial" w:eastAsia="Arial" w:hAnsi="Arial" w:cs="Arial"/>
          <w:b/>
          <w:sz w:val="24"/>
        </w:rPr>
        <w:t>ja tensión para la Central de Contratación de la Federación Española de Municipios y Provincias (FEMP) LOTE 7 (Islas Canarias).</w:t>
      </w: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16" w:line="247" w:lineRule="auto"/>
        <w:ind w:left="286" w:right="251" w:hanging="3"/>
        <w:jc w:val="both"/>
      </w:pPr>
      <w:r>
        <w:rPr>
          <w:rFonts w:ascii="Arial" w:eastAsia="Arial" w:hAnsi="Arial" w:cs="Arial"/>
          <w:b/>
        </w:rPr>
        <w:t>Consta en el expediente Informe Jurídico emitido por Doña Mª del Pilar Chico Delgado, que desempeña el puesto de Técnico de</w:t>
      </w:r>
      <w:r>
        <w:rPr>
          <w:rFonts w:ascii="Arial" w:eastAsia="Arial" w:hAnsi="Arial" w:cs="Arial"/>
          <w:b/>
        </w:rPr>
        <w:t xml:space="preserve"> Administración General, conformado por D. Octavio Manuel Fernández Hernández, Secretario General, y debidamente fiscalizado por D. Nicolás Rojo Garnica, Interventor Municipal, de 21 de abril de 2021, del siguiente tenor literal:</w:t>
      </w: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25"/>
        <w:ind w:left="283"/>
      </w:pPr>
      <w:r>
        <w:rPr>
          <w:rFonts w:ascii="Arial" w:eastAsia="Arial" w:hAnsi="Arial" w:cs="Arial"/>
        </w:rPr>
        <w:t xml:space="preserve"> </w:t>
      </w:r>
    </w:p>
    <w:p w:rsidR="00FF384B" w:rsidRDefault="003E3BA9">
      <w:pPr>
        <w:pStyle w:val="Ttulo2"/>
        <w:spacing w:after="103"/>
        <w:ind w:left="767" w:right="1156"/>
      </w:pPr>
      <w:r>
        <w:t xml:space="preserve">“INFORME        </w:t>
      </w:r>
    </w:p>
    <w:p w:rsidR="00FF384B" w:rsidRDefault="003E3BA9">
      <w:pPr>
        <w:spacing w:after="114" w:line="247" w:lineRule="auto"/>
        <w:ind w:left="286" w:right="254" w:hanging="3"/>
        <w:jc w:val="both"/>
      </w:pPr>
      <w:r>
        <w:rPr>
          <w:noProof/>
        </w:rPr>
        <mc:AlternateContent>
          <mc:Choice Requires="wpg">
            <w:drawing>
              <wp:anchor distT="0" distB="0" distL="114300" distR="114300" simplePos="0" relativeHeight="2518568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9123" name="Group 47912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834" name="Picture 34834"/>
                          <pic:cNvPicPr/>
                        </pic:nvPicPr>
                        <pic:blipFill>
                          <a:blip r:embed="rId62"/>
                          <a:stretch>
                            <a:fillRect/>
                          </a:stretch>
                        </pic:blipFill>
                        <pic:spPr>
                          <a:xfrm rot="-5399999">
                            <a:off x="-1720849" y="1720849"/>
                            <a:ext cx="3797300" cy="355601"/>
                          </a:xfrm>
                          <a:prstGeom prst="rect">
                            <a:avLst/>
                          </a:prstGeom>
                        </pic:spPr>
                      </pic:pic>
                      <wps:wsp>
                        <wps:cNvPr id="34835" name="Rectangle 3483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4836" name="Rectangle 3483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9123" style="width:41.2715pt;height:299pt;position:absolute;mso-position-horizontal-relative:page;mso-position-horizontal:absolute;margin-left:653.71pt;mso-position-vertical-relative:page;margin-top:512.92pt;" coordsize="5241,37973">
                <v:shape id="Picture 34834" style="position:absolute;width:37973;height:3556;left:-17208;top:17208;rotation:-89;" filled="f">
                  <v:imagedata r:id="rId63"/>
                </v:shape>
                <v:rect id="Rectangle 3483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83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193 de 353 </w:t>
                        </w:r>
                      </w:p>
                    </w:txbxContent>
                  </v:textbox>
                </v:rect>
                <w10:wrap type="square"/>
              </v:group>
            </w:pict>
          </mc:Fallback>
        </mc:AlternateContent>
      </w:r>
      <w:r>
        <w:rPr>
          <w:rFonts w:ascii="Arial" w:eastAsia="Arial" w:hAnsi="Arial" w:cs="Arial"/>
        </w:rPr>
        <w:t xml:space="preserve"> </w:t>
      </w:r>
      <w:r>
        <w:rPr>
          <w:rFonts w:ascii="Arial" w:eastAsia="Arial" w:hAnsi="Arial" w:cs="Arial"/>
          <w:b/>
        </w:rPr>
        <w:t>Visto el expediente antedicho, la funcionaria Mª del Pilar C</w:t>
      </w:r>
      <w:r>
        <w:rPr>
          <w:rFonts w:ascii="Arial" w:eastAsia="Arial" w:hAnsi="Arial" w:cs="Arial"/>
          <w:b/>
        </w:rPr>
        <w:t>hico Delgado, que desempeña el puesto de trabajo de técnico de adm.gral., conformado por el Secretario General, debidamente fiscalizado favorablemente por el Interventor Municipal, emite el siguiente informe:</w:t>
      </w:r>
      <w:r>
        <w:rPr>
          <w:rFonts w:ascii="Arial" w:eastAsia="Arial" w:hAnsi="Arial" w:cs="Arial"/>
        </w:rPr>
        <w:t xml:space="preserve"> </w:t>
      </w:r>
    </w:p>
    <w:p w:rsidR="00FF384B" w:rsidRDefault="003E3BA9">
      <w:pPr>
        <w:spacing w:after="98"/>
        <w:ind w:left="90"/>
        <w:jc w:val="center"/>
      </w:pPr>
      <w:r>
        <w:rPr>
          <w:rFonts w:ascii="Arial" w:eastAsia="Arial" w:hAnsi="Arial" w:cs="Arial"/>
          <w:b/>
        </w:rPr>
        <w:t xml:space="preserve">   </w:t>
      </w:r>
    </w:p>
    <w:p w:rsidR="00FF384B" w:rsidRDefault="003E3BA9">
      <w:pPr>
        <w:spacing w:after="100"/>
        <w:ind w:left="979"/>
      </w:pPr>
      <w:r>
        <w:rPr>
          <w:rFonts w:ascii="Arial" w:eastAsia="Arial" w:hAnsi="Arial" w:cs="Arial"/>
        </w:rPr>
        <w:t xml:space="preserve"> </w:t>
      </w:r>
    </w:p>
    <w:p w:rsidR="00FF384B" w:rsidRDefault="003E3BA9">
      <w:pPr>
        <w:spacing w:after="5" w:line="247" w:lineRule="auto"/>
        <w:ind w:left="268" w:right="244" w:firstLine="696"/>
        <w:jc w:val="both"/>
      </w:pPr>
      <w:r>
        <w:rPr>
          <w:rFonts w:ascii="Arial" w:eastAsia="Arial" w:hAnsi="Arial" w:cs="Arial"/>
        </w:rPr>
        <w:t>Visto que mediante Acuerdo del Ayuntamie</w:t>
      </w:r>
      <w:r>
        <w:rPr>
          <w:rFonts w:ascii="Arial" w:eastAsia="Arial" w:hAnsi="Arial" w:cs="Arial"/>
        </w:rPr>
        <w:t xml:space="preserve">nto Pleno de fecha 25 de febrero de 2021, se aprueba el expediente de contratación del contrato basado en el Acuerdo </w:t>
      </w:r>
    </w:p>
    <w:p w:rsidR="00FF384B" w:rsidRDefault="003E3BA9">
      <w:pPr>
        <w:spacing w:after="5" w:line="247" w:lineRule="auto"/>
        <w:ind w:left="278" w:right="244" w:hanging="10"/>
        <w:jc w:val="both"/>
      </w:pPr>
      <w:r>
        <w:rPr>
          <w:rFonts w:ascii="Arial" w:eastAsia="Arial" w:hAnsi="Arial" w:cs="Arial"/>
        </w:rPr>
        <w:t xml:space="preserve">Marco para la contratación del suministro de electricidad en alta y baja tensión para la </w:t>
      </w:r>
    </w:p>
    <w:p w:rsidR="00FF384B" w:rsidRDefault="003E3BA9">
      <w:pPr>
        <w:spacing w:after="119" w:line="239" w:lineRule="auto"/>
        <w:ind w:left="278" w:right="162" w:hanging="10"/>
      </w:pPr>
      <w:r>
        <w:rPr>
          <w:rFonts w:ascii="Arial" w:eastAsia="Arial" w:hAnsi="Arial" w:cs="Arial"/>
        </w:rPr>
        <w:t>Central de Contratación de la Federación Español</w:t>
      </w:r>
      <w:r>
        <w:rPr>
          <w:rFonts w:ascii="Arial" w:eastAsia="Arial" w:hAnsi="Arial" w:cs="Arial"/>
        </w:rPr>
        <w:t xml:space="preserve">a de Municipios y Provincias (FEMP) LOTE 7 (Islas Canarias), de acuerdo a los Pliegos de cláusulas administrativas particulares y de prescripciones técnicas que rigen el Acuerdo Marco. </w:t>
      </w:r>
    </w:p>
    <w:p w:rsidR="00FF384B" w:rsidRDefault="003E3BA9">
      <w:pPr>
        <w:spacing w:after="100"/>
        <w:ind w:left="979"/>
      </w:pPr>
      <w:r>
        <w:rPr>
          <w:rFonts w:ascii="Arial" w:eastAsia="Arial" w:hAnsi="Arial" w:cs="Arial"/>
        </w:rPr>
        <w:t xml:space="preserve"> </w:t>
      </w:r>
    </w:p>
    <w:p w:rsidR="00FF384B" w:rsidRDefault="003E3BA9">
      <w:pPr>
        <w:spacing w:after="112" w:line="247" w:lineRule="auto"/>
        <w:ind w:left="268" w:right="244" w:firstLine="696"/>
        <w:jc w:val="both"/>
      </w:pPr>
      <w:r>
        <w:rPr>
          <w:rFonts w:ascii="Arial" w:eastAsia="Arial" w:hAnsi="Arial" w:cs="Arial"/>
        </w:rPr>
        <w:t>Visto el acta de la Mesa de Contratación de fecha 23 de marzo de 202</w:t>
      </w:r>
      <w:r>
        <w:rPr>
          <w:rFonts w:ascii="Arial" w:eastAsia="Arial" w:hAnsi="Arial" w:cs="Arial"/>
        </w:rPr>
        <w:t xml:space="preserve">1, de apertura de las ofertas económicas presentadas, del siguiente tenor literal: </w:t>
      </w:r>
    </w:p>
    <w:p w:rsidR="00FF384B" w:rsidRDefault="003E3BA9">
      <w:pPr>
        <w:spacing w:after="98"/>
        <w:ind w:left="979"/>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“ACTA DE APERTURA DE OFERTAS PRESENTADAS PARA LA LICITACIÓN DEL CONTRATO BASADO EN EL ACUERDO MARCO PARA LA CONTRATACIÓN DEL </w:t>
      </w:r>
    </w:p>
    <w:p w:rsidR="00FF384B" w:rsidRDefault="003E3BA9">
      <w:pPr>
        <w:spacing w:after="15" w:line="247" w:lineRule="auto"/>
        <w:ind w:left="415" w:hanging="3"/>
        <w:jc w:val="both"/>
      </w:pPr>
      <w:r>
        <w:rPr>
          <w:rFonts w:ascii="Arial" w:eastAsia="Arial" w:hAnsi="Arial" w:cs="Arial"/>
          <w:b/>
        </w:rPr>
        <w:t xml:space="preserve">SUMINISTRO DE ELECTRICIDAD EN ALTA Y BAJA TENSIÓN POR LA CENTRAL </w:t>
      </w:r>
    </w:p>
    <w:p w:rsidR="00FF384B" w:rsidRDefault="003E3BA9">
      <w:pPr>
        <w:pStyle w:val="Ttulo2"/>
        <w:spacing w:after="106"/>
        <w:ind w:left="767" w:right="731"/>
      </w:pPr>
      <w:r>
        <w:t xml:space="preserve">DE CONTRATACIÓN DE LA FEMP (LOTE 7) </w:t>
      </w:r>
    </w:p>
    <w:p w:rsidR="00FF384B" w:rsidRDefault="003E3BA9">
      <w:pPr>
        <w:spacing w:after="0"/>
        <w:ind w:left="283"/>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p>
    <w:p w:rsidR="00FF384B" w:rsidRDefault="003E3BA9">
      <w:pPr>
        <w:spacing w:after="226" w:line="249" w:lineRule="auto"/>
        <w:ind w:left="278" w:hanging="10"/>
        <w:jc w:val="both"/>
      </w:pPr>
      <w:r>
        <w:rPr>
          <w:rFonts w:ascii="Arial" w:eastAsia="Arial" w:hAnsi="Arial" w:cs="Arial"/>
          <w:b/>
          <w:u w:val="single" w:color="000000"/>
        </w:rPr>
        <w:t>Asistentes:</w:t>
      </w:r>
      <w:r>
        <w:rPr>
          <w:rFonts w:ascii="Arial" w:eastAsia="Arial" w:hAnsi="Arial" w:cs="Arial"/>
          <w:sz w:val="24"/>
        </w:rPr>
        <w:t xml:space="preserve"> </w:t>
      </w:r>
    </w:p>
    <w:p w:rsidR="00FF384B" w:rsidRDefault="003E3BA9">
      <w:pPr>
        <w:spacing w:after="5" w:line="249" w:lineRule="auto"/>
        <w:ind w:left="278" w:hanging="10"/>
        <w:jc w:val="both"/>
      </w:pPr>
      <w:r>
        <w:rPr>
          <w:rFonts w:ascii="Arial" w:eastAsia="Arial" w:hAnsi="Arial" w:cs="Arial"/>
          <w:b/>
          <w:u w:val="single" w:color="000000"/>
        </w:rPr>
        <w:t>Presidenta</w:t>
      </w:r>
      <w:r>
        <w:rPr>
          <w:rFonts w:ascii="Arial" w:eastAsia="Arial" w:hAnsi="Arial" w:cs="Arial"/>
          <w:b/>
        </w:rPr>
        <w:t>:</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rPr>
        <w:t xml:space="preserve">Dña. María Concepción Brito Núñez. </w:t>
      </w:r>
    </w:p>
    <w:p w:rsidR="00FF384B" w:rsidRDefault="003E3BA9">
      <w:pPr>
        <w:spacing w:after="5" w:line="249" w:lineRule="auto"/>
        <w:ind w:left="278" w:hanging="10"/>
        <w:jc w:val="both"/>
      </w:pPr>
      <w:r>
        <w:rPr>
          <w:rFonts w:ascii="Arial" w:eastAsia="Arial" w:hAnsi="Arial" w:cs="Arial"/>
          <w:b/>
          <w:u w:val="single" w:color="000000"/>
        </w:rPr>
        <w:t>Vocales</w:t>
      </w:r>
      <w:r>
        <w:rPr>
          <w:rFonts w:ascii="Arial" w:eastAsia="Arial" w:hAnsi="Arial" w:cs="Arial"/>
          <w:b/>
        </w:rPr>
        <w:t>:</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rPr>
        <w:t xml:space="preserve">D. José Francisco Pinto Ramos  </w:t>
      </w:r>
    </w:p>
    <w:p w:rsidR="00FF384B" w:rsidRDefault="003E3BA9">
      <w:pPr>
        <w:spacing w:after="5" w:line="247" w:lineRule="auto"/>
        <w:ind w:left="278" w:right="244" w:hanging="10"/>
        <w:jc w:val="both"/>
      </w:pPr>
      <w:r>
        <w:rPr>
          <w:rFonts w:ascii="Arial" w:eastAsia="Arial" w:hAnsi="Arial" w:cs="Arial"/>
        </w:rPr>
        <w:t xml:space="preserve">D. Octavio Manuel Fernández Hernández  </w:t>
      </w:r>
    </w:p>
    <w:p w:rsidR="00FF384B" w:rsidRDefault="003E3BA9">
      <w:pPr>
        <w:spacing w:after="1" w:line="239" w:lineRule="auto"/>
        <w:ind w:left="278" w:right="5729" w:hanging="10"/>
      </w:pPr>
      <w:r>
        <w:rPr>
          <w:rFonts w:ascii="Arial" w:eastAsia="Arial" w:hAnsi="Arial" w:cs="Arial"/>
        </w:rPr>
        <w:t>D. Ni</w:t>
      </w:r>
      <w:r>
        <w:rPr>
          <w:rFonts w:ascii="Arial" w:eastAsia="Arial" w:hAnsi="Arial" w:cs="Arial"/>
        </w:rPr>
        <w:t xml:space="preserve">colás Rojo Garnica Dª. Noemí del Castillo Delgado </w:t>
      </w:r>
      <w:r>
        <w:rPr>
          <w:rFonts w:ascii="Arial" w:eastAsia="Arial" w:hAnsi="Arial" w:cs="Arial"/>
          <w:b/>
          <w:u w:val="single" w:color="000000"/>
        </w:rPr>
        <w:t>Secretaria</w:t>
      </w:r>
      <w:r>
        <w:rPr>
          <w:rFonts w:ascii="Arial" w:eastAsia="Arial" w:hAnsi="Arial" w:cs="Arial"/>
          <w:b/>
        </w:rPr>
        <w:t>:</w:t>
      </w:r>
      <w:r>
        <w:rPr>
          <w:rFonts w:ascii="Arial" w:eastAsia="Arial" w:hAnsi="Arial" w:cs="Arial"/>
          <w:sz w:val="24"/>
        </w:rPr>
        <w:t xml:space="preserve"> </w:t>
      </w:r>
    </w:p>
    <w:p w:rsidR="00FF384B" w:rsidRDefault="003E3BA9">
      <w:pPr>
        <w:spacing w:after="114" w:line="247" w:lineRule="auto"/>
        <w:ind w:left="278" w:right="5478" w:hanging="10"/>
        <w:jc w:val="both"/>
      </w:pPr>
      <w:r>
        <w:rPr>
          <w:rFonts w:ascii="Arial" w:eastAsia="Arial" w:hAnsi="Arial" w:cs="Arial"/>
        </w:rPr>
        <w:t xml:space="preserve">Dª Mª del Pilar Chico Delgado </w:t>
      </w:r>
      <w:r>
        <w:rPr>
          <w:rFonts w:ascii="Arial" w:eastAsia="Arial" w:hAnsi="Arial" w:cs="Arial"/>
          <w:b/>
          <w:u w:val="single" w:color="000000"/>
        </w:rPr>
        <w:t>No asistentes:</w:t>
      </w:r>
      <w:r>
        <w:rPr>
          <w:rFonts w:ascii="Arial" w:eastAsia="Arial" w:hAnsi="Arial" w:cs="Arial"/>
          <w:b/>
        </w:rPr>
        <w:t xml:space="preserve"> </w:t>
      </w:r>
    </w:p>
    <w:p w:rsidR="00FF384B" w:rsidRDefault="003E3BA9">
      <w:pPr>
        <w:spacing w:after="100"/>
        <w:ind w:left="283"/>
      </w:pPr>
      <w:r>
        <w:rPr>
          <w:rFonts w:ascii="Arial" w:eastAsia="Arial" w:hAnsi="Arial" w:cs="Arial"/>
          <w:b/>
        </w:rPr>
        <w:t xml:space="preserve"> </w:t>
      </w:r>
    </w:p>
    <w:p w:rsidR="00FF384B" w:rsidRDefault="003E3BA9">
      <w:pPr>
        <w:spacing w:after="112" w:line="247" w:lineRule="auto"/>
        <w:ind w:left="278" w:right="244" w:hanging="10"/>
        <w:jc w:val="both"/>
      </w:pPr>
      <w:r>
        <w:rPr>
          <w:rFonts w:ascii="Arial" w:eastAsia="Arial" w:hAnsi="Arial" w:cs="Arial"/>
        </w:rPr>
        <w:t xml:space="preserve"> </w:t>
      </w:r>
      <w:r>
        <w:rPr>
          <w:rFonts w:ascii="Arial" w:eastAsia="Arial" w:hAnsi="Arial" w:cs="Arial"/>
        </w:rPr>
        <w:t xml:space="preserve">En Candelaria, a 23 de marzo de 2021, siendo las nueve horas y diez minutos, se constituye en la Sala de Reuniones de la Casa Consistorial la Mesa de Contratación designada para el procedimiento de contratación del contrato basado en el acuerdo marco para </w:t>
      </w:r>
      <w:r>
        <w:rPr>
          <w:rFonts w:ascii="Arial" w:eastAsia="Arial" w:hAnsi="Arial" w:cs="Arial"/>
        </w:rPr>
        <w:t>la contratación del suministro de electricidad en alta y baja tensión para la Central de Contratación de la FEMP (lote 7), a los efectos de apertura de las ofertas presentadas a través de la aplicación informática de la Central de Contratación de la FEMP..</w:t>
      </w:r>
      <w:r>
        <w:rPr>
          <w:rFonts w:ascii="Arial" w:eastAsia="Arial" w:hAnsi="Arial" w:cs="Arial"/>
        </w:rPr>
        <w:t xml:space="preserve"> </w:t>
      </w:r>
    </w:p>
    <w:p w:rsidR="00FF384B" w:rsidRDefault="003E3BA9">
      <w:pPr>
        <w:spacing w:after="132" w:line="247" w:lineRule="auto"/>
        <w:ind w:left="278" w:right="244" w:hanging="10"/>
        <w:jc w:val="both"/>
      </w:pPr>
      <w:r>
        <w:rPr>
          <w:rFonts w:ascii="Arial" w:eastAsia="Arial" w:hAnsi="Arial" w:cs="Arial"/>
        </w:rPr>
        <w:t xml:space="preserve"> Declarando abierto el acto por la Presidenta, la Secretaria procede a la apertura de ofertas presentadas, informando que ha concurrido las siguientes empresas: </w:t>
      </w:r>
    </w:p>
    <w:p w:rsidR="00FF384B" w:rsidRDefault="003E3BA9">
      <w:pPr>
        <w:numPr>
          <w:ilvl w:val="0"/>
          <w:numId w:val="262"/>
        </w:numPr>
        <w:spacing w:after="92" w:line="247" w:lineRule="auto"/>
        <w:ind w:right="244" w:hanging="360"/>
        <w:jc w:val="both"/>
      </w:pPr>
      <w:r>
        <w:rPr>
          <w:noProof/>
        </w:rPr>
        <mc:AlternateContent>
          <mc:Choice Requires="wpg">
            <w:drawing>
              <wp:anchor distT="0" distB="0" distL="114300" distR="114300" simplePos="0" relativeHeight="2518579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9186" name="Group 47918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4945" name="Picture 34945"/>
                          <pic:cNvPicPr/>
                        </pic:nvPicPr>
                        <pic:blipFill>
                          <a:blip r:embed="rId62"/>
                          <a:stretch>
                            <a:fillRect/>
                          </a:stretch>
                        </pic:blipFill>
                        <pic:spPr>
                          <a:xfrm rot="-5399999">
                            <a:off x="-1720849" y="1720849"/>
                            <a:ext cx="3797300" cy="355601"/>
                          </a:xfrm>
                          <a:prstGeom prst="rect">
                            <a:avLst/>
                          </a:prstGeom>
                        </pic:spPr>
                      </pic:pic>
                      <wps:wsp>
                        <wps:cNvPr id="34946" name="Rectangle 3494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w:t>
                              </w:r>
                              <w:r>
                                <w:rPr>
                                  <w:rFonts w:ascii="Arial" w:eastAsia="Arial" w:hAnsi="Arial" w:cs="Arial"/>
                                  <w:sz w:val="12"/>
                                </w:rPr>
                                <w:t xml:space="preserve">ica.es/ </w:t>
                              </w:r>
                            </w:p>
                          </w:txbxContent>
                        </wps:txbx>
                        <wps:bodyPr horzOverflow="overflow" vert="horz" lIns="0" tIns="0" rIns="0" bIns="0" rtlCol="0">
                          <a:noAutofit/>
                        </wps:bodyPr>
                      </wps:wsp>
                      <wps:wsp>
                        <wps:cNvPr id="34947" name="Rectangle 3494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9186" style="width:41.2715pt;height:299pt;position:absolute;mso-position-horizontal-relative:page;mso-position-horizontal:absolute;margin-left:653.71pt;mso-position-vertical-relative:page;margin-top:512.92pt;" coordsize="5241,37973">
                <v:shape id="Picture 34945" style="position:absolute;width:37973;height:3556;left:-17208;top:17208;rotation:-89;" filled="f">
                  <v:imagedata r:id="rId63"/>
                </v:shape>
                <v:rect id="Rectangle 3494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494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194 de 353 </w:t>
                        </w:r>
                      </w:p>
                    </w:txbxContent>
                  </v:textbox>
                </v:rect>
                <w10:wrap type="square"/>
              </v:group>
            </w:pict>
          </mc:Fallback>
        </mc:AlternateContent>
      </w:r>
      <w:r>
        <w:rPr>
          <w:rFonts w:ascii="Arial" w:eastAsia="Arial" w:hAnsi="Arial" w:cs="Arial"/>
        </w:rPr>
        <w:t xml:space="preserve">IBERDROLA </w:t>
      </w:r>
    </w:p>
    <w:p w:rsidR="00FF384B" w:rsidRDefault="003E3BA9">
      <w:pPr>
        <w:numPr>
          <w:ilvl w:val="0"/>
          <w:numId w:val="262"/>
        </w:numPr>
        <w:spacing w:after="91" w:line="247" w:lineRule="auto"/>
        <w:ind w:right="244" w:hanging="360"/>
        <w:jc w:val="both"/>
      </w:pPr>
      <w:r>
        <w:rPr>
          <w:rFonts w:ascii="Arial" w:eastAsia="Arial" w:hAnsi="Arial" w:cs="Arial"/>
        </w:rPr>
        <w:t xml:space="preserve">ENDESA </w:t>
      </w:r>
    </w:p>
    <w:p w:rsidR="00FF384B" w:rsidRDefault="003E3BA9">
      <w:pPr>
        <w:numPr>
          <w:ilvl w:val="0"/>
          <w:numId w:val="262"/>
        </w:numPr>
        <w:spacing w:after="75" w:line="247" w:lineRule="auto"/>
        <w:ind w:right="244" w:hanging="360"/>
        <w:jc w:val="both"/>
      </w:pPr>
      <w:r>
        <w:rPr>
          <w:rFonts w:ascii="Arial" w:eastAsia="Arial" w:hAnsi="Arial" w:cs="Arial"/>
        </w:rPr>
        <w:t xml:space="preserve">GAS NATURAL COMERCIALIZADORA </w:t>
      </w:r>
    </w:p>
    <w:p w:rsidR="00FF384B" w:rsidRDefault="003E3BA9">
      <w:pPr>
        <w:spacing w:after="112" w:line="247" w:lineRule="auto"/>
        <w:ind w:left="268" w:right="244" w:firstLine="708"/>
        <w:jc w:val="both"/>
      </w:pPr>
      <w:r>
        <w:rPr>
          <w:rFonts w:ascii="Arial" w:eastAsia="Arial" w:hAnsi="Arial" w:cs="Arial"/>
        </w:rPr>
        <w:t>Acordándose por la Mesa de Contratación dar traslado de las ofertas presentadas por los licitadores para la valoración de las mismas de acuerdo con los criterios y las ponderaciones establecidas en el PCAP, al responsable del contrato designado, Javier Gon</w:t>
      </w:r>
      <w:r>
        <w:rPr>
          <w:rFonts w:ascii="Arial" w:eastAsia="Arial" w:hAnsi="Arial" w:cs="Arial"/>
        </w:rPr>
        <w:t xml:space="preserve">zález Gómez, y una vez emitida la misma convocar nuevamente a la Mesa de Contratación para dar cuenta del informe y proceder a la proposición de adjudicación de la licitación. </w:t>
      </w:r>
    </w:p>
    <w:p w:rsidR="00FF384B" w:rsidRDefault="003E3BA9">
      <w:pPr>
        <w:spacing w:after="109" w:line="247" w:lineRule="auto"/>
        <w:ind w:left="268" w:right="244" w:firstLine="708"/>
        <w:jc w:val="both"/>
      </w:pPr>
      <w:r>
        <w:rPr>
          <w:rFonts w:ascii="Arial" w:eastAsia="Arial" w:hAnsi="Arial" w:cs="Arial"/>
        </w:rPr>
        <w:t xml:space="preserve">En prueba y conformidad con cuanto antecede, se levanta la presente acta a las </w:t>
      </w:r>
      <w:r>
        <w:rPr>
          <w:rFonts w:ascii="Arial" w:eastAsia="Arial" w:hAnsi="Arial" w:cs="Arial"/>
        </w:rPr>
        <w:t xml:space="preserve">nueve horas y cuarenta y cinco minutos del mismo día, firmado por los miembros de la Mesa. De todo lo que, como Secretaria, doy fe.” </w:t>
      </w:r>
    </w:p>
    <w:p w:rsidR="00FF384B" w:rsidRDefault="003E3BA9">
      <w:pPr>
        <w:spacing w:after="100"/>
        <w:ind w:left="991"/>
      </w:pPr>
      <w:r>
        <w:rPr>
          <w:rFonts w:ascii="Arial" w:eastAsia="Arial" w:hAnsi="Arial" w:cs="Arial"/>
        </w:rPr>
        <w:t xml:space="preserve"> </w:t>
      </w:r>
    </w:p>
    <w:p w:rsidR="00FF384B" w:rsidRDefault="003E3BA9">
      <w:pPr>
        <w:spacing w:after="114" w:line="247" w:lineRule="auto"/>
        <w:ind w:left="268" w:right="244" w:firstLine="708"/>
        <w:jc w:val="both"/>
      </w:pPr>
      <w:r>
        <w:rPr>
          <w:rFonts w:ascii="Arial" w:eastAsia="Arial" w:hAnsi="Arial" w:cs="Arial"/>
        </w:rPr>
        <w:t>Vista el acta de la Mesa de Contratación de fecha 19 de abril de 2021, de lectura de del informe técnico de valoración d</w:t>
      </w:r>
      <w:r>
        <w:rPr>
          <w:rFonts w:ascii="Arial" w:eastAsia="Arial" w:hAnsi="Arial" w:cs="Arial"/>
        </w:rPr>
        <w:t xml:space="preserve">e las ofertas y propuesta de adjudicación, cuyo tenor literal dice: </w:t>
      </w:r>
    </w:p>
    <w:p w:rsidR="00FF384B" w:rsidRDefault="003E3BA9">
      <w:pPr>
        <w:spacing w:after="96"/>
        <w:ind w:left="991"/>
      </w:pPr>
      <w:r>
        <w:rPr>
          <w:rFonts w:ascii="Arial" w:eastAsia="Arial" w:hAnsi="Arial" w:cs="Arial"/>
        </w:rPr>
        <w:t xml:space="preserve"> </w:t>
      </w:r>
    </w:p>
    <w:p w:rsidR="00FF384B" w:rsidRDefault="003E3BA9">
      <w:pPr>
        <w:pStyle w:val="Ttulo2"/>
        <w:ind w:left="313" w:right="222"/>
      </w:pPr>
      <w:r>
        <w:rPr>
          <w:b w:val="0"/>
        </w:rPr>
        <w:t>“</w:t>
      </w:r>
      <w:r>
        <w:t>ACTA SEGUNDA SESIÓN PARA LA LICITACIÓN DEL CONTRATO BASADO EN EL ACUERDO MARCO PARA LA CONTRATACIÓN DEL SUMINISTRO DE ELECTRICIDAD EN ALTA Y BAJA TENSIÓN POR LA CENTRAL DE CONTRATACIÓN</w:t>
      </w:r>
      <w:r>
        <w:t xml:space="preserve"> DE LA FEMP (LOTE 7)</w:t>
      </w:r>
      <w:r>
        <w:rPr>
          <w:b w:val="0"/>
        </w:rPr>
        <w:t xml:space="preserve"> </w:t>
      </w:r>
    </w:p>
    <w:p w:rsidR="00FF384B" w:rsidRDefault="003E3BA9">
      <w:pPr>
        <w:spacing w:after="98"/>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Asistentes:</w:t>
      </w: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5" w:line="249" w:lineRule="auto"/>
        <w:ind w:left="278" w:hanging="10"/>
        <w:jc w:val="both"/>
      </w:pPr>
      <w:r>
        <w:rPr>
          <w:rFonts w:ascii="Arial" w:eastAsia="Arial" w:hAnsi="Arial" w:cs="Arial"/>
          <w:b/>
          <w:u w:val="single" w:color="000000"/>
        </w:rPr>
        <w:t>Presidente</w:t>
      </w:r>
      <w:r>
        <w:rPr>
          <w:rFonts w:ascii="Arial" w:eastAsia="Arial" w:hAnsi="Arial" w:cs="Arial"/>
          <w:b/>
        </w:rPr>
        <w:t>:</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rPr>
        <w:t xml:space="preserve">D. Jorge Baute Delgado.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Vocales</w:t>
      </w:r>
      <w:r>
        <w:rPr>
          <w:rFonts w:ascii="Arial" w:eastAsia="Arial" w:hAnsi="Arial" w:cs="Arial"/>
          <w:b/>
        </w:rPr>
        <w:t>:</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rPr>
        <w:t xml:space="preserve">D. José Francisco Pinto Ramos  </w:t>
      </w:r>
    </w:p>
    <w:p w:rsidR="00FF384B" w:rsidRDefault="003E3BA9">
      <w:pPr>
        <w:spacing w:after="5" w:line="247" w:lineRule="auto"/>
        <w:ind w:left="278" w:right="244" w:hanging="10"/>
        <w:jc w:val="both"/>
      </w:pPr>
      <w:r>
        <w:rPr>
          <w:rFonts w:ascii="Arial" w:eastAsia="Arial" w:hAnsi="Arial" w:cs="Arial"/>
        </w:rPr>
        <w:t xml:space="preserve">D. Octavio Manuel Fernández Hernández  </w:t>
      </w:r>
    </w:p>
    <w:p w:rsidR="00FF384B" w:rsidRDefault="003E3BA9">
      <w:pPr>
        <w:spacing w:after="5" w:line="247" w:lineRule="auto"/>
        <w:ind w:left="278" w:right="244" w:hanging="10"/>
        <w:jc w:val="both"/>
      </w:pPr>
      <w:r>
        <w:rPr>
          <w:rFonts w:ascii="Arial" w:eastAsia="Arial" w:hAnsi="Arial" w:cs="Arial"/>
        </w:rPr>
        <w:t xml:space="preserve">D. Nicolás Rojo Garnica </w:t>
      </w:r>
    </w:p>
    <w:p w:rsidR="00FF384B" w:rsidRDefault="003E3BA9">
      <w:pPr>
        <w:spacing w:after="5" w:line="247" w:lineRule="auto"/>
        <w:ind w:left="278" w:right="244" w:hanging="10"/>
        <w:jc w:val="both"/>
      </w:pPr>
      <w:r>
        <w:rPr>
          <w:rFonts w:ascii="Arial" w:eastAsia="Arial" w:hAnsi="Arial" w:cs="Arial"/>
        </w:rPr>
        <w:t xml:space="preserve">Dª. Noemí del Castillo Delgado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Secretaria</w:t>
      </w:r>
      <w:r>
        <w:rPr>
          <w:rFonts w:ascii="Arial" w:eastAsia="Arial" w:hAnsi="Arial" w:cs="Arial"/>
          <w:b/>
        </w:rPr>
        <w:t>:</w:t>
      </w:r>
      <w:r>
        <w:rPr>
          <w:rFonts w:ascii="Arial" w:eastAsia="Arial" w:hAnsi="Arial" w:cs="Arial"/>
          <w:sz w:val="24"/>
        </w:rPr>
        <w:t xml:space="preserve"> </w:t>
      </w:r>
    </w:p>
    <w:p w:rsidR="00FF384B" w:rsidRDefault="003E3BA9">
      <w:pPr>
        <w:spacing w:after="5" w:line="247" w:lineRule="auto"/>
        <w:ind w:left="278" w:right="244" w:hanging="10"/>
        <w:jc w:val="both"/>
      </w:pPr>
      <w:r>
        <w:rPr>
          <w:rFonts w:ascii="Arial" w:eastAsia="Arial" w:hAnsi="Arial" w:cs="Arial"/>
        </w:rPr>
        <w:t xml:space="preserve">Dª Mª del Pilar Chico Delgado </w:t>
      </w:r>
    </w:p>
    <w:p w:rsidR="00FF384B" w:rsidRDefault="003E3BA9">
      <w:pPr>
        <w:spacing w:after="0"/>
        <w:ind w:left="283"/>
      </w:pPr>
      <w:r>
        <w:rPr>
          <w:rFonts w:ascii="Arial" w:eastAsia="Arial" w:hAnsi="Arial" w:cs="Arial"/>
        </w:rPr>
        <w:t xml:space="preserve"> </w:t>
      </w:r>
    </w:p>
    <w:p w:rsidR="00FF384B" w:rsidRDefault="003E3BA9">
      <w:pPr>
        <w:spacing w:after="112" w:line="249" w:lineRule="auto"/>
        <w:ind w:left="278" w:hanging="10"/>
        <w:jc w:val="both"/>
      </w:pPr>
      <w:r>
        <w:rPr>
          <w:rFonts w:ascii="Arial" w:eastAsia="Arial" w:hAnsi="Arial" w:cs="Arial"/>
          <w:b/>
          <w:u w:val="single" w:color="000000"/>
        </w:rPr>
        <w:t>No asistentes:</w:t>
      </w:r>
      <w:r>
        <w:rPr>
          <w:rFonts w:ascii="Arial" w:eastAsia="Arial" w:hAnsi="Arial" w:cs="Arial"/>
        </w:rPr>
        <w:t xml:space="preserve">  </w:t>
      </w:r>
    </w:p>
    <w:p w:rsidR="00FF384B" w:rsidRDefault="003E3BA9">
      <w:pPr>
        <w:spacing w:after="98"/>
        <w:ind w:left="283"/>
      </w:pPr>
      <w:r>
        <w:rPr>
          <w:rFonts w:ascii="Arial" w:eastAsia="Arial" w:hAnsi="Arial" w:cs="Arial"/>
        </w:rPr>
        <w:t xml:space="preserve"> </w:t>
      </w:r>
    </w:p>
    <w:p w:rsidR="00FF384B" w:rsidRDefault="003E3BA9">
      <w:pPr>
        <w:spacing w:after="114" w:line="247" w:lineRule="auto"/>
        <w:ind w:left="278" w:right="244" w:hanging="10"/>
        <w:jc w:val="both"/>
      </w:pPr>
      <w:r>
        <w:rPr>
          <w:noProof/>
        </w:rPr>
        <mc:AlternateContent>
          <mc:Choice Requires="wpg">
            <w:drawing>
              <wp:anchor distT="0" distB="0" distL="114300" distR="114300" simplePos="0" relativeHeight="2518589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79402" name="Group 47940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5049" name="Picture 35049"/>
                          <pic:cNvPicPr/>
                        </pic:nvPicPr>
                        <pic:blipFill>
                          <a:blip r:embed="rId62"/>
                          <a:stretch>
                            <a:fillRect/>
                          </a:stretch>
                        </pic:blipFill>
                        <pic:spPr>
                          <a:xfrm rot="-5399999">
                            <a:off x="-1720849" y="1720849"/>
                            <a:ext cx="3797300" cy="355601"/>
                          </a:xfrm>
                          <a:prstGeom prst="rect">
                            <a:avLst/>
                          </a:prstGeom>
                        </pic:spPr>
                      </pic:pic>
                      <wps:wsp>
                        <wps:cNvPr id="35050" name="Rectangle 3505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5051" name="Rectangle 3505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79402" style="width:41.2715pt;height:299pt;position:absolute;mso-position-horizontal-relative:page;mso-position-horizontal:absolute;margin-left:653.71pt;mso-position-vertical-relative:page;margin-top:512.92pt;" coordsize="5241,37973">
                <v:shape id="Picture 35049" style="position:absolute;width:37973;height:3556;left:-17208;top:17208;rotation:-89;" filled="f">
                  <v:imagedata r:id="rId63"/>
                </v:shape>
                <v:rect id="Rectangle 3505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505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195 de 353 </w:t>
                        </w:r>
                      </w:p>
                    </w:txbxContent>
                  </v:textbox>
                </v:rect>
                <w10:wrap type="square"/>
              </v:group>
            </w:pict>
          </mc:Fallback>
        </mc:AlternateContent>
      </w:r>
      <w:r>
        <w:rPr>
          <w:rFonts w:ascii="Arial" w:eastAsia="Arial" w:hAnsi="Arial" w:cs="Arial"/>
        </w:rPr>
        <w:t xml:space="preserve"> En Ca</w:t>
      </w:r>
      <w:r>
        <w:rPr>
          <w:rFonts w:ascii="Arial" w:eastAsia="Arial" w:hAnsi="Arial" w:cs="Arial"/>
        </w:rPr>
        <w:t>ndelaria, a 19 de abril de 2021, siendo las nueve horas y cuarenta minutos, se constituye en la Sala de Reuniones de la Casa Consistorial la Mesa de Contratación designada para el procedimiento de contratación del contrato basado en el acuerdo marco para l</w:t>
      </w:r>
      <w:r>
        <w:rPr>
          <w:rFonts w:ascii="Arial" w:eastAsia="Arial" w:hAnsi="Arial" w:cs="Arial"/>
        </w:rPr>
        <w:t xml:space="preserve">a contratación del suministro de electricidad en alta y baja tensión para la Central de Contratación de la FEMP (Lote 7), a los efectos de lectura del informe técnico de las ofertas presentadas y propuesta de adjudicación de la licitación. </w:t>
      </w:r>
    </w:p>
    <w:p w:rsidR="00FF384B" w:rsidRDefault="003E3BA9">
      <w:pPr>
        <w:spacing w:after="114" w:line="247" w:lineRule="auto"/>
        <w:ind w:left="278" w:right="244" w:hanging="10"/>
        <w:jc w:val="both"/>
      </w:pPr>
      <w:r>
        <w:rPr>
          <w:rFonts w:ascii="Arial" w:eastAsia="Arial" w:hAnsi="Arial" w:cs="Arial"/>
        </w:rPr>
        <w:t xml:space="preserve"> </w:t>
      </w:r>
      <w:r>
        <w:rPr>
          <w:rFonts w:ascii="Arial" w:eastAsia="Arial" w:hAnsi="Arial" w:cs="Arial"/>
        </w:rPr>
        <w:t xml:space="preserve">Seguidamente se pasa a dar lectura por parte de la secretaria de la Mesa del informe de valoración mencionado y emitido con fecha 31 de marzo de 2021, y cuyo tenor literal es el siguiente: </w:t>
      </w:r>
    </w:p>
    <w:p w:rsidR="00FF384B" w:rsidRDefault="003E3BA9">
      <w:pPr>
        <w:spacing w:after="112" w:line="247" w:lineRule="auto"/>
        <w:ind w:left="268" w:right="239" w:firstLine="708"/>
        <w:jc w:val="both"/>
      </w:pPr>
      <w:r>
        <w:rPr>
          <w:rFonts w:ascii="Arial" w:eastAsia="Arial" w:hAnsi="Arial" w:cs="Arial"/>
          <w:b/>
          <w:i/>
        </w:rPr>
        <w:t>“Visto el expediente antedicho, el funcionario Don Javier González</w:t>
      </w:r>
      <w:r>
        <w:rPr>
          <w:rFonts w:ascii="Arial" w:eastAsia="Arial" w:hAnsi="Arial" w:cs="Arial"/>
          <w:b/>
          <w:i/>
        </w:rPr>
        <w:t xml:space="preserve"> Gómez, que desempeña el puesto de trabajo de Arquitecto Técnico adscrito en la Concejalía de Obras Públicas, Servicios Públicos, Transporte y Accesibilidad emite el siguiente informe:</w:t>
      </w:r>
      <w:r>
        <w:rPr>
          <w:rFonts w:ascii="Arial" w:eastAsia="Arial" w:hAnsi="Arial" w:cs="Arial"/>
        </w:rPr>
        <w:t xml:space="preserve"> </w:t>
      </w:r>
    </w:p>
    <w:p w:rsidR="00FF384B" w:rsidRDefault="003E3BA9">
      <w:pPr>
        <w:spacing w:after="100"/>
        <w:ind w:left="283"/>
      </w:pPr>
      <w:r>
        <w:rPr>
          <w:rFonts w:ascii="Arial" w:eastAsia="Arial" w:hAnsi="Arial" w:cs="Arial"/>
          <w:i/>
        </w:rPr>
        <w:t xml:space="preserve">  </w:t>
      </w:r>
    </w:p>
    <w:p w:rsidR="00FF384B" w:rsidRDefault="003E3BA9">
      <w:pPr>
        <w:spacing w:after="107" w:line="247" w:lineRule="auto"/>
        <w:ind w:left="268" w:right="244" w:firstLine="3017"/>
        <w:jc w:val="both"/>
      </w:pPr>
      <w:r>
        <w:rPr>
          <w:rFonts w:ascii="Arial" w:eastAsia="Arial" w:hAnsi="Arial" w:cs="Arial"/>
          <w:b/>
          <w:i/>
        </w:rPr>
        <w:t>Antecedentes de hecho</w:t>
      </w:r>
      <w:r>
        <w:rPr>
          <w:rFonts w:ascii="Arial" w:eastAsia="Arial" w:hAnsi="Arial" w:cs="Arial"/>
        </w:rPr>
        <w:t xml:space="preserve"> </w:t>
      </w:r>
      <w:r>
        <w:rPr>
          <w:rFonts w:ascii="Arial" w:eastAsia="Arial" w:hAnsi="Arial" w:cs="Arial"/>
          <w:i/>
        </w:rPr>
        <w:t xml:space="preserve">Emitida el 03 de marzo de 2021 “Invitación para la contratación del acuerdo marco para el Suministro de Electricidad en alta y baja tensión” a las empresas destinatarias: Iberdrola, Endesa y Gas Natural Comercializadora (GNCO), adjudicatarias de los lotes </w:t>
      </w:r>
      <w:r>
        <w:rPr>
          <w:rFonts w:ascii="Arial" w:eastAsia="Arial" w:hAnsi="Arial" w:cs="Arial"/>
          <w:i/>
        </w:rPr>
        <w:t xml:space="preserve">del 1 al 7 del acuerdo Marco. </w:t>
      </w:r>
    </w:p>
    <w:p w:rsidR="00FF384B" w:rsidRDefault="003E3BA9">
      <w:pPr>
        <w:spacing w:after="112" w:line="247" w:lineRule="auto"/>
        <w:ind w:left="278" w:right="244" w:hanging="10"/>
        <w:jc w:val="both"/>
      </w:pPr>
      <w:r>
        <w:rPr>
          <w:rFonts w:ascii="Arial" w:eastAsia="Arial" w:hAnsi="Arial" w:cs="Arial"/>
          <w:i/>
        </w:rPr>
        <w:t>Según se indica en el Pliego de Cláusulas Administrativas (PCA) las empresas ofertaran a la totalidad de las Categorías de Peaje, teniendo actualmente este Ayuntamiento contratados puntos de suministro en las Categorías que s</w:t>
      </w:r>
      <w:r>
        <w:rPr>
          <w:rFonts w:ascii="Arial" w:eastAsia="Arial" w:hAnsi="Arial" w:cs="Arial"/>
          <w:i/>
        </w:rPr>
        <w:t xml:space="preserve">e indican a continuación, tal como se recogía en el Anexo I del documento de invitación, 2.0A, 2.0DHA, 2.1A, 2.1DHA, 3.0A, y por tanto objeto de valoración. </w:t>
      </w:r>
    </w:p>
    <w:p w:rsidR="00FF384B" w:rsidRDefault="003E3BA9">
      <w:pPr>
        <w:spacing w:after="115" w:line="247" w:lineRule="auto"/>
        <w:ind w:left="278" w:right="244" w:hanging="10"/>
        <w:jc w:val="both"/>
      </w:pPr>
      <w:r>
        <w:rPr>
          <w:rFonts w:ascii="Arial" w:eastAsia="Arial" w:hAnsi="Arial" w:cs="Arial"/>
          <w:i/>
        </w:rPr>
        <w:t>La ofertas presentadas debía recoger la totalidad de las Categorías de Peaje tal como regula en la</w:t>
      </w:r>
      <w:r>
        <w:rPr>
          <w:rFonts w:ascii="Arial" w:eastAsia="Arial" w:hAnsi="Arial" w:cs="Arial"/>
          <w:i/>
        </w:rPr>
        <w:t xml:space="preserve"> cláusula 21.3 del PCA, indicando: "El Contratista estará obligado a suministrar electricidad a aquellos nuevos puntos de suministro ordinarios (no eventuales o de temporada) no incluidos en el Documento de Invitación que sean solicitados por las Entidades</w:t>
      </w:r>
      <w:r>
        <w:rPr>
          <w:rFonts w:ascii="Arial" w:eastAsia="Arial" w:hAnsi="Arial" w:cs="Arial"/>
          <w:i/>
        </w:rPr>
        <w:t xml:space="preserve"> Locales siempre que supongan, como máximo, un incremento del 20% respecto del precio que representasen los puntos de suministro incluidos en el Documento de Invitación, ajustándose a lo dispuesto en el art 204.1 de la LCSP. Estos nuevos puntos de suminist</w:t>
      </w:r>
      <w:r>
        <w:rPr>
          <w:rFonts w:ascii="Arial" w:eastAsia="Arial" w:hAnsi="Arial" w:cs="Arial"/>
          <w:i/>
        </w:rPr>
        <w:t>ro pasarán a formar parte del Contrato basado con los precios y contenidos que en él se establecen".</w:t>
      </w:r>
      <w:r>
        <w:rPr>
          <w:rFonts w:ascii="Arial" w:eastAsia="Arial" w:hAnsi="Arial" w:cs="Arial"/>
        </w:rPr>
        <w:t xml:space="preserve"> </w:t>
      </w:r>
    </w:p>
    <w:p w:rsidR="00FF384B" w:rsidRDefault="003E3BA9">
      <w:pPr>
        <w:spacing w:after="114" w:line="247" w:lineRule="auto"/>
        <w:ind w:left="278" w:right="244" w:hanging="10"/>
        <w:jc w:val="both"/>
      </w:pPr>
      <w:r>
        <w:rPr>
          <w:rFonts w:ascii="Arial" w:eastAsia="Arial" w:hAnsi="Arial" w:cs="Arial"/>
          <w:i/>
        </w:rPr>
        <w:t xml:space="preserve">Se registra en el expediente, el 23 de marzo, las propuestas recibidas por las tres empresas invitadas. </w:t>
      </w:r>
    </w:p>
    <w:p w:rsidR="00FF384B" w:rsidRDefault="003E3BA9">
      <w:pPr>
        <w:pStyle w:val="Ttulo3"/>
        <w:shd w:val="clear" w:color="auto" w:fill="auto"/>
        <w:spacing w:after="108" w:line="249" w:lineRule="auto"/>
        <w:ind w:left="427" w:right="386"/>
      </w:pPr>
      <w:r>
        <w:t xml:space="preserve">Informe técnico </w:t>
      </w:r>
    </w:p>
    <w:p w:rsidR="00FF384B" w:rsidRDefault="003E3BA9">
      <w:pPr>
        <w:spacing w:after="4" w:line="247" w:lineRule="auto"/>
        <w:ind w:left="278" w:right="244" w:hanging="10"/>
        <w:jc w:val="both"/>
      </w:pPr>
      <w:r>
        <w:rPr>
          <w:noProof/>
        </w:rPr>
        <mc:AlternateContent>
          <mc:Choice Requires="wpg">
            <w:drawing>
              <wp:anchor distT="0" distB="0" distL="114300" distR="114300" simplePos="0" relativeHeight="2518599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32413" name="Group 53241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5710" name="Picture 35710"/>
                          <pic:cNvPicPr/>
                        </pic:nvPicPr>
                        <pic:blipFill>
                          <a:blip r:embed="rId62"/>
                          <a:stretch>
                            <a:fillRect/>
                          </a:stretch>
                        </pic:blipFill>
                        <pic:spPr>
                          <a:xfrm rot="-5399999">
                            <a:off x="-1720849" y="1720849"/>
                            <a:ext cx="3797300" cy="355601"/>
                          </a:xfrm>
                          <a:prstGeom prst="rect">
                            <a:avLst/>
                          </a:prstGeom>
                        </pic:spPr>
                      </pic:pic>
                      <wps:wsp>
                        <wps:cNvPr id="35711" name="Rectangle 3571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5712" name="Rectangle 3571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32413" style="width:41.2715pt;height:299pt;position:absolute;mso-position-horizontal-relative:page;mso-position-horizontal:absolute;margin-left:653.71pt;mso-position-vertical-relative:page;margin-top:512.92pt;" coordsize="5241,37973">
                <v:shape id="Picture 35710" style="position:absolute;width:37973;height:3556;left:-17208;top:17208;rotation:-89;" filled="f">
                  <v:imagedata r:id="rId63"/>
                </v:shape>
                <v:rect id="Rectangle 357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57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196 de 353 </w:t>
                        </w:r>
                      </w:p>
                    </w:txbxContent>
                  </v:textbox>
                </v:rect>
                <w10:wrap type="square"/>
              </v:group>
            </w:pict>
          </mc:Fallback>
        </mc:AlternateContent>
      </w:r>
      <w:r>
        <w:rPr>
          <w:rFonts w:ascii="Arial" w:eastAsia="Arial" w:hAnsi="Arial" w:cs="Arial"/>
          <w:i/>
        </w:rPr>
        <w:t>Una vez aplicadas las fórmulas recogidas en el PCA para la ob</w:t>
      </w:r>
      <w:r>
        <w:rPr>
          <w:rFonts w:ascii="Arial" w:eastAsia="Arial" w:hAnsi="Arial" w:cs="Arial"/>
          <w:i/>
        </w:rPr>
        <w:t xml:space="preserve">tención del Coeficiente del Término de Energía de la Tarifa (CET), resulta los siguientes resultados: </w:t>
      </w:r>
    </w:p>
    <w:p w:rsidR="00FF384B" w:rsidRDefault="003E3BA9">
      <w:pPr>
        <w:spacing w:after="122"/>
        <w:ind w:left="276"/>
      </w:pPr>
      <w:r>
        <w:rPr>
          <w:noProof/>
        </w:rPr>
        <w:drawing>
          <wp:inline distT="0" distB="0" distL="0" distR="0">
            <wp:extent cx="5407152" cy="2709672"/>
            <wp:effectExtent l="0" t="0" r="0" b="0"/>
            <wp:docPr id="547636" name="Picture 547636"/>
            <wp:cNvGraphicFramePr/>
            <a:graphic xmlns:a="http://schemas.openxmlformats.org/drawingml/2006/main">
              <a:graphicData uri="http://schemas.openxmlformats.org/drawingml/2006/picture">
                <pic:pic xmlns:pic="http://schemas.openxmlformats.org/drawingml/2006/picture">
                  <pic:nvPicPr>
                    <pic:cNvPr id="547636" name="Picture 547636"/>
                    <pic:cNvPicPr/>
                  </pic:nvPicPr>
                  <pic:blipFill>
                    <a:blip r:embed="rId66"/>
                    <a:stretch>
                      <a:fillRect/>
                    </a:stretch>
                  </pic:blipFill>
                  <pic:spPr>
                    <a:xfrm>
                      <a:off x="0" y="0"/>
                      <a:ext cx="5407152" cy="2709672"/>
                    </a:xfrm>
                    <a:prstGeom prst="rect">
                      <a:avLst/>
                    </a:prstGeom>
                  </pic:spPr>
                </pic:pic>
              </a:graphicData>
            </a:graphic>
          </wp:inline>
        </w:drawing>
      </w:r>
    </w:p>
    <w:p w:rsidR="00FF384B" w:rsidRDefault="003E3BA9">
      <w:pPr>
        <w:spacing w:after="112" w:line="247" w:lineRule="auto"/>
        <w:ind w:left="278" w:right="244" w:hanging="10"/>
        <w:jc w:val="both"/>
      </w:pPr>
      <w:r>
        <w:rPr>
          <w:rFonts w:ascii="Arial" w:eastAsia="Arial" w:hAnsi="Arial" w:cs="Arial"/>
          <w:i/>
        </w:rPr>
        <w:t>Obteniendo los siguientes Coeficientes totales del término energía (CEO) ofertado; Endesa obtiene 4,0505; Iberdrola 4,3855 y Gas Natural Comercializado</w:t>
      </w:r>
      <w:r>
        <w:rPr>
          <w:rFonts w:ascii="Arial" w:eastAsia="Arial" w:hAnsi="Arial" w:cs="Arial"/>
          <w:i/>
        </w:rPr>
        <w:t xml:space="preserve">ra 4,2085. </w:t>
      </w:r>
    </w:p>
    <w:p w:rsidR="00FF384B" w:rsidRDefault="003E3BA9">
      <w:pPr>
        <w:pStyle w:val="Ttulo3"/>
        <w:shd w:val="clear" w:color="auto" w:fill="auto"/>
        <w:spacing w:after="108" w:line="249" w:lineRule="auto"/>
        <w:ind w:left="427" w:right="386"/>
      </w:pPr>
      <w:r>
        <w:t xml:space="preserve">Conclusión </w:t>
      </w:r>
    </w:p>
    <w:p w:rsidR="00FF384B" w:rsidRDefault="003E3BA9">
      <w:pPr>
        <w:spacing w:after="112" w:line="247" w:lineRule="auto"/>
        <w:ind w:left="278" w:right="244" w:hanging="10"/>
        <w:jc w:val="both"/>
      </w:pPr>
      <w:r>
        <w:rPr>
          <w:rFonts w:ascii="Arial" w:eastAsia="Arial" w:hAnsi="Arial" w:cs="Arial"/>
          <w:i/>
        </w:rPr>
        <w:t>De la vista de los resultados extraído en la tabla adjunta, Endesa con un Coeficiente total del término energía (CEO) ofertado de 4,0505 sería la empresa que ofrece un valor económico más ventajoso.”</w:t>
      </w:r>
      <w:r>
        <w:rPr>
          <w:rFonts w:ascii="Arial" w:eastAsia="Arial" w:hAnsi="Arial" w:cs="Arial"/>
        </w:rPr>
        <w:t xml:space="preserve"> </w:t>
      </w:r>
    </w:p>
    <w:p w:rsidR="00FF384B" w:rsidRDefault="003E3BA9">
      <w:pPr>
        <w:spacing w:after="114" w:line="247" w:lineRule="auto"/>
        <w:ind w:left="268" w:right="244" w:firstLine="708"/>
        <w:jc w:val="both"/>
      </w:pPr>
      <w:r>
        <w:rPr>
          <w:rFonts w:ascii="Arial" w:eastAsia="Arial" w:hAnsi="Arial" w:cs="Arial"/>
        </w:rPr>
        <w:t>Se la palabra al técnico munici</w:t>
      </w:r>
      <w:r>
        <w:rPr>
          <w:rFonts w:ascii="Arial" w:eastAsia="Arial" w:hAnsi="Arial" w:cs="Arial"/>
        </w:rPr>
        <w:t xml:space="preserve">pal a los efectos de explicar el contenido del informe. </w:t>
      </w:r>
    </w:p>
    <w:p w:rsidR="00FF384B" w:rsidRDefault="003E3BA9">
      <w:pPr>
        <w:spacing w:after="112" w:line="247" w:lineRule="auto"/>
        <w:ind w:left="268" w:right="244" w:firstLine="708"/>
        <w:jc w:val="both"/>
      </w:pPr>
      <w:r>
        <w:rPr>
          <w:rFonts w:ascii="Arial" w:eastAsia="Arial" w:hAnsi="Arial" w:cs="Arial"/>
        </w:rPr>
        <w:t>La Mesa de Contratación, acuerda en base exclusivamente al informe técnico elaborado por el Arquitecto Técnico Don Javier González Gómez que propone a ENDESA, PROPONER LA ADJUDICACIÓN DEL CONTRATO ba</w:t>
      </w:r>
      <w:r>
        <w:rPr>
          <w:rFonts w:ascii="Arial" w:eastAsia="Arial" w:hAnsi="Arial" w:cs="Arial"/>
        </w:rPr>
        <w:t>sado en el acuerdo marco para la contratación del suministro de electricidad en alta y baja tensión para la Central de Contratación de la FEMP (Lote 7), a la empresa ENDESA ya que el coeficiente total del término de energía (CEO) ofertado es de 4,0505 y es</w:t>
      </w:r>
      <w:r>
        <w:rPr>
          <w:rFonts w:ascii="Arial" w:eastAsia="Arial" w:hAnsi="Arial" w:cs="Arial"/>
        </w:rPr>
        <w:t xml:space="preserve"> el que ofrece un valor económico más ventajoso. </w:t>
      </w:r>
    </w:p>
    <w:p w:rsidR="00FF384B" w:rsidRDefault="003E3BA9">
      <w:pPr>
        <w:spacing w:after="106" w:line="247" w:lineRule="auto"/>
        <w:ind w:left="278" w:right="244" w:hanging="10"/>
        <w:jc w:val="both"/>
      </w:pPr>
      <w:r>
        <w:rPr>
          <w:rFonts w:ascii="Arial" w:eastAsia="Arial" w:hAnsi="Arial" w:cs="Arial"/>
        </w:rPr>
        <w:t xml:space="preserve"> </w:t>
      </w:r>
      <w:r>
        <w:rPr>
          <w:rFonts w:ascii="Arial" w:eastAsia="Arial" w:hAnsi="Arial" w:cs="Arial"/>
        </w:rPr>
        <w:tab/>
        <w:t xml:space="preserve">En prueba y conformidad con cuanto antecede, se levanta la presente acta a las diez horas del día diecinueve de abril de 2021, firmando los miembros de la Mesa. De todo lo que, como Secretaria, doy fe.” </w:t>
      </w:r>
    </w:p>
    <w:p w:rsidR="00FF384B" w:rsidRDefault="003E3BA9">
      <w:pPr>
        <w:spacing w:after="98"/>
        <w:ind w:left="283"/>
      </w:pPr>
      <w:r>
        <w:rPr>
          <w:rFonts w:ascii="Arial" w:eastAsia="Arial" w:hAnsi="Arial" w:cs="Arial"/>
        </w:rPr>
        <w:t xml:space="preserve"> </w:t>
      </w:r>
    </w:p>
    <w:p w:rsidR="00FF384B" w:rsidRDefault="003E3BA9">
      <w:pPr>
        <w:tabs>
          <w:tab w:val="center" w:pos="283"/>
          <w:tab w:val="center" w:pos="4886"/>
        </w:tabs>
        <w:spacing w:after="5" w:line="247" w:lineRule="auto"/>
      </w:pPr>
      <w:r>
        <w:tab/>
      </w:r>
      <w:r>
        <w:rPr>
          <w:rFonts w:ascii="Arial" w:eastAsia="Arial" w:hAnsi="Arial" w:cs="Arial"/>
        </w:rPr>
        <w:t xml:space="preserve"> </w:t>
      </w:r>
      <w:r>
        <w:rPr>
          <w:rFonts w:ascii="Arial" w:eastAsia="Arial" w:hAnsi="Arial" w:cs="Arial"/>
        </w:rPr>
        <w:tab/>
        <w:t xml:space="preserve">Visto que conforme a la cláusula 21, apartado B, del Pliego de Cláusulas </w:t>
      </w:r>
    </w:p>
    <w:p w:rsidR="00FF384B" w:rsidRDefault="003E3BA9">
      <w:pPr>
        <w:spacing w:after="114" w:line="247" w:lineRule="auto"/>
        <w:ind w:left="278" w:right="244" w:hanging="10"/>
        <w:jc w:val="both"/>
      </w:pPr>
      <w:r>
        <w:rPr>
          <w:rFonts w:ascii="Arial" w:eastAsia="Arial" w:hAnsi="Arial" w:cs="Arial"/>
        </w:rPr>
        <w:t>Administrativas Particulares del Acuerdo Marco aprobado por la FEMP, Perfeccionamiento del Contrato basado. Contenido, notificaciones y publicación de la adjudicación-</w:t>
      </w:r>
      <w:r>
        <w:rPr>
          <w:rFonts w:ascii="Arial" w:eastAsia="Arial" w:hAnsi="Arial" w:cs="Arial"/>
        </w:rPr>
        <w:t>. Que dice: “</w:t>
      </w:r>
      <w:r>
        <w:rPr>
          <w:rFonts w:ascii="Arial" w:eastAsia="Arial" w:hAnsi="Arial" w:cs="Arial"/>
          <w:i/>
        </w:rPr>
        <w:t xml:space="preserve">Según lo establecido en el art. 36.3 de la LCSP los contratos basados en un Acuerdo marco, se perfeccionan con su adjudicación. </w:t>
      </w:r>
      <w:r>
        <w:rPr>
          <w:rFonts w:ascii="Arial" w:eastAsia="Arial" w:hAnsi="Arial" w:cs="Arial"/>
        </w:rPr>
        <w:t xml:space="preserve"> </w:t>
      </w:r>
    </w:p>
    <w:p w:rsidR="00FF384B" w:rsidRDefault="003E3BA9">
      <w:pPr>
        <w:spacing w:after="112" w:line="247" w:lineRule="auto"/>
        <w:ind w:left="278" w:right="244" w:hanging="10"/>
        <w:jc w:val="both"/>
      </w:pPr>
      <w:r>
        <w:rPr>
          <w:rFonts w:ascii="Arial" w:eastAsia="Arial" w:hAnsi="Arial" w:cs="Arial"/>
          <w:i/>
        </w:rPr>
        <w:t xml:space="preserve"> Por tanto, una vez realizada la valoración de las proposiciones, la Entidad Local procederá a adoptar el acuerdo</w:t>
      </w:r>
      <w:r>
        <w:rPr>
          <w:rFonts w:ascii="Arial" w:eastAsia="Arial" w:hAnsi="Arial" w:cs="Arial"/>
          <w:i/>
        </w:rPr>
        <w:t xml:space="preserve"> de adjudicación cuyo contenido deberá ajustarse a lo dispuesto en el art. 151.2 de la LCSP.”</w:t>
      </w:r>
      <w:r>
        <w:rPr>
          <w:rFonts w:ascii="Arial" w:eastAsia="Arial" w:hAnsi="Arial" w:cs="Arial"/>
        </w:rPr>
        <w:t xml:space="preserve">        </w:t>
      </w:r>
    </w:p>
    <w:p w:rsidR="00FF384B" w:rsidRDefault="003E3BA9">
      <w:pPr>
        <w:spacing w:after="98"/>
        <w:ind w:left="991"/>
      </w:pPr>
      <w:r>
        <w:rPr>
          <w:rFonts w:ascii="Arial" w:eastAsia="Arial" w:hAnsi="Arial" w:cs="Arial"/>
        </w:rPr>
        <w:t xml:space="preserve">    </w:t>
      </w:r>
    </w:p>
    <w:p w:rsidR="00FF384B" w:rsidRDefault="003E3BA9">
      <w:pPr>
        <w:spacing w:after="90" w:line="246" w:lineRule="auto"/>
        <w:ind w:left="268" w:right="222" w:firstLine="696"/>
      </w:pPr>
      <w:r>
        <w:rPr>
          <w:rFonts w:ascii="Arial" w:eastAsia="Arial" w:hAnsi="Arial" w:cs="Arial"/>
        </w:rPr>
        <w:t xml:space="preserve">  Visto que conforme a la cláusula 14 del Pliego de Cláusulas Administrativas Particulares del Acuerdo Marco aprobado por la FEMP, que dice: “…</w:t>
      </w:r>
      <w:r>
        <w:rPr>
          <w:rFonts w:ascii="Arial" w:eastAsia="Arial" w:hAnsi="Arial" w:cs="Arial"/>
          <w:i/>
        </w:rPr>
        <w:t>Tenien</w:t>
      </w:r>
      <w:r>
        <w:rPr>
          <w:rFonts w:ascii="Arial" w:eastAsia="Arial" w:hAnsi="Arial" w:cs="Arial"/>
          <w:i/>
        </w:rPr>
        <w:t>do en cuenta las características del suministro y dado que su pago es siempre posterior a la entrega y recepción del mismo, no se exigirá garantía definitiva para la ejecución de los contratos basados…”</w:t>
      </w:r>
      <w:r>
        <w:rPr>
          <w:rFonts w:ascii="Times New Roman" w:eastAsia="Times New Roman" w:hAnsi="Times New Roman" w:cs="Times New Roman"/>
          <w:sz w:val="24"/>
        </w:rPr>
        <w:t xml:space="preserve"> </w:t>
      </w:r>
    </w:p>
    <w:p w:rsidR="00FF384B" w:rsidRDefault="003E3BA9">
      <w:pPr>
        <w:spacing w:after="95"/>
        <w:ind w:left="979"/>
      </w:pPr>
      <w:r>
        <w:rPr>
          <w:rFonts w:ascii="Arial" w:eastAsia="Arial" w:hAnsi="Arial" w:cs="Arial"/>
        </w:rPr>
        <w:t xml:space="preserve">  </w:t>
      </w:r>
    </w:p>
    <w:p w:rsidR="00FF384B" w:rsidRDefault="003E3BA9">
      <w:pPr>
        <w:pStyle w:val="Ttulo2"/>
        <w:spacing w:after="106"/>
        <w:ind w:left="767" w:right="21"/>
      </w:pPr>
      <w:r>
        <w:t xml:space="preserve">LEGISLACIÓN APLICABLE </w:t>
      </w:r>
    </w:p>
    <w:p w:rsidR="00FF384B" w:rsidRDefault="003E3BA9">
      <w:pPr>
        <w:spacing w:after="115"/>
        <w:ind w:left="991"/>
      </w:pPr>
      <w:r>
        <w:rPr>
          <w:noProof/>
        </w:rPr>
        <mc:AlternateContent>
          <mc:Choice Requires="wpg">
            <w:drawing>
              <wp:anchor distT="0" distB="0" distL="114300" distR="114300" simplePos="0" relativeHeight="2518609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0024" name="Group 4800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5887" name="Picture 35887"/>
                          <pic:cNvPicPr/>
                        </pic:nvPicPr>
                        <pic:blipFill>
                          <a:blip r:embed="rId62"/>
                          <a:stretch>
                            <a:fillRect/>
                          </a:stretch>
                        </pic:blipFill>
                        <pic:spPr>
                          <a:xfrm rot="-5399999">
                            <a:off x="-1720849" y="1720849"/>
                            <a:ext cx="3797300" cy="355601"/>
                          </a:xfrm>
                          <a:prstGeom prst="rect">
                            <a:avLst/>
                          </a:prstGeom>
                        </pic:spPr>
                      </pic:pic>
                      <wps:wsp>
                        <wps:cNvPr id="35888" name="Rectangle 3588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w:t>
                              </w:r>
                              <w:r>
                                <w:rPr>
                                  <w:rFonts w:ascii="Arial" w:eastAsia="Arial" w:hAnsi="Arial" w:cs="Arial"/>
                                  <w:sz w:val="12"/>
                                </w:rPr>
                                <w:t xml:space="preserve">AG9QWZ53RMHD5RCHL7K | Verificación: https://candelaria.sedelectronica.es/ </w:t>
                              </w:r>
                            </w:p>
                          </w:txbxContent>
                        </wps:txbx>
                        <wps:bodyPr horzOverflow="overflow" vert="horz" lIns="0" tIns="0" rIns="0" bIns="0" rtlCol="0">
                          <a:noAutofit/>
                        </wps:bodyPr>
                      </wps:wsp>
                      <wps:wsp>
                        <wps:cNvPr id="35889" name="Rectangle 3588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0024" style="width:41.2715pt;height:299pt;position:absolute;mso-position-horizontal-relative:page;mso-position-horizontal:absolute;margin-left:653.71pt;mso-position-vertical-relative:page;margin-top:512.92pt;" coordsize="5241,37973">
                <v:shape id="Picture 35887" style="position:absolute;width:37973;height:3556;left:-17208;top:17208;rotation:-89;" filled="f">
                  <v:imagedata r:id="rId63"/>
                </v:shape>
                <v:rect id="Rectangle 3588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588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197 de 353 </w:t>
                        </w:r>
                      </w:p>
                    </w:txbxContent>
                  </v:textbox>
                </v:rect>
                <w10:wrap type="square"/>
              </v:group>
            </w:pict>
          </mc:Fallback>
        </mc:AlternateContent>
      </w:r>
      <w:r>
        <w:rPr>
          <w:rFonts w:ascii="Arial" w:eastAsia="Arial" w:hAnsi="Arial" w:cs="Arial"/>
        </w:rPr>
        <w:t xml:space="preserve"> </w:t>
      </w:r>
    </w:p>
    <w:p w:rsidR="00FF384B" w:rsidRDefault="003E3BA9">
      <w:pPr>
        <w:spacing w:after="221" w:line="249" w:lineRule="auto"/>
        <w:ind w:left="1013" w:hanging="10"/>
        <w:jc w:val="both"/>
      </w:pPr>
      <w:r>
        <w:rPr>
          <w:rFonts w:ascii="Times New Roman" w:eastAsia="Times New Roman" w:hAnsi="Times New Roman" w:cs="Times New Roman"/>
          <w:sz w:val="24"/>
        </w:rPr>
        <w:t xml:space="preserve">La Legislación aplicable al asunto es la siguiente: </w:t>
      </w:r>
    </w:p>
    <w:p w:rsidR="00FF384B" w:rsidRDefault="003E3BA9">
      <w:pPr>
        <w:spacing w:after="97"/>
        <w:ind w:left="991"/>
      </w:pPr>
      <w:r>
        <w:rPr>
          <w:rFonts w:ascii="Times New Roman" w:eastAsia="Times New Roman" w:hAnsi="Times New Roman" w:cs="Times New Roman"/>
          <w:sz w:val="24"/>
        </w:rPr>
        <w:t xml:space="preserve"> </w:t>
      </w:r>
    </w:p>
    <w:p w:rsidR="00FF384B" w:rsidRDefault="003E3BA9">
      <w:pPr>
        <w:spacing w:after="125" w:line="239" w:lineRule="auto"/>
        <w:ind w:left="268" w:right="162" w:firstLine="708"/>
      </w:pPr>
      <w:r>
        <w:rPr>
          <w:rFonts w:ascii="Arial" w:eastAsia="Arial" w:hAnsi="Arial" w:cs="Arial"/>
          <w:i/>
          <w:sz w:val="24"/>
        </w:rPr>
        <w:t xml:space="preserve">— </w:t>
      </w:r>
      <w:r>
        <w:rPr>
          <w:rFonts w:ascii="Arial" w:eastAsia="Arial" w:hAnsi="Arial" w:cs="Arial"/>
          <w:i/>
          <w:sz w:val="24"/>
        </w:rPr>
        <w:t xml:space="preserve">Los artículos 63, 99 a 102, 116, 117, 122, 124 y 131 a 159 y las Disposiciones Adicionales Segunda, Tercera y Decimoquinta de la </w:t>
      </w:r>
      <w:r>
        <w:rPr>
          <w:rFonts w:ascii="Arial" w:eastAsia="Arial" w:hAnsi="Arial" w:cs="Arial"/>
        </w:rPr>
        <w:t>Ley 9/2017, de 8 de noviembre, de Contratos del Sector Público, por la que se transponen al ordenamiento jurídico español las D</w:t>
      </w:r>
      <w:r>
        <w:rPr>
          <w:rFonts w:ascii="Arial" w:eastAsia="Arial" w:hAnsi="Arial" w:cs="Arial"/>
        </w:rPr>
        <w:t>irectivas del Parlamento Europeo y del Consejo 2014/23/UE y 2014/24/UE, de 26 de febrero de 2014</w:t>
      </w:r>
      <w:r>
        <w:rPr>
          <w:rFonts w:ascii="Arial" w:eastAsia="Arial" w:hAnsi="Arial" w:cs="Arial"/>
          <w:i/>
          <w:sz w:val="24"/>
        </w:rPr>
        <w:t>.</w:t>
      </w:r>
      <w:r>
        <w:rPr>
          <w:rFonts w:ascii="Times New Roman" w:eastAsia="Times New Roman" w:hAnsi="Times New Roman" w:cs="Times New Roman"/>
          <w:sz w:val="24"/>
        </w:rPr>
        <w:t xml:space="preserve"> </w:t>
      </w:r>
    </w:p>
    <w:p w:rsidR="00FF384B" w:rsidRDefault="003E3BA9">
      <w:pPr>
        <w:spacing w:after="119" w:line="240" w:lineRule="auto"/>
        <w:ind w:left="283" w:firstLine="708"/>
        <w:jc w:val="both"/>
      </w:pPr>
      <w:r>
        <w:rPr>
          <w:rFonts w:ascii="Arial" w:eastAsia="Arial" w:hAnsi="Arial" w:cs="Arial"/>
          <w:i/>
          <w:sz w:val="24"/>
        </w:rPr>
        <w:t>— El Real Decreto 817/2009, de 8 de mayo, por el que se desarrolla parcialmente la Ley 30/2007, de 30 de octubre, de Contratos del Sector Público.</w:t>
      </w:r>
      <w:r>
        <w:rPr>
          <w:rFonts w:ascii="Times New Roman" w:eastAsia="Times New Roman" w:hAnsi="Times New Roman" w:cs="Times New Roman"/>
          <w:sz w:val="24"/>
        </w:rPr>
        <w:t xml:space="preserve"> </w:t>
      </w:r>
    </w:p>
    <w:p w:rsidR="00FF384B" w:rsidRDefault="003E3BA9">
      <w:pPr>
        <w:spacing w:after="106" w:line="240" w:lineRule="auto"/>
        <w:ind w:left="283" w:right="246" w:firstLine="708"/>
      </w:pPr>
      <w:r>
        <w:rPr>
          <w:rFonts w:ascii="Arial" w:eastAsia="Arial" w:hAnsi="Arial" w:cs="Arial"/>
          <w:i/>
          <w:sz w:val="24"/>
        </w:rPr>
        <w:t xml:space="preserve">— </w:t>
      </w:r>
      <w:r>
        <w:rPr>
          <w:rFonts w:ascii="Arial" w:eastAsia="Arial" w:hAnsi="Arial" w:cs="Arial"/>
          <w:i/>
          <w:sz w:val="24"/>
        </w:rPr>
        <w:t>El Real Decreto 1098/2001, de 12 de octubre, por el que se aprueba el Reglamento General de la Ley de Contratos de las Administraciones Públicas.</w:t>
      </w:r>
      <w:r>
        <w:rPr>
          <w:rFonts w:ascii="Arial" w:eastAsia="Arial" w:hAnsi="Arial" w:cs="Arial"/>
          <w:color w:val="272727"/>
          <w:sz w:val="21"/>
        </w:rPr>
        <w:t xml:space="preserve"> </w:t>
      </w:r>
      <w:r>
        <w:rPr>
          <w:rFonts w:ascii="Arial" w:eastAsia="Arial" w:hAnsi="Arial" w:cs="Arial"/>
          <w:i/>
          <w:sz w:val="24"/>
        </w:rPr>
        <w:t>(Artículos vigentes tras la entrada en vigor del Real Decreto 817/2009, de 8 de mayo).</w:t>
      </w:r>
      <w:r>
        <w:rPr>
          <w:rFonts w:ascii="Times New Roman" w:eastAsia="Times New Roman" w:hAnsi="Times New Roman" w:cs="Times New Roman"/>
          <w:sz w:val="24"/>
        </w:rPr>
        <w:t xml:space="preserve"> </w:t>
      </w:r>
    </w:p>
    <w:p w:rsidR="00FF384B" w:rsidRDefault="003E3BA9">
      <w:pPr>
        <w:spacing w:after="352"/>
        <w:ind w:left="566"/>
      </w:pPr>
      <w:r>
        <w:rPr>
          <w:rFonts w:ascii="Arial" w:eastAsia="Arial" w:hAnsi="Arial" w:cs="Arial"/>
        </w:rPr>
        <w:t xml:space="preserve"> </w:t>
      </w:r>
    </w:p>
    <w:p w:rsidR="00FF384B" w:rsidRDefault="003E3BA9">
      <w:pPr>
        <w:spacing w:after="109" w:line="239" w:lineRule="auto"/>
        <w:ind w:left="268" w:right="162" w:firstLine="696"/>
      </w:pPr>
      <w:r>
        <w:rPr>
          <w:rFonts w:ascii="Arial" w:eastAsia="Arial" w:hAnsi="Arial" w:cs="Arial"/>
        </w:rPr>
        <w:t>Visto cuanto anteced</w:t>
      </w:r>
      <w:r>
        <w:rPr>
          <w:rFonts w:ascii="Arial" w:eastAsia="Arial" w:hAnsi="Arial" w:cs="Arial"/>
        </w:rPr>
        <w:t>e, se considera que el expediente ha seguido la tramitación establecida en la Legislación aplicable procediendo su aprobación por el Pleno de la Corporación, de conformidad con la Disposición Adicional Segunda de la Ley 9/2017 de 8 de noviembre, de Contrat</w:t>
      </w:r>
      <w:r>
        <w:rPr>
          <w:rFonts w:ascii="Arial" w:eastAsia="Arial" w:hAnsi="Arial" w:cs="Arial"/>
        </w:rPr>
        <w:t>os del Sector Público, por la que se transponen al ordenamiento jurídico español las Directivas del Parlamento Europeo y del Consejo 2014/23/UE y 2014/24/UE, de 26 de febrero de 2014.</w:t>
      </w:r>
      <w:r>
        <w:rPr>
          <w:rFonts w:ascii="Times New Roman" w:eastAsia="Times New Roman" w:hAnsi="Times New Roman" w:cs="Times New Roman"/>
          <w:sz w:val="24"/>
        </w:rPr>
        <w:t xml:space="preserve"> </w:t>
      </w:r>
    </w:p>
    <w:p w:rsidR="00FF384B" w:rsidRDefault="003E3BA9">
      <w:pPr>
        <w:spacing w:after="350"/>
        <w:ind w:left="1274"/>
      </w:pPr>
      <w:r>
        <w:rPr>
          <w:rFonts w:ascii="Arial" w:eastAsia="Arial" w:hAnsi="Arial" w:cs="Arial"/>
        </w:rPr>
        <w:t xml:space="preserve"> </w:t>
      </w:r>
    </w:p>
    <w:p w:rsidR="00FF384B" w:rsidRDefault="003E3BA9">
      <w:pPr>
        <w:spacing w:after="112" w:line="247" w:lineRule="auto"/>
        <w:ind w:left="989" w:right="244" w:hanging="10"/>
        <w:jc w:val="both"/>
      </w:pPr>
      <w:r>
        <w:rPr>
          <w:rFonts w:ascii="Arial" w:eastAsia="Arial" w:hAnsi="Arial" w:cs="Arial"/>
        </w:rPr>
        <w:t>Por ello, la que suscribe eleva la siguiente propuesta de resolución:</w:t>
      </w:r>
      <w:r>
        <w:rPr>
          <w:rFonts w:ascii="Arial" w:eastAsia="Arial" w:hAnsi="Arial" w:cs="Arial"/>
        </w:rPr>
        <w:t xml:space="preserve"> </w:t>
      </w:r>
    </w:p>
    <w:p w:rsidR="00FF384B" w:rsidRDefault="003E3BA9">
      <w:pPr>
        <w:spacing w:after="350"/>
        <w:ind w:left="1274"/>
      </w:pPr>
      <w:r>
        <w:rPr>
          <w:rFonts w:ascii="Arial" w:eastAsia="Arial" w:hAnsi="Arial" w:cs="Arial"/>
        </w:rPr>
        <w:t xml:space="preserve"> </w:t>
      </w:r>
    </w:p>
    <w:p w:rsidR="00FF384B" w:rsidRDefault="003E3BA9">
      <w:pPr>
        <w:pStyle w:val="Ttulo2"/>
        <w:spacing w:after="369"/>
        <w:ind w:left="767" w:right="478"/>
      </w:pPr>
      <w:r>
        <w:t xml:space="preserve">INFORME-PROPUESTA DE RESOLUCIÓN </w:t>
      </w:r>
    </w:p>
    <w:p w:rsidR="00FF384B" w:rsidRDefault="003E3BA9">
      <w:pPr>
        <w:spacing w:after="12" w:line="249" w:lineRule="auto"/>
        <w:ind w:left="10" w:right="245" w:hanging="10"/>
        <w:jc w:val="right"/>
      </w:pPr>
      <w:r>
        <w:rPr>
          <w:rFonts w:ascii="Arial" w:eastAsia="Arial" w:hAnsi="Arial" w:cs="Arial"/>
          <w:b/>
        </w:rPr>
        <w:t>PRIMERO.</w:t>
      </w:r>
      <w:r>
        <w:rPr>
          <w:rFonts w:ascii="Arial" w:eastAsia="Arial" w:hAnsi="Arial" w:cs="Arial"/>
        </w:rPr>
        <w:t xml:space="preserve"> Adjudicar a la empresa “ENDESA ENERGÍA,SAU”, con CIF nº </w:t>
      </w:r>
    </w:p>
    <w:p w:rsidR="00FF384B" w:rsidRDefault="003E3BA9">
      <w:pPr>
        <w:spacing w:after="131" w:line="247" w:lineRule="auto"/>
        <w:ind w:left="278" w:right="244" w:hanging="10"/>
        <w:jc w:val="both"/>
      </w:pPr>
      <w:r>
        <w:rPr>
          <w:rFonts w:ascii="Arial" w:eastAsia="Arial" w:hAnsi="Arial" w:cs="Arial"/>
        </w:rPr>
        <w:t xml:space="preserve">A81948077, la ejecución del contrato basado en el Acuerdo Marco para la contratación del suministro de electricidad en alta y baja tensión para la Central de Contratación de la Federación Española de Municipios y Provincias (FEMP) LOTE 7 (Islas Canarias), </w:t>
      </w:r>
      <w:r>
        <w:rPr>
          <w:rFonts w:ascii="Arial" w:eastAsia="Arial" w:hAnsi="Arial" w:cs="Arial"/>
        </w:rPr>
        <w:t>conforme al precio unitario ofertado del término de energía para todas y cada una de las tarifas previstas en el documento de invitación presentado,  por un importe económico para todas las anualidades de la contratación de 2.571.450,00 euros, más 193.150,</w:t>
      </w:r>
      <w:r>
        <w:rPr>
          <w:rFonts w:ascii="Arial" w:eastAsia="Arial" w:hAnsi="Arial" w:cs="Arial"/>
        </w:rPr>
        <w:t xml:space="preserve">00 euros en concepto de IGIC, y las que se detallan en los pliegos de cláusulas administrativas particulares y de prescripciones técnicas del Acuerdo Marco, y por un importe anual de 553.000,00 euros, más 38.710,00 euros. </w:t>
      </w:r>
    </w:p>
    <w:p w:rsidR="00FF384B" w:rsidRDefault="003E3BA9">
      <w:pPr>
        <w:spacing w:after="0"/>
        <w:ind w:left="991"/>
      </w:pPr>
      <w:r>
        <w:rPr>
          <w:rFonts w:ascii="Times New Roman" w:eastAsia="Times New Roman" w:hAnsi="Times New Roman" w:cs="Times New Roman"/>
          <w:b/>
          <w:sz w:val="24"/>
        </w:rPr>
        <w:t xml:space="preserve"> </w:t>
      </w:r>
    </w:p>
    <w:p w:rsidR="00FF384B" w:rsidRDefault="003E3BA9">
      <w:pPr>
        <w:spacing w:after="5" w:line="247" w:lineRule="auto"/>
        <w:ind w:left="268" w:right="244" w:firstLine="708"/>
        <w:jc w:val="both"/>
      </w:pPr>
      <w:r>
        <w:rPr>
          <w:noProof/>
        </w:rPr>
        <mc:AlternateContent>
          <mc:Choice Requires="wpg">
            <w:drawing>
              <wp:anchor distT="0" distB="0" distL="114300" distR="114300" simplePos="0" relativeHeight="25186201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11772" name="Group 51177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6147" name="Picture 36147"/>
                          <pic:cNvPicPr/>
                        </pic:nvPicPr>
                        <pic:blipFill>
                          <a:blip r:embed="rId62"/>
                          <a:stretch>
                            <a:fillRect/>
                          </a:stretch>
                        </pic:blipFill>
                        <pic:spPr>
                          <a:xfrm rot="-5399999">
                            <a:off x="-1720849" y="1720849"/>
                            <a:ext cx="3797300" cy="355601"/>
                          </a:xfrm>
                          <a:prstGeom prst="rect">
                            <a:avLst/>
                          </a:prstGeom>
                        </pic:spPr>
                      </pic:pic>
                      <wps:wsp>
                        <wps:cNvPr id="36148" name="Rectangle 3614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w:t>
                              </w:r>
                              <w:r>
                                <w:rPr>
                                  <w:rFonts w:ascii="Arial" w:eastAsia="Arial" w:hAnsi="Arial" w:cs="Arial"/>
                                  <w:sz w:val="12"/>
                                </w:rPr>
                                <w:t xml:space="preserve">Z53RMHD5RCHL7K | Verificación: https://candelaria.sedelectronica.es/ </w:t>
                              </w:r>
                            </w:p>
                          </w:txbxContent>
                        </wps:txbx>
                        <wps:bodyPr horzOverflow="overflow" vert="horz" lIns="0" tIns="0" rIns="0" bIns="0" rtlCol="0">
                          <a:noAutofit/>
                        </wps:bodyPr>
                      </wps:wsp>
                      <wps:wsp>
                        <wps:cNvPr id="36149" name="Rectangle 3614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772" style="width:41.2715pt;height:299pt;position:absolute;mso-position-horizontal-relative:page;mso-position-horizontal:absolute;margin-left:653.71pt;mso-position-vertical-relative:page;margin-top:512.92pt;" coordsize="5241,37973">
                <v:shape id="Picture 36147" style="position:absolute;width:37973;height:3556;left:-17208;top:17208;rotation:-89;" filled="f">
                  <v:imagedata r:id="rId63"/>
                </v:shape>
                <v:rect id="Rectangle 3614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614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198 de 353 </w:t>
                        </w:r>
                      </w:p>
                    </w:txbxContent>
                  </v:textbox>
                </v:rect>
                <w10:wrap type="topAndBottom"/>
              </v:group>
            </w:pict>
          </mc:Fallback>
        </mc:AlternateContent>
      </w:r>
      <w:r>
        <w:rPr>
          <w:rFonts w:ascii="Arial" w:eastAsia="Arial" w:hAnsi="Arial" w:cs="Arial"/>
          <w:b/>
        </w:rPr>
        <w:t>SEGUNDO.</w:t>
      </w:r>
      <w:r>
        <w:rPr>
          <w:rFonts w:ascii="Arial" w:eastAsia="Arial" w:hAnsi="Arial" w:cs="Arial"/>
        </w:rPr>
        <w:t xml:space="preserve">  Aprobar el gasto por importe de 2.764.600,00 euros para la totalidad de la adju</w:t>
      </w:r>
      <w:r>
        <w:rPr>
          <w:rFonts w:ascii="Arial" w:eastAsia="Arial" w:hAnsi="Arial" w:cs="Arial"/>
        </w:rPr>
        <w:t>dicación con cargo a las aplicaciones presupuestarias 92000.22100 y 16500.22100, con el siguiente desglose por anualidades:</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rPr>
        <w:t xml:space="preserve"> </w:t>
      </w:r>
    </w:p>
    <w:tbl>
      <w:tblPr>
        <w:tblStyle w:val="TableGrid"/>
        <w:tblW w:w="8495" w:type="dxa"/>
        <w:tblInd w:w="288" w:type="dxa"/>
        <w:tblCellMar>
          <w:top w:w="7" w:type="dxa"/>
          <w:left w:w="156" w:type="dxa"/>
          <w:bottom w:w="0" w:type="dxa"/>
          <w:right w:w="95" w:type="dxa"/>
        </w:tblCellMar>
        <w:tblLook w:val="04A0" w:firstRow="1" w:lastRow="0" w:firstColumn="1" w:lastColumn="0" w:noHBand="0" w:noVBand="1"/>
      </w:tblPr>
      <w:tblGrid>
        <w:gridCol w:w="1375"/>
        <w:gridCol w:w="1685"/>
        <w:gridCol w:w="3291"/>
        <w:gridCol w:w="2144"/>
      </w:tblGrid>
      <w:tr w:rsidR="00FF384B">
        <w:trPr>
          <w:trHeight w:val="384"/>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Anualidad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b/>
              </w:rPr>
              <w:t xml:space="preserve">D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b/>
              </w:rPr>
              <w:t xml:space="preserve">Aplicación Presupuestaria </w:t>
            </w:r>
          </w:p>
        </w:tc>
        <w:tc>
          <w:tcPr>
            <w:tcW w:w="2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Importe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2021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2.21.0.02842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400.000,00 € </w:t>
            </w:r>
          </w:p>
        </w:tc>
      </w:tr>
      <w:tr w:rsidR="00FF384B">
        <w:trPr>
          <w:trHeight w:val="757"/>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2022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2.21.2.02843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2023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2.21.2.02844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2024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2.21.2.02845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2025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2.21.2.02846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2026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2.21.2.02849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98"/>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153.000,00 € </w:t>
            </w:r>
          </w:p>
        </w:tc>
      </w:tr>
    </w:tbl>
    <w:p w:rsidR="00FF384B" w:rsidRDefault="003E3BA9">
      <w:pPr>
        <w:spacing w:after="0"/>
        <w:ind w:left="991"/>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341" w:lineRule="auto"/>
        <w:ind w:left="268" w:right="244" w:firstLine="708"/>
        <w:jc w:val="both"/>
      </w:pPr>
      <w:r>
        <w:rPr>
          <w:rFonts w:ascii="Arial" w:eastAsia="Arial" w:hAnsi="Arial" w:cs="Arial"/>
          <w:b/>
        </w:rPr>
        <w:t>TERCERO.</w:t>
      </w:r>
      <w:r>
        <w:rPr>
          <w:rFonts w:ascii="Arial" w:eastAsia="Arial" w:hAnsi="Arial" w:cs="Arial"/>
        </w:rPr>
        <w:t xml:space="preserve"> </w:t>
      </w:r>
      <w:r>
        <w:rPr>
          <w:rFonts w:ascii="Arial" w:eastAsia="Arial" w:hAnsi="Arial" w:cs="Arial"/>
        </w:rPr>
        <w:t>Publicar anuncio de adjudicación en la Plataforma de Contratación del Estado, dentro de los treinta días siguientes al fin del trimestre.</w:t>
      </w:r>
      <w:r>
        <w:rPr>
          <w:rFonts w:ascii="Times New Roman" w:eastAsia="Times New Roman" w:hAnsi="Times New Roman" w:cs="Times New Roman"/>
          <w:sz w:val="24"/>
        </w:rPr>
        <w:t xml:space="preserve"> </w:t>
      </w:r>
    </w:p>
    <w:p w:rsidR="00FF384B" w:rsidRDefault="003E3BA9">
      <w:pPr>
        <w:spacing w:after="107"/>
        <w:ind w:left="991"/>
      </w:pPr>
      <w:r>
        <w:rPr>
          <w:rFonts w:ascii="Arial" w:eastAsia="Arial" w:hAnsi="Arial" w:cs="Arial"/>
          <w:b/>
        </w:rPr>
        <w:t xml:space="preserve"> </w:t>
      </w:r>
    </w:p>
    <w:p w:rsidR="00FF384B" w:rsidRDefault="003E3BA9">
      <w:pPr>
        <w:spacing w:after="5" w:line="350" w:lineRule="auto"/>
        <w:ind w:left="268" w:right="244" w:firstLine="708"/>
        <w:jc w:val="both"/>
      </w:pPr>
      <w:r>
        <w:rPr>
          <w:rFonts w:ascii="Arial" w:eastAsia="Arial" w:hAnsi="Arial" w:cs="Arial"/>
          <w:b/>
        </w:rPr>
        <w:t>CUARTO.</w:t>
      </w:r>
      <w:r>
        <w:rPr>
          <w:rFonts w:ascii="Arial" w:eastAsia="Arial" w:hAnsi="Arial" w:cs="Arial"/>
        </w:rPr>
        <w:t xml:space="preserve"> Designar </w:t>
      </w:r>
      <w:r>
        <w:rPr>
          <w:rFonts w:ascii="Arial" w:eastAsia="Arial" w:hAnsi="Arial" w:cs="Arial"/>
        </w:rPr>
        <w:t>como responsables de la ejecución del contrato al empleado municipal Javier González Gómez, según Acuerdo del Ayuntamiento Pleno de fecha 25 de febrero de 2021.</w:t>
      </w:r>
      <w:r>
        <w:rPr>
          <w:rFonts w:ascii="Times New Roman" w:eastAsia="Times New Roman" w:hAnsi="Times New Roman" w:cs="Times New Roman"/>
          <w:sz w:val="24"/>
        </w:rPr>
        <w:t xml:space="preserve"> </w:t>
      </w:r>
    </w:p>
    <w:p w:rsidR="00FF384B" w:rsidRDefault="003E3BA9">
      <w:pPr>
        <w:spacing w:after="196"/>
        <w:ind w:left="991"/>
      </w:pPr>
      <w:r>
        <w:rPr>
          <w:rFonts w:ascii="Times New Roman" w:eastAsia="Times New Roman" w:hAnsi="Times New Roman" w:cs="Times New Roman"/>
          <w:sz w:val="24"/>
        </w:rPr>
        <w:t xml:space="preserve"> </w:t>
      </w:r>
    </w:p>
    <w:p w:rsidR="00FF384B" w:rsidRDefault="003E3BA9">
      <w:pPr>
        <w:spacing w:after="101" w:line="239" w:lineRule="auto"/>
        <w:ind w:left="268" w:right="162" w:firstLine="696"/>
      </w:pPr>
      <w:r>
        <w:rPr>
          <w:rFonts w:ascii="Arial" w:eastAsia="Arial" w:hAnsi="Arial" w:cs="Arial"/>
          <w:b/>
        </w:rPr>
        <w:t>QUINTO.</w:t>
      </w:r>
      <w:r>
        <w:rPr>
          <w:rFonts w:ascii="Arial" w:eastAsia="Arial" w:hAnsi="Arial" w:cs="Arial"/>
        </w:rPr>
        <w:t xml:space="preserve"> Notificar a la empresa adjudicataria del contrato por la sede electrónica municipal </w:t>
      </w:r>
      <w:r>
        <w:rPr>
          <w:rFonts w:ascii="Arial" w:eastAsia="Arial" w:hAnsi="Arial" w:cs="Arial"/>
        </w:rPr>
        <w:t>y por la plataforma informática de la Central de Contratación de la FEMP, perfeccionándose el presente Contrato Basado con su adjudicación.</w:t>
      </w:r>
      <w:r>
        <w:rPr>
          <w:rFonts w:ascii="Times New Roman" w:eastAsia="Times New Roman" w:hAnsi="Times New Roman" w:cs="Times New Roman"/>
          <w:sz w:val="24"/>
        </w:rPr>
        <w:t xml:space="preserve"> </w:t>
      </w:r>
    </w:p>
    <w:p w:rsidR="00FF384B" w:rsidRDefault="003E3BA9">
      <w:pPr>
        <w:spacing w:after="98"/>
        <w:ind w:left="979"/>
      </w:pPr>
      <w:r>
        <w:rPr>
          <w:rFonts w:ascii="Arial" w:eastAsia="Arial" w:hAnsi="Arial" w:cs="Arial"/>
        </w:rPr>
        <w:t xml:space="preserve"> </w:t>
      </w:r>
    </w:p>
    <w:p w:rsidR="00FF384B" w:rsidRDefault="003E3BA9">
      <w:pPr>
        <w:spacing w:after="115" w:line="247" w:lineRule="auto"/>
        <w:ind w:left="268" w:right="244" w:firstLine="696"/>
        <w:jc w:val="both"/>
      </w:pPr>
      <w:r>
        <w:rPr>
          <w:rFonts w:ascii="Arial" w:eastAsia="Arial" w:hAnsi="Arial" w:cs="Arial"/>
          <w:b/>
        </w:rPr>
        <w:t>SEXTO.</w:t>
      </w:r>
      <w:r>
        <w:rPr>
          <w:rFonts w:ascii="Arial" w:eastAsia="Arial" w:hAnsi="Arial" w:cs="Arial"/>
        </w:rPr>
        <w:t xml:space="preserve"> Notificar al resto de licitadores por la sede electrónica municipal y por la plataforma informática de la </w:t>
      </w:r>
      <w:r>
        <w:rPr>
          <w:rFonts w:ascii="Arial" w:eastAsia="Arial" w:hAnsi="Arial" w:cs="Arial"/>
        </w:rPr>
        <w:t xml:space="preserve">Central de Contratación de la FEMP.” </w:t>
      </w:r>
    </w:p>
    <w:p w:rsidR="00FF384B" w:rsidRDefault="003E3BA9">
      <w:pPr>
        <w:spacing w:after="98"/>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15" w:line="247" w:lineRule="auto"/>
        <w:ind w:left="286" w:hanging="3"/>
        <w:jc w:val="both"/>
      </w:pPr>
      <w:r>
        <w:rPr>
          <w:noProof/>
        </w:rPr>
        <mc:AlternateContent>
          <mc:Choice Requires="wpg">
            <w:drawing>
              <wp:anchor distT="0" distB="0" distL="114300" distR="114300" simplePos="0" relativeHeight="2518630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1141" name="Group 48114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6267" name="Picture 36267"/>
                          <pic:cNvPicPr/>
                        </pic:nvPicPr>
                        <pic:blipFill>
                          <a:blip r:embed="rId62"/>
                          <a:stretch>
                            <a:fillRect/>
                          </a:stretch>
                        </pic:blipFill>
                        <pic:spPr>
                          <a:xfrm rot="-5399999">
                            <a:off x="-1720849" y="1720849"/>
                            <a:ext cx="3797300" cy="355601"/>
                          </a:xfrm>
                          <a:prstGeom prst="rect">
                            <a:avLst/>
                          </a:prstGeom>
                        </pic:spPr>
                      </pic:pic>
                      <wps:wsp>
                        <wps:cNvPr id="36268" name="Rectangle 3626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6269" name="Rectangle 3626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199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141" style="width:41.2715pt;height:299pt;position:absolute;mso-position-horizontal-relative:page;mso-position-horizontal:absolute;margin-left:653.71pt;mso-position-vertical-relative:page;margin-top:512.92pt;" coordsize="5241,37973">
                <v:shape id="Picture 36267" style="position:absolute;width:37973;height:3556;left:-17208;top:17208;rotation:-89;" filled="f">
                  <v:imagedata r:id="rId63"/>
                </v:shape>
                <v:rect id="Rectangle 3626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626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199 de 353 </w:t>
                        </w:r>
                      </w:p>
                    </w:txbxContent>
                  </v:textbox>
                </v:rect>
                <w10:wrap type="square"/>
              </v:group>
            </w:pict>
          </mc:Fallback>
        </mc:AlternateContent>
      </w:r>
      <w:r>
        <w:rPr>
          <w:rFonts w:ascii="Arial" w:eastAsia="Arial" w:hAnsi="Arial" w:cs="Arial"/>
          <w:b/>
        </w:rPr>
        <w:t xml:space="preserve">Consta en el expediente propuesta de la Alcaldesa-Presidenta, de fecha 21 de abril de 2021, cuyo tenor literal es el siguiente: </w:t>
      </w:r>
    </w:p>
    <w:p w:rsidR="00FF384B" w:rsidRDefault="003E3BA9">
      <w:pPr>
        <w:spacing w:after="2" w:line="236" w:lineRule="auto"/>
        <w:ind w:left="283" w:right="8698"/>
      </w:pPr>
      <w:r>
        <w:rPr>
          <w:rFonts w:ascii="Arial" w:eastAsia="Arial" w:hAnsi="Arial" w:cs="Arial"/>
          <w:b/>
        </w:rPr>
        <w:t xml:space="preserve"> </w:t>
      </w:r>
      <w:r>
        <w:rPr>
          <w:rFonts w:ascii="Times New Roman" w:eastAsia="Times New Roman" w:hAnsi="Times New Roman" w:cs="Times New Roman"/>
          <w:b/>
          <w:sz w:val="24"/>
        </w:rPr>
        <w:t xml:space="preserve"> </w:t>
      </w:r>
    </w:p>
    <w:p w:rsidR="00FF384B" w:rsidRDefault="003E3BA9">
      <w:pPr>
        <w:spacing w:after="0"/>
        <w:ind w:left="283"/>
      </w:pPr>
      <w:r>
        <w:rPr>
          <w:rFonts w:ascii="Times New Roman" w:eastAsia="Times New Roman" w:hAnsi="Times New Roman" w:cs="Times New Roman"/>
          <w:b/>
          <w:sz w:val="24"/>
        </w:rPr>
        <w:t xml:space="preserve"> </w:t>
      </w:r>
    </w:p>
    <w:p w:rsidR="00FF384B" w:rsidRDefault="003E3BA9">
      <w:pPr>
        <w:spacing w:after="5" w:line="247" w:lineRule="auto"/>
        <w:ind w:left="278" w:right="244" w:hanging="10"/>
        <w:jc w:val="both"/>
      </w:pPr>
      <w:r>
        <w:rPr>
          <w:rFonts w:ascii="Arial" w:eastAsia="Arial" w:hAnsi="Arial" w:cs="Arial"/>
        </w:rPr>
        <w:t xml:space="preserve">      La que suscribe, Alcaldesa-</w:t>
      </w:r>
      <w:r>
        <w:rPr>
          <w:rFonts w:ascii="Arial" w:eastAsia="Arial" w:hAnsi="Arial" w:cs="Arial"/>
        </w:rPr>
        <w:t>Presidenta del Ayuntamiento de la Villa de Candelaria, al amparo de lo dispuesto en el Reglamento de Organización, Funcionamiento y Régimen Jurídico de las Entidades Locales, así como en la Ley 7/1985, de 2 de abril, Reguladora de las Bases de Régimen Loca</w:t>
      </w:r>
      <w:r>
        <w:rPr>
          <w:rFonts w:ascii="Arial" w:eastAsia="Arial" w:hAnsi="Arial" w:cs="Arial"/>
        </w:rPr>
        <w:t xml:space="preserve">l, tienen el honor de someter a la consideración del Ayuntamiento Pleno la siguiente propuesta: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      Visto el informe jurídico de la Técnico de la Administración General, conformado por el Secretario General y fiscalizado por el Interventor Municipal,</w:t>
      </w:r>
      <w:r>
        <w:rPr>
          <w:rFonts w:ascii="Arial" w:eastAsia="Arial" w:hAnsi="Arial" w:cs="Arial"/>
        </w:rPr>
        <w:t xml:space="preserve"> que transcrito literalmente dice: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278" w:right="244" w:hanging="10"/>
        <w:jc w:val="both"/>
      </w:pPr>
      <w:r>
        <w:rPr>
          <w:rFonts w:ascii="Arial" w:eastAsia="Arial" w:hAnsi="Arial" w:cs="Arial"/>
          <w:i/>
        </w:rPr>
        <w:t>“Visto el expediente antedicho, la funcionaria Mª del Pilar Chico Delgado, que desempeña el puesto de trabajo de técnico de adm.gral., conformado por el Secretario General, debidamente fiscalizado favorablemente por e</w:t>
      </w:r>
      <w:r>
        <w:rPr>
          <w:rFonts w:ascii="Arial" w:eastAsia="Arial" w:hAnsi="Arial" w:cs="Arial"/>
          <w:i/>
        </w:rPr>
        <w:t>l Interventor Municipal, emite el siguiente informe:</w:t>
      </w:r>
      <w:r>
        <w:rPr>
          <w:rFonts w:ascii="Times New Roman" w:eastAsia="Times New Roman" w:hAnsi="Times New Roman" w:cs="Times New Roman"/>
          <w:sz w:val="24"/>
        </w:rPr>
        <w:t xml:space="preserve"> </w:t>
      </w:r>
    </w:p>
    <w:p w:rsidR="00FF384B" w:rsidRDefault="003E3BA9">
      <w:pPr>
        <w:spacing w:after="100"/>
        <w:ind w:left="283"/>
      </w:pPr>
      <w:r>
        <w:rPr>
          <w:rFonts w:ascii="Arial" w:eastAsia="Arial" w:hAnsi="Arial" w:cs="Arial"/>
          <w:i/>
        </w:rPr>
        <w:t xml:space="preserve"> </w:t>
      </w:r>
    </w:p>
    <w:p w:rsidR="00FF384B" w:rsidRDefault="003E3BA9">
      <w:pPr>
        <w:spacing w:after="98"/>
        <w:ind w:left="283"/>
      </w:pPr>
      <w:r>
        <w:rPr>
          <w:rFonts w:ascii="Arial" w:eastAsia="Arial" w:hAnsi="Arial" w:cs="Arial"/>
        </w:rPr>
        <w:t xml:space="preserve"> </w:t>
      </w:r>
    </w:p>
    <w:p w:rsidR="00FF384B" w:rsidRDefault="003E3BA9">
      <w:pPr>
        <w:spacing w:after="4" w:line="247" w:lineRule="auto"/>
        <w:ind w:left="268" w:right="244" w:firstLine="696"/>
        <w:jc w:val="both"/>
      </w:pPr>
      <w:r>
        <w:rPr>
          <w:rFonts w:ascii="Arial" w:eastAsia="Arial" w:hAnsi="Arial" w:cs="Arial"/>
          <w:i/>
        </w:rPr>
        <w:t xml:space="preserve">Visto que mediante Acuerdo del Ayuntamiento Pleno de fecha 25 de febrero de 2021, se aprueba el expediente de contratación del contrato basado en el Acuerdo </w:t>
      </w:r>
    </w:p>
    <w:p w:rsidR="00FF384B" w:rsidRDefault="003E3BA9">
      <w:pPr>
        <w:spacing w:after="112" w:line="246" w:lineRule="auto"/>
        <w:ind w:left="278" w:right="222" w:hanging="10"/>
      </w:pPr>
      <w:r>
        <w:rPr>
          <w:rFonts w:ascii="Arial" w:eastAsia="Arial" w:hAnsi="Arial" w:cs="Arial"/>
          <w:i/>
        </w:rPr>
        <w:t>Marco para la contratación del suministr</w:t>
      </w:r>
      <w:r>
        <w:rPr>
          <w:rFonts w:ascii="Arial" w:eastAsia="Arial" w:hAnsi="Arial" w:cs="Arial"/>
          <w:i/>
        </w:rPr>
        <w:t>o de electricidad en alta y baja tensión para la Central de Contratación de la Federación Española de Municipios y Provincias (FEMP) LOTE 7 (Islas Canarias), de acuerdo a los Pliegos de cláusulas administrativas particulares y de prescripciones técnicas qu</w:t>
      </w:r>
      <w:r>
        <w:rPr>
          <w:rFonts w:ascii="Arial" w:eastAsia="Arial" w:hAnsi="Arial" w:cs="Arial"/>
          <w:i/>
        </w:rPr>
        <w:t xml:space="preserve">e rigen el Acuerdo Marco. </w:t>
      </w:r>
    </w:p>
    <w:p w:rsidR="00FF384B" w:rsidRDefault="003E3BA9">
      <w:pPr>
        <w:spacing w:after="100"/>
        <w:ind w:left="979"/>
      </w:pPr>
      <w:r>
        <w:rPr>
          <w:rFonts w:ascii="Arial" w:eastAsia="Arial" w:hAnsi="Arial" w:cs="Arial"/>
        </w:rPr>
        <w:t xml:space="preserve"> </w:t>
      </w:r>
    </w:p>
    <w:p w:rsidR="00FF384B" w:rsidRDefault="003E3BA9">
      <w:pPr>
        <w:spacing w:after="113" w:line="247" w:lineRule="auto"/>
        <w:ind w:left="268" w:right="244" w:firstLine="696"/>
        <w:jc w:val="both"/>
      </w:pPr>
      <w:r>
        <w:rPr>
          <w:rFonts w:ascii="Arial" w:eastAsia="Arial" w:hAnsi="Arial" w:cs="Arial"/>
          <w:i/>
        </w:rPr>
        <w:t xml:space="preserve">Visto el acta de la Mesa de Contratación de fecha 23 de marzo de 2021, de apertura de las ofertas económicas presentadas, del siguiente tenor literal: </w:t>
      </w:r>
    </w:p>
    <w:p w:rsidR="00FF384B" w:rsidRDefault="003E3BA9">
      <w:pPr>
        <w:spacing w:after="100"/>
        <w:ind w:left="979"/>
      </w:pPr>
      <w:r>
        <w:rPr>
          <w:rFonts w:ascii="Arial" w:eastAsia="Arial" w:hAnsi="Arial" w:cs="Arial"/>
        </w:rPr>
        <w:t xml:space="preserve"> </w:t>
      </w:r>
    </w:p>
    <w:p w:rsidR="00FF384B" w:rsidRDefault="003E3BA9">
      <w:pPr>
        <w:spacing w:after="13" w:line="247" w:lineRule="auto"/>
        <w:ind w:left="374" w:right="239"/>
        <w:jc w:val="both"/>
      </w:pPr>
      <w:r>
        <w:rPr>
          <w:rFonts w:ascii="Arial" w:eastAsia="Arial" w:hAnsi="Arial" w:cs="Arial"/>
          <w:b/>
          <w:i/>
        </w:rPr>
        <w:t xml:space="preserve">“ACTA DE APERTURA DE OFERTAS PRESENTADAS PARA LA LICITACIÓN DEL CONTRATO BASADO EN EL ACUERDO MARCO PARA LA CONTRATACIÓN DEL </w:t>
      </w:r>
    </w:p>
    <w:p w:rsidR="00FF384B" w:rsidRDefault="003E3BA9">
      <w:pPr>
        <w:spacing w:after="13" w:line="247" w:lineRule="auto"/>
        <w:ind w:left="389" w:right="239"/>
        <w:jc w:val="both"/>
      </w:pPr>
      <w:r>
        <w:rPr>
          <w:rFonts w:ascii="Arial" w:eastAsia="Arial" w:hAnsi="Arial" w:cs="Arial"/>
          <w:b/>
          <w:i/>
        </w:rPr>
        <w:t xml:space="preserve">SUMINISTRO DE ELECTRICIDAD EN ALTA Y BAJA TENSIÓN POR LA CENTRAL </w:t>
      </w:r>
    </w:p>
    <w:p w:rsidR="00FF384B" w:rsidRDefault="003E3BA9">
      <w:pPr>
        <w:pStyle w:val="Ttulo3"/>
        <w:shd w:val="clear" w:color="auto" w:fill="auto"/>
        <w:spacing w:after="108" w:line="249" w:lineRule="auto"/>
        <w:ind w:left="427" w:right="392"/>
      </w:pPr>
      <w:r>
        <w:t xml:space="preserve">DE CONTRATACIÓN DE LA FEMP (LOTE 7) </w:t>
      </w:r>
    </w:p>
    <w:p w:rsidR="00FF384B" w:rsidRDefault="003E3BA9">
      <w:pPr>
        <w:spacing w:after="122"/>
        <w:ind w:left="283"/>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p>
    <w:p w:rsidR="00FF384B" w:rsidRDefault="003E3BA9">
      <w:pPr>
        <w:spacing w:after="226" w:line="249" w:lineRule="auto"/>
        <w:ind w:left="278" w:hanging="10"/>
      </w:pPr>
      <w:r>
        <w:rPr>
          <w:rFonts w:ascii="Arial" w:eastAsia="Arial" w:hAnsi="Arial" w:cs="Arial"/>
          <w:b/>
          <w:i/>
          <w:u w:val="single" w:color="000000"/>
        </w:rPr>
        <w:t>Asistentes:</w:t>
      </w:r>
      <w:r>
        <w:rPr>
          <w:rFonts w:ascii="Arial" w:eastAsia="Arial" w:hAnsi="Arial" w:cs="Arial"/>
          <w:sz w:val="24"/>
        </w:rPr>
        <w:t xml:space="preserve"> </w:t>
      </w:r>
    </w:p>
    <w:p w:rsidR="00FF384B" w:rsidRDefault="003E3BA9">
      <w:pPr>
        <w:spacing w:after="5" w:line="249" w:lineRule="auto"/>
        <w:ind w:left="278" w:hanging="10"/>
      </w:pPr>
      <w:r>
        <w:rPr>
          <w:rFonts w:ascii="Arial" w:eastAsia="Arial" w:hAnsi="Arial" w:cs="Arial"/>
          <w:b/>
          <w:i/>
          <w:u w:val="single" w:color="000000"/>
        </w:rPr>
        <w:t>Presidenta</w:t>
      </w:r>
      <w:r>
        <w:rPr>
          <w:rFonts w:ascii="Arial" w:eastAsia="Arial" w:hAnsi="Arial" w:cs="Arial"/>
          <w:b/>
          <w:i/>
        </w:rPr>
        <w:t>:</w:t>
      </w:r>
      <w:r>
        <w:rPr>
          <w:rFonts w:ascii="Arial" w:eastAsia="Arial" w:hAnsi="Arial" w:cs="Arial"/>
          <w:sz w:val="24"/>
        </w:rPr>
        <w:t xml:space="preserve"> </w:t>
      </w:r>
    </w:p>
    <w:p w:rsidR="00FF384B" w:rsidRDefault="003E3BA9">
      <w:pPr>
        <w:spacing w:after="4" w:line="247" w:lineRule="auto"/>
        <w:ind w:left="278" w:right="244" w:hanging="10"/>
        <w:jc w:val="both"/>
      </w:pPr>
      <w:r>
        <w:rPr>
          <w:rFonts w:ascii="Arial" w:eastAsia="Arial" w:hAnsi="Arial" w:cs="Arial"/>
          <w:i/>
        </w:rPr>
        <w:t xml:space="preserve">Dña. María Concepción Brito Núñez. </w:t>
      </w:r>
    </w:p>
    <w:p w:rsidR="00FF384B" w:rsidRDefault="003E3BA9">
      <w:pPr>
        <w:spacing w:after="5" w:line="249" w:lineRule="auto"/>
        <w:ind w:left="278" w:hanging="10"/>
      </w:pPr>
      <w:r>
        <w:rPr>
          <w:rFonts w:ascii="Arial" w:eastAsia="Arial" w:hAnsi="Arial" w:cs="Arial"/>
          <w:b/>
          <w:i/>
          <w:u w:val="single" w:color="000000"/>
        </w:rPr>
        <w:t>Vocales</w:t>
      </w:r>
      <w:r>
        <w:rPr>
          <w:rFonts w:ascii="Arial" w:eastAsia="Arial" w:hAnsi="Arial" w:cs="Arial"/>
          <w:b/>
          <w:i/>
        </w:rPr>
        <w:t>:</w:t>
      </w:r>
      <w:r>
        <w:rPr>
          <w:rFonts w:ascii="Arial" w:eastAsia="Arial" w:hAnsi="Arial" w:cs="Arial"/>
          <w:sz w:val="24"/>
        </w:rPr>
        <w:t xml:space="preserve"> </w:t>
      </w:r>
    </w:p>
    <w:p w:rsidR="00FF384B" w:rsidRDefault="003E3BA9">
      <w:pPr>
        <w:spacing w:after="4" w:line="247" w:lineRule="auto"/>
        <w:ind w:left="278" w:right="244" w:hanging="10"/>
        <w:jc w:val="both"/>
      </w:pPr>
      <w:r>
        <w:rPr>
          <w:rFonts w:ascii="Arial" w:eastAsia="Arial" w:hAnsi="Arial" w:cs="Arial"/>
          <w:i/>
        </w:rPr>
        <w:t xml:space="preserve">D. José Francisco Pinto Ramos  </w:t>
      </w:r>
    </w:p>
    <w:p w:rsidR="00FF384B" w:rsidRDefault="003E3BA9">
      <w:pPr>
        <w:spacing w:after="4" w:line="247" w:lineRule="auto"/>
        <w:ind w:left="278" w:right="244" w:hanging="10"/>
        <w:jc w:val="both"/>
      </w:pPr>
      <w:r>
        <w:rPr>
          <w:rFonts w:ascii="Arial" w:eastAsia="Arial" w:hAnsi="Arial" w:cs="Arial"/>
          <w:i/>
        </w:rPr>
        <w:t xml:space="preserve">D. Octavio Manuel Fernández Hernández  </w:t>
      </w:r>
    </w:p>
    <w:p w:rsidR="00FF384B" w:rsidRDefault="003E3BA9">
      <w:pPr>
        <w:spacing w:after="3" w:line="246" w:lineRule="auto"/>
        <w:ind w:left="278" w:right="5730" w:hanging="10"/>
      </w:pPr>
      <w:r>
        <w:rPr>
          <w:noProof/>
        </w:rPr>
        <mc:AlternateContent>
          <mc:Choice Requires="wpg">
            <w:drawing>
              <wp:anchor distT="0" distB="0" distL="114300" distR="114300" simplePos="0" relativeHeight="2518640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1469" name="Group 48146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6378" name="Picture 36378"/>
                          <pic:cNvPicPr/>
                        </pic:nvPicPr>
                        <pic:blipFill>
                          <a:blip r:embed="rId62"/>
                          <a:stretch>
                            <a:fillRect/>
                          </a:stretch>
                        </pic:blipFill>
                        <pic:spPr>
                          <a:xfrm rot="-5399999">
                            <a:off x="-1720849" y="1720849"/>
                            <a:ext cx="3797300" cy="355601"/>
                          </a:xfrm>
                          <a:prstGeom prst="rect">
                            <a:avLst/>
                          </a:prstGeom>
                        </pic:spPr>
                      </pic:pic>
                      <wps:wsp>
                        <wps:cNvPr id="36379" name="Rectangle 3637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6380" name="Rectangle 3638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469" style="width:41.2715pt;height:299pt;position:absolute;mso-position-horizontal-relative:page;mso-position-horizontal:absolute;margin-left:653.71pt;mso-position-vertical-relative:page;margin-top:512.92pt;" coordsize="5241,37973">
                <v:shape id="Picture 36378" style="position:absolute;width:37973;height:3556;left:-17208;top:17208;rotation:-89;" filled="f">
                  <v:imagedata r:id="rId63"/>
                </v:shape>
                <v:rect id="Rectangle 3637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638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200 de 353 </w:t>
                        </w:r>
                      </w:p>
                    </w:txbxContent>
                  </v:textbox>
                </v:rect>
                <w10:wrap type="square"/>
              </v:group>
            </w:pict>
          </mc:Fallback>
        </mc:AlternateContent>
      </w:r>
      <w:r>
        <w:rPr>
          <w:rFonts w:ascii="Arial" w:eastAsia="Arial" w:hAnsi="Arial" w:cs="Arial"/>
          <w:i/>
        </w:rPr>
        <w:t xml:space="preserve">D. Nicolás Rojo Garnica Dª. Noemí del Castillo Delgado </w:t>
      </w:r>
      <w:r>
        <w:rPr>
          <w:rFonts w:ascii="Arial" w:eastAsia="Arial" w:hAnsi="Arial" w:cs="Arial"/>
          <w:b/>
          <w:i/>
          <w:u w:val="single" w:color="000000"/>
        </w:rPr>
        <w:t>Secretaria</w:t>
      </w:r>
      <w:r>
        <w:rPr>
          <w:rFonts w:ascii="Arial" w:eastAsia="Arial" w:hAnsi="Arial" w:cs="Arial"/>
          <w:b/>
          <w:i/>
        </w:rPr>
        <w:t>:</w:t>
      </w:r>
      <w:r>
        <w:rPr>
          <w:rFonts w:ascii="Arial" w:eastAsia="Arial" w:hAnsi="Arial" w:cs="Arial"/>
          <w:sz w:val="24"/>
        </w:rPr>
        <w:t xml:space="preserve"> </w:t>
      </w:r>
    </w:p>
    <w:p w:rsidR="00FF384B" w:rsidRDefault="003E3BA9">
      <w:pPr>
        <w:spacing w:after="111" w:line="247" w:lineRule="auto"/>
        <w:ind w:left="278" w:right="5478" w:hanging="10"/>
        <w:jc w:val="both"/>
      </w:pPr>
      <w:r>
        <w:rPr>
          <w:rFonts w:ascii="Arial" w:eastAsia="Arial" w:hAnsi="Arial" w:cs="Arial"/>
          <w:i/>
        </w:rPr>
        <w:t xml:space="preserve">Dª Mª del Pilar Chico Delgado </w:t>
      </w:r>
      <w:r>
        <w:rPr>
          <w:rFonts w:ascii="Arial" w:eastAsia="Arial" w:hAnsi="Arial" w:cs="Arial"/>
          <w:b/>
          <w:i/>
          <w:u w:val="single" w:color="000000"/>
        </w:rPr>
        <w:t>No asistentes:</w:t>
      </w:r>
      <w:r>
        <w:rPr>
          <w:rFonts w:ascii="Arial" w:eastAsia="Arial" w:hAnsi="Arial" w:cs="Arial"/>
          <w:b/>
          <w:i/>
        </w:rPr>
        <w:t xml:space="preserve"> </w:t>
      </w:r>
    </w:p>
    <w:p w:rsidR="00FF384B" w:rsidRDefault="003E3BA9">
      <w:pPr>
        <w:spacing w:after="98"/>
        <w:ind w:left="283"/>
      </w:pPr>
      <w:r>
        <w:rPr>
          <w:rFonts w:ascii="Arial" w:eastAsia="Arial" w:hAnsi="Arial" w:cs="Arial"/>
          <w:b/>
          <w:i/>
        </w:rPr>
        <w:t xml:space="preserve"> </w:t>
      </w:r>
    </w:p>
    <w:p w:rsidR="00FF384B" w:rsidRDefault="003E3BA9">
      <w:pPr>
        <w:spacing w:after="112" w:line="247" w:lineRule="auto"/>
        <w:ind w:left="278" w:right="244" w:hanging="10"/>
        <w:jc w:val="both"/>
      </w:pPr>
      <w:r>
        <w:rPr>
          <w:rFonts w:ascii="Arial" w:eastAsia="Arial" w:hAnsi="Arial" w:cs="Arial"/>
          <w:i/>
        </w:rPr>
        <w:t xml:space="preserve"> En Candelaria, a 23 de marzo de 2021, siendo</w:t>
      </w:r>
      <w:r>
        <w:rPr>
          <w:rFonts w:ascii="Arial" w:eastAsia="Arial" w:hAnsi="Arial" w:cs="Arial"/>
          <w:i/>
        </w:rPr>
        <w:t xml:space="preserve"> las nueve horas y diez minutos, se constituye en la Sala de Reuniones de la Casa Consistorial la Mesa de Contratación designada para el procedimiento de contratación del contrato basado en el acuerdo marco para la contratación del suministro de electricid</w:t>
      </w:r>
      <w:r>
        <w:rPr>
          <w:rFonts w:ascii="Arial" w:eastAsia="Arial" w:hAnsi="Arial" w:cs="Arial"/>
          <w:i/>
        </w:rPr>
        <w:t xml:space="preserve">ad en alta y baja tensión para la Central de Contratación de la FEMP (lote 7), a los efectos de apertura de las ofertas presentadas a través de la aplicación informática de la Central de Contratación de la FEMP.. </w:t>
      </w:r>
    </w:p>
    <w:p w:rsidR="00FF384B" w:rsidRDefault="003E3BA9">
      <w:pPr>
        <w:spacing w:after="128" w:line="247" w:lineRule="auto"/>
        <w:ind w:left="278" w:right="244" w:hanging="10"/>
        <w:jc w:val="both"/>
      </w:pPr>
      <w:r>
        <w:rPr>
          <w:rFonts w:ascii="Arial" w:eastAsia="Arial" w:hAnsi="Arial" w:cs="Arial"/>
          <w:i/>
        </w:rPr>
        <w:t xml:space="preserve"> </w:t>
      </w:r>
      <w:r>
        <w:rPr>
          <w:rFonts w:ascii="Arial" w:eastAsia="Arial" w:hAnsi="Arial" w:cs="Arial"/>
          <w:i/>
        </w:rPr>
        <w:tab/>
        <w:t>Declarando abierto el acto por la Presid</w:t>
      </w:r>
      <w:r>
        <w:rPr>
          <w:rFonts w:ascii="Arial" w:eastAsia="Arial" w:hAnsi="Arial" w:cs="Arial"/>
          <w:i/>
        </w:rPr>
        <w:t xml:space="preserve">enta, la Secretaria procede a la apertura de ofertas presentadas, informando que ha concurrido las siguientes empresas: </w:t>
      </w:r>
    </w:p>
    <w:p w:rsidR="00FF384B" w:rsidRDefault="003E3BA9">
      <w:pPr>
        <w:numPr>
          <w:ilvl w:val="0"/>
          <w:numId w:val="263"/>
        </w:numPr>
        <w:spacing w:after="94" w:line="247" w:lineRule="auto"/>
        <w:ind w:right="244" w:hanging="360"/>
        <w:jc w:val="both"/>
      </w:pPr>
      <w:r>
        <w:rPr>
          <w:rFonts w:ascii="Arial" w:eastAsia="Arial" w:hAnsi="Arial" w:cs="Arial"/>
          <w:i/>
        </w:rPr>
        <w:t xml:space="preserve">IBERDROLA </w:t>
      </w:r>
    </w:p>
    <w:p w:rsidR="00FF384B" w:rsidRDefault="003E3BA9">
      <w:pPr>
        <w:numPr>
          <w:ilvl w:val="0"/>
          <w:numId w:val="263"/>
        </w:numPr>
        <w:spacing w:after="89" w:line="247" w:lineRule="auto"/>
        <w:ind w:right="244" w:hanging="360"/>
        <w:jc w:val="both"/>
      </w:pPr>
      <w:r>
        <w:rPr>
          <w:rFonts w:ascii="Arial" w:eastAsia="Arial" w:hAnsi="Arial" w:cs="Arial"/>
          <w:i/>
        </w:rPr>
        <w:t xml:space="preserve">ENDESA </w:t>
      </w:r>
    </w:p>
    <w:p w:rsidR="00FF384B" w:rsidRDefault="003E3BA9">
      <w:pPr>
        <w:numPr>
          <w:ilvl w:val="0"/>
          <w:numId w:val="263"/>
        </w:numPr>
        <w:spacing w:after="76" w:line="247" w:lineRule="auto"/>
        <w:ind w:right="244" w:hanging="360"/>
        <w:jc w:val="both"/>
      </w:pPr>
      <w:r>
        <w:rPr>
          <w:rFonts w:ascii="Arial" w:eastAsia="Arial" w:hAnsi="Arial" w:cs="Arial"/>
          <w:i/>
        </w:rPr>
        <w:t xml:space="preserve">GAS NATURAL COMERCIALIZADORA </w:t>
      </w:r>
    </w:p>
    <w:p w:rsidR="00FF384B" w:rsidRDefault="003E3BA9">
      <w:pPr>
        <w:spacing w:after="93" w:line="247" w:lineRule="auto"/>
        <w:ind w:left="268" w:right="244" w:firstLine="708"/>
        <w:jc w:val="both"/>
      </w:pPr>
      <w:r>
        <w:rPr>
          <w:rFonts w:ascii="Arial" w:eastAsia="Arial" w:hAnsi="Arial" w:cs="Arial"/>
          <w:i/>
        </w:rPr>
        <w:t>Acordándose por la Mesa de Contratación dar traslado de las ofertas presentadas por los licitadores para la valoración de las mismas de acuerdo con los criterios y las ponderaciones establecidas en el PCAP, al responsable del contrato designado, Javier Gon</w:t>
      </w:r>
      <w:r>
        <w:rPr>
          <w:rFonts w:ascii="Arial" w:eastAsia="Arial" w:hAnsi="Arial" w:cs="Arial"/>
          <w:i/>
        </w:rPr>
        <w:t xml:space="preserve">zález Gómez, y una vez emitida la misma convocar nuevamente a la Mesa de Contratación para dar cuenta del informe y proceder a la proposición de adjudicación de la licitación. </w:t>
      </w:r>
    </w:p>
    <w:p w:rsidR="00FF384B" w:rsidRDefault="003E3BA9">
      <w:pPr>
        <w:spacing w:after="112" w:line="247" w:lineRule="auto"/>
        <w:ind w:left="268" w:right="244" w:firstLine="708"/>
        <w:jc w:val="both"/>
      </w:pPr>
      <w:r>
        <w:rPr>
          <w:rFonts w:ascii="Arial" w:eastAsia="Arial" w:hAnsi="Arial" w:cs="Arial"/>
          <w:i/>
        </w:rPr>
        <w:t xml:space="preserve">En prueba y conformidad con cuanto antecede, se levanta la presente acta a las </w:t>
      </w:r>
      <w:r>
        <w:rPr>
          <w:rFonts w:ascii="Arial" w:eastAsia="Arial" w:hAnsi="Arial" w:cs="Arial"/>
          <w:i/>
        </w:rPr>
        <w:t xml:space="preserve">nueve horas y cuarenta y cinco minutos del mismo día, firmado por los miembros de la Mesa. De todo lo que, como Secretaria, doy fe.” </w:t>
      </w:r>
    </w:p>
    <w:p w:rsidR="00FF384B" w:rsidRDefault="003E3BA9">
      <w:pPr>
        <w:spacing w:after="98"/>
        <w:ind w:left="991"/>
      </w:pPr>
      <w:r>
        <w:rPr>
          <w:rFonts w:ascii="Arial" w:eastAsia="Arial" w:hAnsi="Arial" w:cs="Arial"/>
          <w:i/>
        </w:rPr>
        <w:t xml:space="preserve"> </w:t>
      </w:r>
    </w:p>
    <w:p w:rsidR="00FF384B" w:rsidRDefault="003E3BA9">
      <w:pPr>
        <w:spacing w:after="114" w:line="247" w:lineRule="auto"/>
        <w:ind w:left="268" w:right="244" w:firstLine="708"/>
        <w:jc w:val="both"/>
      </w:pPr>
      <w:r>
        <w:rPr>
          <w:rFonts w:ascii="Arial" w:eastAsia="Arial" w:hAnsi="Arial" w:cs="Arial"/>
          <w:i/>
        </w:rPr>
        <w:t>Vista el acta de la Mesa de Contratación de fecha 19 de abril de 2021, de lectura de del informe técnico de valoración d</w:t>
      </w:r>
      <w:r>
        <w:rPr>
          <w:rFonts w:ascii="Arial" w:eastAsia="Arial" w:hAnsi="Arial" w:cs="Arial"/>
          <w:i/>
        </w:rPr>
        <w:t xml:space="preserve">e las ofertas y propuesta de adjudicación, cuyo tenor literal dice: </w:t>
      </w:r>
    </w:p>
    <w:p w:rsidR="00FF384B" w:rsidRDefault="003E3BA9">
      <w:pPr>
        <w:spacing w:after="98"/>
        <w:ind w:left="991"/>
      </w:pPr>
      <w:r>
        <w:rPr>
          <w:rFonts w:ascii="Arial" w:eastAsia="Arial" w:hAnsi="Arial" w:cs="Arial"/>
          <w:i/>
        </w:rPr>
        <w:t xml:space="preserve"> </w:t>
      </w:r>
    </w:p>
    <w:p w:rsidR="00FF384B" w:rsidRDefault="003E3BA9">
      <w:pPr>
        <w:pStyle w:val="Ttulo3"/>
        <w:shd w:val="clear" w:color="auto" w:fill="auto"/>
        <w:spacing w:after="108" w:line="249" w:lineRule="auto"/>
        <w:ind w:left="427" w:right="331"/>
      </w:pPr>
      <w:r>
        <w:rPr>
          <w:b w:val="0"/>
        </w:rPr>
        <w:t>“</w:t>
      </w:r>
      <w:r>
        <w:t>ACTA SEGUNDA SESIÓN PARA LA LICITACIÓN DEL CONTRATO BASADO EN EL ACUERDO MARCO PARA LA CONTRATACIÓN DEL SUMINISTRO DE ELECTRICIDAD EN ALTA Y BAJA TENSIÓN POR LA CENTRAL DE CONTRATACIÓN</w:t>
      </w:r>
      <w:r>
        <w:t xml:space="preserve"> DE LA FEMP (LOTE 7)</w:t>
      </w:r>
      <w:r>
        <w:rPr>
          <w:b w:val="0"/>
          <w:i w:val="0"/>
        </w:rPr>
        <w:t xml:space="preserve"> </w:t>
      </w:r>
    </w:p>
    <w:p w:rsidR="00FF384B" w:rsidRDefault="003E3BA9">
      <w:pPr>
        <w:spacing w:after="98"/>
        <w:ind w:left="283"/>
      </w:pPr>
      <w:r>
        <w:rPr>
          <w:rFonts w:ascii="Arial" w:eastAsia="Arial" w:hAnsi="Arial" w:cs="Arial"/>
        </w:rPr>
        <w:t xml:space="preserve"> </w:t>
      </w:r>
    </w:p>
    <w:p w:rsidR="00FF384B" w:rsidRDefault="003E3BA9">
      <w:pPr>
        <w:spacing w:after="5" w:line="249" w:lineRule="auto"/>
        <w:ind w:left="278" w:hanging="10"/>
      </w:pPr>
      <w:r>
        <w:rPr>
          <w:rFonts w:ascii="Arial" w:eastAsia="Arial" w:hAnsi="Arial" w:cs="Arial"/>
          <w:b/>
          <w:i/>
          <w:u w:val="single" w:color="000000"/>
        </w:rPr>
        <w:t>Asistentes:</w:t>
      </w:r>
      <w:r>
        <w:rPr>
          <w:rFonts w:ascii="Arial" w:eastAsia="Arial" w:hAnsi="Arial" w:cs="Arial"/>
          <w:b/>
          <w:i/>
        </w:rPr>
        <w:t xml:space="preserve"> </w:t>
      </w:r>
    </w:p>
    <w:p w:rsidR="00FF384B" w:rsidRDefault="003E3BA9">
      <w:pPr>
        <w:spacing w:after="0"/>
        <w:ind w:left="283"/>
      </w:pPr>
      <w:r>
        <w:rPr>
          <w:rFonts w:ascii="Arial" w:eastAsia="Arial" w:hAnsi="Arial" w:cs="Arial"/>
          <w:b/>
          <w:i/>
        </w:rPr>
        <w:t xml:space="preserve"> </w:t>
      </w:r>
    </w:p>
    <w:p w:rsidR="00FF384B" w:rsidRDefault="003E3BA9">
      <w:pPr>
        <w:spacing w:after="5" w:line="249" w:lineRule="auto"/>
        <w:ind w:left="278" w:hanging="10"/>
      </w:pPr>
      <w:r>
        <w:rPr>
          <w:rFonts w:ascii="Arial" w:eastAsia="Arial" w:hAnsi="Arial" w:cs="Arial"/>
          <w:b/>
          <w:i/>
          <w:u w:val="single" w:color="000000"/>
        </w:rPr>
        <w:t>Presidente</w:t>
      </w:r>
      <w:r>
        <w:rPr>
          <w:rFonts w:ascii="Arial" w:eastAsia="Arial" w:hAnsi="Arial" w:cs="Arial"/>
          <w:b/>
          <w:i/>
        </w:rPr>
        <w:t>:</w:t>
      </w:r>
      <w:r>
        <w:rPr>
          <w:rFonts w:ascii="Arial" w:eastAsia="Arial" w:hAnsi="Arial" w:cs="Arial"/>
          <w:sz w:val="24"/>
        </w:rPr>
        <w:t xml:space="preserve"> </w:t>
      </w:r>
    </w:p>
    <w:p w:rsidR="00FF384B" w:rsidRDefault="003E3BA9">
      <w:pPr>
        <w:spacing w:after="4" w:line="247" w:lineRule="auto"/>
        <w:ind w:left="278" w:right="244" w:hanging="10"/>
        <w:jc w:val="both"/>
      </w:pPr>
      <w:r>
        <w:rPr>
          <w:rFonts w:ascii="Arial" w:eastAsia="Arial" w:hAnsi="Arial" w:cs="Arial"/>
          <w:i/>
        </w:rPr>
        <w:t xml:space="preserve">D. Jorge Baute Delgado. </w:t>
      </w:r>
    </w:p>
    <w:p w:rsidR="00FF384B" w:rsidRDefault="003E3BA9">
      <w:pPr>
        <w:spacing w:after="0"/>
        <w:ind w:left="283"/>
      </w:pPr>
      <w:r>
        <w:rPr>
          <w:rFonts w:ascii="Arial" w:eastAsia="Arial" w:hAnsi="Arial" w:cs="Arial"/>
          <w:i/>
        </w:rPr>
        <w:t xml:space="preserve"> </w:t>
      </w:r>
    </w:p>
    <w:p w:rsidR="00FF384B" w:rsidRDefault="003E3BA9">
      <w:pPr>
        <w:spacing w:after="5" w:line="249" w:lineRule="auto"/>
        <w:ind w:left="278" w:hanging="10"/>
      </w:pPr>
      <w:r>
        <w:rPr>
          <w:rFonts w:ascii="Arial" w:eastAsia="Arial" w:hAnsi="Arial" w:cs="Arial"/>
          <w:b/>
          <w:i/>
          <w:u w:val="single" w:color="000000"/>
        </w:rPr>
        <w:t>Vocales</w:t>
      </w:r>
      <w:r>
        <w:rPr>
          <w:rFonts w:ascii="Arial" w:eastAsia="Arial" w:hAnsi="Arial" w:cs="Arial"/>
          <w:b/>
          <w:i/>
        </w:rPr>
        <w:t>:</w:t>
      </w:r>
      <w:r>
        <w:rPr>
          <w:rFonts w:ascii="Arial" w:eastAsia="Arial" w:hAnsi="Arial" w:cs="Arial"/>
          <w:sz w:val="24"/>
        </w:rPr>
        <w:t xml:space="preserve"> </w:t>
      </w:r>
    </w:p>
    <w:p w:rsidR="00FF384B" w:rsidRDefault="003E3BA9">
      <w:pPr>
        <w:spacing w:after="4" w:line="247" w:lineRule="auto"/>
        <w:ind w:left="278" w:right="244" w:hanging="10"/>
        <w:jc w:val="both"/>
      </w:pPr>
      <w:r>
        <w:rPr>
          <w:rFonts w:ascii="Arial" w:eastAsia="Arial" w:hAnsi="Arial" w:cs="Arial"/>
          <w:i/>
        </w:rPr>
        <w:t xml:space="preserve">D. José Francisco Pinto Ramos  </w:t>
      </w:r>
    </w:p>
    <w:p w:rsidR="00FF384B" w:rsidRDefault="003E3BA9">
      <w:pPr>
        <w:spacing w:after="4" w:line="247" w:lineRule="auto"/>
        <w:ind w:left="278" w:right="244" w:hanging="10"/>
        <w:jc w:val="both"/>
      </w:pPr>
      <w:r>
        <w:rPr>
          <w:noProof/>
        </w:rPr>
        <mc:AlternateContent>
          <mc:Choice Requires="wpg">
            <w:drawing>
              <wp:anchor distT="0" distB="0" distL="114300" distR="114300" simplePos="0" relativeHeight="2518650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1826" name="Group 48182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6483" name="Picture 36483"/>
                          <pic:cNvPicPr/>
                        </pic:nvPicPr>
                        <pic:blipFill>
                          <a:blip r:embed="rId62"/>
                          <a:stretch>
                            <a:fillRect/>
                          </a:stretch>
                        </pic:blipFill>
                        <pic:spPr>
                          <a:xfrm rot="-5399999">
                            <a:off x="-1720849" y="1720849"/>
                            <a:ext cx="3797300" cy="355601"/>
                          </a:xfrm>
                          <a:prstGeom prst="rect">
                            <a:avLst/>
                          </a:prstGeom>
                        </pic:spPr>
                      </pic:pic>
                      <wps:wsp>
                        <wps:cNvPr id="36484" name="Rectangle 3648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6485" name="Rectangle 3648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826" style="width:41.2715pt;height:299pt;position:absolute;mso-position-horizontal-relative:page;mso-position-horizontal:absolute;margin-left:653.71pt;mso-position-vertical-relative:page;margin-top:512.92pt;" coordsize="5241,37973">
                <v:shape id="Picture 36483" style="position:absolute;width:37973;height:3556;left:-17208;top:17208;rotation:-89;" filled="f">
                  <v:imagedata r:id="rId63"/>
                </v:shape>
                <v:rect id="Rectangle 3648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648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201 de 353 </w:t>
                        </w:r>
                      </w:p>
                    </w:txbxContent>
                  </v:textbox>
                </v:rect>
                <w10:wrap type="square"/>
              </v:group>
            </w:pict>
          </mc:Fallback>
        </mc:AlternateContent>
      </w:r>
      <w:r>
        <w:rPr>
          <w:rFonts w:ascii="Arial" w:eastAsia="Arial" w:hAnsi="Arial" w:cs="Arial"/>
          <w:i/>
        </w:rPr>
        <w:t xml:space="preserve">D. Octavio Manuel Fernández Hernández  </w:t>
      </w:r>
    </w:p>
    <w:p w:rsidR="00FF384B" w:rsidRDefault="003E3BA9">
      <w:pPr>
        <w:spacing w:after="4" w:line="247" w:lineRule="auto"/>
        <w:ind w:left="278" w:right="244" w:hanging="10"/>
        <w:jc w:val="both"/>
      </w:pPr>
      <w:r>
        <w:rPr>
          <w:rFonts w:ascii="Arial" w:eastAsia="Arial" w:hAnsi="Arial" w:cs="Arial"/>
          <w:i/>
        </w:rPr>
        <w:t xml:space="preserve">D. Nicolás Rojo Garnica </w:t>
      </w:r>
    </w:p>
    <w:p w:rsidR="00FF384B" w:rsidRDefault="003E3BA9">
      <w:pPr>
        <w:spacing w:after="4" w:line="247" w:lineRule="auto"/>
        <w:ind w:left="278" w:right="244" w:hanging="10"/>
        <w:jc w:val="both"/>
      </w:pPr>
      <w:r>
        <w:rPr>
          <w:rFonts w:ascii="Arial" w:eastAsia="Arial" w:hAnsi="Arial" w:cs="Arial"/>
          <w:i/>
        </w:rPr>
        <w:t xml:space="preserve">Dª. Noemí del Castillo Delgado </w:t>
      </w:r>
    </w:p>
    <w:p w:rsidR="00FF384B" w:rsidRDefault="003E3BA9">
      <w:pPr>
        <w:spacing w:after="0"/>
        <w:ind w:left="283"/>
      </w:pPr>
      <w:r>
        <w:rPr>
          <w:rFonts w:ascii="Arial" w:eastAsia="Arial" w:hAnsi="Arial" w:cs="Arial"/>
          <w:i/>
        </w:rPr>
        <w:t xml:space="preserve"> </w:t>
      </w:r>
    </w:p>
    <w:p w:rsidR="00FF384B" w:rsidRDefault="003E3BA9">
      <w:pPr>
        <w:spacing w:after="5" w:line="249" w:lineRule="auto"/>
        <w:ind w:left="278" w:hanging="10"/>
      </w:pPr>
      <w:r>
        <w:rPr>
          <w:rFonts w:ascii="Arial" w:eastAsia="Arial" w:hAnsi="Arial" w:cs="Arial"/>
          <w:b/>
          <w:i/>
          <w:u w:val="single" w:color="000000"/>
        </w:rPr>
        <w:t>Secretaria</w:t>
      </w:r>
      <w:r>
        <w:rPr>
          <w:rFonts w:ascii="Arial" w:eastAsia="Arial" w:hAnsi="Arial" w:cs="Arial"/>
          <w:b/>
          <w:i/>
        </w:rPr>
        <w:t>:</w:t>
      </w:r>
      <w:r>
        <w:rPr>
          <w:rFonts w:ascii="Arial" w:eastAsia="Arial" w:hAnsi="Arial" w:cs="Arial"/>
          <w:sz w:val="24"/>
        </w:rPr>
        <w:t xml:space="preserve"> </w:t>
      </w:r>
    </w:p>
    <w:p w:rsidR="00FF384B" w:rsidRDefault="003E3BA9">
      <w:pPr>
        <w:spacing w:after="4" w:line="247" w:lineRule="auto"/>
        <w:ind w:left="278" w:right="244" w:hanging="10"/>
        <w:jc w:val="both"/>
      </w:pPr>
      <w:r>
        <w:rPr>
          <w:rFonts w:ascii="Arial" w:eastAsia="Arial" w:hAnsi="Arial" w:cs="Arial"/>
          <w:i/>
        </w:rPr>
        <w:t xml:space="preserve">Dª Mª del Pilar Chico Delgado </w:t>
      </w:r>
    </w:p>
    <w:p w:rsidR="00FF384B" w:rsidRDefault="003E3BA9">
      <w:pPr>
        <w:spacing w:after="0"/>
        <w:ind w:left="283"/>
      </w:pPr>
      <w:r>
        <w:rPr>
          <w:rFonts w:ascii="Arial" w:eastAsia="Arial" w:hAnsi="Arial" w:cs="Arial"/>
          <w:i/>
        </w:rPr>
        <w:t xml:space="preserve"> </w:t>
      </w:r>
    </w:p>
    <w:p w:rsidR="00FF384B" w:rsidRDefault="003E3BA9">
      <w:pPr>
        <w:spacing w:after="108" w:line="249" w:lineRule="auto"/>
        <w:ind w:left="278" w:hanging="10"/>
      </w:pPr>
      <w:r>
        <w:rPr>
          <w:rFonts w:ascii="Arial" w:eastAsia="Arial" w:hAnsi="Arial" w:cs="Arial"/>
          <w:b/>
          <w:i/>
          <w:u w:val="single" w:color="000000"/>
        </w:rPr>
        <w:t>No asistentes:</w:t>
      </w:r>
      <w:r>
        <w:rPr>
          <w:rFonts w:ascii="Arial" w:eastAsia="Arial" w:hAnsi="Arial" w:cs="Arial"/>
          <w:i/>
        </w:rPr>
        <w:t xml:space="preserve"> </w:t>
      </w:r>
      <w:r>
        <w:rPr>
          <w:rFonts w:ascii="Arial" w:eastAsia="Arial" w:hAnsi="Arial" w:cs="Arial"/>
        </w:rPr>
        <w:t xml:space="preserve"> </w:t>
      </w:r>
    </w:p>
    <w:p w:rsidR="00FF384B" w:rsidRDefault="003E3BA9">
      <w:pPr>
        <w:spacing w:after="98"/>
        <w:ind w:left="283"/>
      </w:pPr>
      <w:r>
        <w:rPr>
          <w:rFonts w:ascii="Arial" w:eastAsia="Arial" w:hAnsi="Arial" w:cs="Arial"/>
          <w:i/>
        </w:rPr>
        <w:t xml:space="preserve"> </w:t>
      </w:r>
    </w:p>
    <w:p w:rsidR="00FF384B" w:rsidRDefault="003E3BA9">
      <w:pPr>
        <w:spacing w:after="112" w:line="247" w:lineRule="auto"/>
        <w:ind w:left="278" w:right="244" w:hanging="10"/>
        <w:jc w:val="both"/>
      </w:pPr>
      <w:r>
        <w:rPr>
          <w:rFonts w:ascii="Arial" w:eastAsia="Arial" w:hAnsi="Arial" w:cs="Arial"/>
          <w:i/>
        </w:rPr>
        <w:t xml:space="preserve"> En Candelaria, a 19 de abril de 2021, siendo las nueve horas y cuarenta minutos, se constituye en la Sala de Reuniones de la Casa Consistorial la Mesa de Contratación designada para el procedimiento de contratación </w:t>
      </w:r>
      <w:r>
        <w:rPr>
          <w:rFonts w:ascii="Arial" w:eastAsia="Arial" w:hAnsi="Arial" w:cs="Arial"/>
          <w:i/>
        </w:rPr>
        <w:t>del contrato basado en el acuerdo marco para la contratación del suministro de electricidad en alta y baja tensión para la Central de Contratación de la FEMP (Lote 7), a los efectos de lectura del informe técnico de las ofertas presentadas y propuesta de a</w:t>
      </w:r>
      <w:r>
        <w:rPr>
          <w:rFonts w:ascii="Arial" w:eastAsia="Arial" w:hAnsi="Arial" w:cs="Arial"/>
          <w:i/>
        </w:rPr>
        <w:t xml:space="preserve">djudicación de la licitación. </w:t>
      </w:r>
    </w:p>
    <w:p w:rsidR="00FF384B" w:rsidRDefault="003E3BA9">
      <w:pPr>
        <w:spacing w:after="112" w:line="247" w:lineRule="auto"/>
        <w:ind w:left="278" w:right="244" w:hanging="10"/>
        <w:jc w:val="both"/>
      </w:pPr>
      <w:r>
        <w:rPr>
          <w:rFonts w:ascii="Arial" w:eastAsia="Arial" w:hAnsi="Arial" w:cs="Arial"/>
          <w:i/>
        </w:rPr>
        <w:t xml:space="preserve"> Seguidamente se pasa a dar lectura por parte de la secretaria de la Mesa del informe de valoración mencionado y emitido con fecha 31 de marzo de 2021, y cuyo tenor literal es el siguiente: </w:t>
      </w:r>
    </w:p>
    <w:p w:rsidR="00FF384B" w:rsidRDefault="003E3BA9">
      <w:pPr>
        <w:spacing w:after="118"/>
        <w:ind w:left="283"/>
      </w:pPr>
      <w:r>
        <w:rPr>
          <w:rFonts w:ascii="Arial" w:eastAsia="Arial" w:hAnsi="Arial" w:cs="Arial"/>
          <w:i/>
        </w:rPr>
        <w:t xml:space="preserve"> </w:t>
      </w:r>
    </w:p>
    <w:p w:rsidR="00FF384B" w:rsidRDefault="003E3BA9">
      <w:pPr>
        <w:spacing w:after="92" w:line="247" w:lineRule="auto"/>
        <w:ind w:left="268" w:right="239" w:firstLine="708"/>
        <w:jc w:val="both"/>
      </w:pPr>
      <w:r>
        <w:rPr>
          <w:rFonts w:ascii="Arial" w:eastAsia="Arial" w:hAnsi="Arial" w:cs="Arial"/>
          <w:b/>
          <w:i/>
        </w:rPr>
        <w:t xml:space="preserve">“Visto el expediente antedicho, </w:t>
      </w:r>
      <w:r>
        <w:rPr>
          <w:rFonts w:ascii="Arial" w:eastAsia="Arial" w:hAnsi="Arial" w:cs="Arial"/>
          <w:b/>
          <w:i/>
        </w:rPr>
        <w:t>el funcionario Don Javier González Gómez, que desempeña el puesto de trabajo de Arquitecto Técnico adscrito en la Concejalía de Obras Públicas, Servicios Públicos, Transporte y Accesibilidad emite el siguiente informe:</w:t>
      </w:r>
      <w:r>
        <w:rPr>
          <w:rFonts w:ascii="Arial" w:eastAsia="Arial" w:hAnsi="Arial" w:cs="Arial"/>
        </w:rPr>
        <w:t xml:space="preserve"> </w:t>
      </w:r>
    </w:p>
    <w:p w:rsidR="00FF384B" w:rsidRDefault="003E3BA9">
      <w:pPr>
        <w:spacing w:after="98"/>
        <w:ind w:left="283"/>
      </w:pPr>
      <w:r>
        <w:rPr>
          <w:rFonts w:ascii="Arial" w:eastAsia="Arial" w:hAnsi="Arial" w:cs="Arial"/>
          <w:i/>
        </w:rPr>
        <w:t xml:space="preserve">  </w:t>
      </w:r>
    </w:p>
    <w:p w:rsidR="00FF384B" w:rsidRDefault="003E3BA9">
      <w:pPr>
        <w:pStyle w:val="Ttulo4"/>
        <w:spacing w:after="140" w:line="249" w:lineRule="auto"/>
        <w:ind w:left="427" w:right="388"/>
      </w:pPr>
      <w:r>
        <w:rPr>
          <w:i/>
        </w:rPr>
        <w:t>Antecedentes de hecho</w:t>
      </w:r>
      <w:r>
        <w:rPr>
          <w:b w:val="0"/>
        </w:rPr>
        <w:t xml:space="preserve"> </w:t>
      </w:r>
    </w:p>
    <w:p w:rsidR="00FF384B" w:rsidRDefault="003E3BA9">
      <w:pPr>
        <w:spacing w:after="111" w:line="247" w:lineRule="auto"/>
        <w:ind w:left="278" w:right="244" w:hanging="10"/>
        <w:jc w:val="both"/>
      </w:pPr>
      <w:r>
        <w:rPr>
          <w:rFonts w:ascii="Arial" w:eastAsia="Arial" w:hAnsi="Arial" w:cs="Arial"/>
          <w:i/>
        </w:rPr>
        <w:t xml:space="preserve">Emitida el 03 de marzo de 2021 “Invitación para la contratación del acuerdo marco para el Suministro de Electricidad en alta y baja tensión” a las empresas destinatarias: Iberdrola, Endesa y Gas Natural Comercializadora (GNCO), adjudicatarias de los lotes </w:t>
      </w:r>
      <w:r>
        <w:rPr>
          <w:rFonts w:ascii="Arial" w:eastAsia="Arial" w:hAnsi="Arial" w:cs="Arial"/>
          <w:i/>
        </w:rPr>
        <w:t xml:space="preserve">del 1 al 7 del acuerdo Marco. </w:t>
      </w:r>
    </w:p>
    <w:p w:rsidR="00FF384B" w:rsidRDefault="003E3BA9">
      <w:pPr>
        <w:spacing w:after="112" w:line="247" w:lineRule="auto"/>
        <w:ind w:left="278" w:right="244" w:hanging="10"/>
        <w:jc w:val="both"/>
      </w:pPr>
      <w:r>
        <w:rPr>
          <w:rFonts w:ascii="Arial" w:eastAsia="Arial" w:hAnsi="Arial" w:cs="Arial"/>
          <w:i/>
        </w:rPr>
        <w:t>Según se indica en el Pliego de Cláusulas Administrativas (PCA) las empresas ofertaran a la totalidad de las Categorías de Peaje, teniendo actualmente este Ayuntamiento contratados puntos de suministro en las Categorías que s</w:t>
      </w:r>
      <w:r>
        <w:rPr>
          <w:rFonts w:ascii="Arial" w:eastAsia="Arial" w:hAnsi="Arial" w:cs="Arial"/>
          <w:i/>
        </w:rPr>
        <w:t xml:space="preserve">e indican a continuación, tal como se recogía en el Anexo I del documento de invitación, 2.0A, 2.0DHA, 2.1A, 2.1DHA, 3.0A, y por tanto objeto de valoración. </w:t>
      </w:r>
    </w:p>
    <w:p w:rsidR="00FF384B" w:rsidRDefault="003E3BA9">
      <w:pPr>
        <w:spacing w:after="114" w:line="247" w:lineRule="auto"/>
        <w:ind w:left="278" w:right="244" w:hanging="10"/>
        <w:jc w:val="both"/>
      </w:pPr>
      <w:r>
        <w:rPr>
          <w:rFonts w:ascii="Arial" w:eastAsia="Arial" w:hAnsi="Arial" w:cs="Arial"/>
          <w:i/>
        </w:rPr>
        <w:t>La ofertas presentadas debía recoger la totalidad de las Categorías de Peaje tal como regula en la</w:t>
      </w:r>
      <w:r>
        <w:rPr>
          <w:rFonts w:ascii="Arial" w:eastAsia="Arial" w:hAnsi="Arial" w:cs="Arial"/>
          <w:i/>
        </w:rPr>
        <w:t xml:space="preserve"> cláusula 21.3 del PCA, indicando: "El Contratista estará obligado a suministrar electricidad a aquellos nuevos puntos de suministro ordinarios (no eventuales o de temporada) no incluidos en el Documento de Invitación que sean solicitados por las Entidades</w:t>
      </w:r>
      <w:r>
        <w:rPr>
          <w:rFonts w:ascii="Arial" w:eastAsia="Arial" w:hAnsi="Arial" w:cs="Arial"/>
          <w:i/>
        </w:rPr>
        <w:t xml:space="preserve"> Locales siempre que supongan, como máximo, un incremento del 20% respecto del precio que representasen los puntos de suministro incluidos en el Documento de Invitación, ajustándose a lo dispuesto en el art 204.1 de la LCSP. Estos nuevos puntos de suminist</w:t>
      </w:r>
      <w:r>
        <w:rPr>
          <w:rFonts w:ascii="Arial" w:eastAsia="Arial" w:hAnsi="Arial" w:cs="Arial"/>
          <w:i/>
        </w:rPr>
        <w:t>ro pasarán a formar parte del Contrato basado con los precios y contenidos que en él se establecen".</w:t>
      </w:r>
      <w:r>
        <w:rPr>
          <w:rFonts w:ascii="Arial" w:eastAsia="Arial" w:hAnsi="Arial" w:cs="Arial"/>
        </w:rPr>
        <w:t xml:space="preserve"> </w:t>
      </w:r>
    </w:p>
    <w:p w:rsidR="00FF384B" w:rsidRDefault="003E3BA9">
      <w:pPr>
        <w:spacing w:after="114" w:line="247" w:lineRule="auto"/>
        <w:ind w:left="278" w:right="244" w:hanging="10"/>
        <w:jc w:val="both"/>
      </w:pPr>
      <w:r>
        <w:rPr>
          <w:noProof/>
        </w:rPr>
        <mc:AlternateContent>
          <mc:Choice Requires="wpg">
            <w:drawing>
              <wp:anchor distT="0" distB="0" distL="114300" distR="114300" simplePos="0" relativeHeight="2518661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33659" name="Group 53365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7142" name="Picture 37142"/>
                          <pic:cNvPicPr/>
                        </pic:nvPicPr>
                        <pic:blipFill>
                          <a:blip r:embed="rId62"/>
                          <a:stretch>
                            <a:fillRect/>
                          </a:stretch>
                        </pic:blipFill>
                        <pic:spPr>
                          <a:xfrm rot="-5399999">
                            <a:off x="-1720849" y="1720849"/>
                            <a:ext cx="3797300" cy="355601"/>
                          </a:xfrm>
                          <a:prstGeom prst="rect">
                            <a:avLst/>
                          </a:prstGeom>
                        </pic:spPr>
                      </pic:pic>
                      <wps:wsp>
                        <wps:cNvPr id="37143" name="Rectangle 3714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7144" name="Rectangle 3714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33659" style="width:41.2715pt;height:299pt;position:absolute;mso-position-horizontal-relative:page;mso-position-horizontal:absolute;margin-left:653.71pt;mso-position-vertical-relative:page;margin-top:512.92pt;" coordsize="5241,37973">
                <v:shape id="Picture 37142" style="position:absolute;width:37973;height:3556;left:-17208;top:17208;rotation:-89;" filled="f">
                  <v:imagedata r:id="rId63"/>
                </v:shape>
                <v:rect id="Rectangle 3714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714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202 de 353 </w:t>
                        </w:r>
                      </w:p>
                    </w:txbxContent>
                  </v:textbox>
                </v:rect>
                <w10:wrap type="square"/>
              </v:group>
            </w:pict>
          </mc:Fallback>
        </mc:AlternateContent>
      </w:r>
      <w:r>
        <w:rPr>
          <w:rFonts w:ascii="Arial" w:eastAsia="Arial" w:hAnsi="Arial" w:cs="Arial"/>
          <w:i/>
        </w:rPr>
        <w:t xml:space="preserve">Se registra en el expediente, el 23 de marzo, las propuestas recibidas por las tres empresas invitadas. </w:t>
      </w:r>
    </w:p>
    <w:p w:rsidR="00FF384B" w:rsidRDefault="003E3BA9">
      <w:pPr>
        <w:pStyle w:val="Ttulo4"/>
        <w:spacing w:after="108" w:line="249" w:lineRule="auto"/>
        <w:ind w:left="427" w:right="386"/>
      </w:pPr>
      <w:r>
        <w:rPr>
          <w:i/>
        </w:rPr>
        <w:t xml:space="preserve">Informe técnico </w:t>
      </w:r>
    </w:p>
    <w:p w:rsidR="00FF384B" w:rsidRDefault="003E3BA9">
      <w:pPr>
        <w:spacing w:after="4" w:line="247" w:lineRule="auto"/>
        <w:ind w:left="278" w:right="244" w:hanging="10"/>
        <w:jc w:val="both"/>
      </w:pPr>
      <w:r>
        <w:rPr>
          <w:rFonts w:ascii="Arial" w:eastAsia="Arial" w:hAnsi="Arial" w:cs="Arial"/>
          <w:i/>
        </w:rPr>
        <w:t>Una vez aplicadas las fórmulas recogida</w:t>
      </w:r>
      <w:r>
        <w:rPr>
          <w:rFonts w:ascii="Arial" w:eastAsia="Arial" w:hAnsi="Arial" w:cs="Arial"/>
          <w:i/>
        </w:rPr>
        <w:t xml:space="preserve">s en el PCA para la obtención del Coeficiente del Término de Energía de la Tarifa (CET), resulta los siguientes resultados: </w:t>
      </w:r>
    </w:p>
    <w:p w:rsidR="00FF384B" w:rsidRDefault="003E3BA9">
      <w:pPr>
        <w:spacing w:after="127"/>
        <w:ind w:left="276"/>
      </w:pPr>
      <w:r>
        <w:rPr>
          <w:noProof/>
        </w:rPr>
        <w:drawing>
          <wp:inline distT="0" distB="0" distL="0" distR="0">
            <wp:extent cx="5407152" cy="2706624"/>
            <wp:effectExtent l="0" t="0" r="0" b="0"/>
            <wp:docPr id="547638" name="Picture 547638"/>
            <wp:cNvGraphicFramePr/>
            <a:graphic xmlns:a="http://schemas.openxmlformats.org/drawingml/2006/main">
              <a:graphicData uri="http://schemas.openxmlformats.org/drawingml/2006/picture">
                <pic:pic xmlns:pic="http://schemas.openxmlformats.org/drawingml/2006/picture">
                  <pic:nvPicPr>
                    <pic:cNvPr id="547638" name="Picture 547638"/>
                    <pic:cNvPicPr/>
                  </pic:nvPicPr>
                  <pic:blipFill>
                    <a:blip r:embed="rId67"/>
                    <a:stretch>
                      <a:fillRect/>
                    </a:stretch>
                  </pic:blipFill>
                  <pic:spPr>
                    <a:xfrm>
                      <a:off x="0" y="0"/>
                      <a:ext cx="5407152" cy="2706624"/>
                    </a:xfrm>
                    <a:prstGeom prst="rect">
                      <a:avLst/>
                    </a:prstGeom>
                  </pic:spPr>
                </pic:pic>
              </a:graphicData>
            </a:graphic>
          </wp:inline>
        </w:drawing>
      </w:r>
    </w:p>
    <w:p w:rsidR="00FF384B" w:rsidRDefault="003E3BA9">
      <w:pPr>
        <w:spacing w:after="111" w:line="247" w:lineRule="auto"/>
        <w:ind w:left="278" w:right="244" w:hanging="10"/>
        <w:jc w:val="both"/>
      </w:pPr>
      <w:r>
        <w:rPr>
          <w:rFonts w:ascii="Arial" w:eastAsia="Arial" w:hAnsi="Arial" w:cs="Arial"/>
          <w:i/>
        </w:rPr>
        <w:t xml:space="preserve">Obteniendo los siguientes Coeficientes totales del término energía (CEO) ofertado; Endesa obtiene 4,0505; Iberdrola 4,3855 y Gas </w:t>
      </w:r>
      <w:r>
        <w:rPr>
          <w:rFonts w:ascii="Arial" w:eastAsia="Arial" w:hAnsi="Arial" w:cs="Arial"/>
          <w:i/>
        </w:rPr>
        <w:t xml:space="preserve">Natural Comercializadora 4,2085. </w:t>
      </w:r>
    </w:p>
    <w:p w:rsidR="00FF384B" w:rsidRDefault="003E3BA9">
      <w:pPr>
        <w:spacing w:after="98"/>
        <w:ind w:left="283"/>
      </w:pPr>
      <w:r>
        <w:rPr>
          <w:rFonts w:ascii="Arial" w:eastAsia="Arial" w:hAnsi="Arial" w:cs="Arial"/>
          <w:i/>
        </w:rPr>
        <w:t xml:space="preserve"> </w:t>
      </w:r>
    </w:p>
    <w:p w:rsidR="00FF384B" w:rsidRDefault="003E3BA9">
      <w:pPr>
        <w:spacing w:after="98"/>
        <w:ind w:left="283"/>
      </w:pPr>
      <w:r>
        <w:rPr>
          <w:rFonts w:ascii="Arial" w:eastAsia="Arial" w:hAnsi="Arial" w:cs="Arial"/>
          <w:i/>
        </w:rPr>
        <w:t xml:space="preserve"> </w:t>
      </w:r>
    </w:p>
    <w:p w:rsidR="00FF384B" w:rsidRDefault="003E3BA9">
      <w:pPr>
        <w:pStyle w:val="Ttulo4"/>
        <w:spacing w:after="108" w:line="249" w:lineRule="auto"/>
        <w:ind w:left="427" w:right="386"/>
      </w:pPr>
      <w:r>
        <w:rPr>
          <w:i/>
        </w:rPr>
        <w:t xml:space="preserve">Conclusión </w:t>
      </w:r>
    </w:p>
    <w:p w:rsidR="00FF384B" w:rsidRDefault="003E3BA9">
      <w:pPr>
        <w:spacing w:after="109" w:line="247" w:lineRule="auto"/>
        <w:ind w:left="278" w:right="244" w:hanging="10"/>
        <w:jc w:val="both"/>
      </w:pPr>
      <w:r>
        <w:rPr>
          <w:rFonts w:ascii="Arial" w:eastAsia="Arial" w:hAnsi="Arial" w:cs="Arial"/>
          <w:i/>
        </w:rPr>
        <w:t>De la vista de los resultados extraído en la tabla adjunta, Endesa con un Coeficiente total del término energía (CEO) ofertado de 4,0505 sería la empresa que ofrece un valor económico más ventajoso.”</w:t>
      </w:r>
      <w:r>
        <w:rPr>
          <w:rFonts w:ascii="Arial" w:eastAsia="Arial" w:hAnsi="Arial" w:cs="Arial"/>
        </w:rPr>
        <w:t xml:space="preserve"> </w:t>
      </w:r>
    </w:p>
    <w:p w:rsidR="00FF384B" w:rsidRDefault="003E3BA9">
      <w:pPr>
        <w:spacing w:after="111" w:line="247" w:lineRule="auto"/>
        <w:ind w:left="268" w:right="244" w:firstLine="708"/>
        <w:jc w:val="both"/>
      </w:pPr>
      <w:r>
        <w:rPr>
          <w:rFonts w:ascii="Arial" w:eastAsia="Arial" w:hAnsi="Arial" w:cs="Arial"/>
        </w:rPr>
        <w:t>Se la</w:t>
      </w:r>
      <w:r>
        <w:rPr>
          <w:rFonts w:ascii="Arial" w:eastAsia="Arial" w:hAnsi="Arial" w:cs="Arial"/>
        </w:rPr>
        <w:t xml:space="preserve"> palabra al técnico municipal a los efectos de explicar el contenido del informe. </w:t>
      </w:r>
    </w:p>
    <w:p w:rsidR="00FF384B" w:rsidRDefault="003E3BA9">
      <w:pPr>
        <w:spacing w:after="114" w:line="247" w:lineRule="auto"/>
        <w:ind w:left="268" w:right="244" w:firstLine="708"/>
        <w:jc w:val="both"/>
      </w:pPr>
      <w:r>
        <w:rPr>
          <w:rFonts w:ascii="Arial" w:eastAsia="Arial" w:hAnsi="Arial" w:cs="Arial"/>
        </w:rPr>
        <w:t>La Mesa de Contratación, acuerda en base exclusivamente al informe técnico elaborado por el Arquitecto Técnico Don Javier González Gómez que propone a ENDESA, PROPONER LA AD</w:t>
      </w:r>
      <w:r>
        <w:rPr>
          <w:rFonts w:ascii="Arial" w:eastAsia="Arial" w:hAnsi="Arial" w:cs="Arial"/>
        </w:rPr>
        <w:t xml:space="preserve">JUDICACIÓN DEL CONTRATO basado en el acuerdo marco para la contratación del suministro de electricidad en alta y baja tensión para la Central de Contratación de la FEMP (Lote 7), a la empresa ENDESA ya que el coeficiente total del término de energía (CEO) </w:t>
      </w:r>
      <w:r>
        <w:rPr>
          <w:rFonts w:ascii="Arial" w:eastAsia="Arial" w:hAnsi="Arial" w:cs="Arial"/>
        </w:rPr>
        <w:t xml:space="preserve">ofertado es de 4,0505 y es el que ofrece un valor económico más ventajoso. </w:t>
      </w:r>
    </w:p>
    <w:p w:rsidR="00FF384B" w:rsidRDefault="003E3BA9">
      <w:pPr>
        <w:spacing w:after="112" w:line="247" w:lineRule="auto"/>
        <w:ind w:left="278" w:right="244" w:hanging="10"/>
        <w:jc w:val="both"/>
      </w:pPr>
      <w:r>
        <w:rPr>
          <w:rFonts w:ascii="Arial" w:eastAsia="Arial" w:hAnsi="Arial" w:cs="Arial"/>
        </w:rPr>
        <w:t xml:space="preserve"> </w:t>
      </w:r>
      <w:r>
        <w:rPr>
          <w:rFonts w:ascii="Arial" w:eastAsia="Arial" w:hAnsi="Arial" w:cs="Arial"/>
        </w:rPr>
        <w:t xml:space="preserve">En prueba y conformidad con cuanto antecede, se levanta la presente acta a las diez horas del día diecinueve de abril de 2021, firmando los miembros de la Mesa. De todo lo que, como Secretaria, doy fe.” </w:t>
      </w:r>
    </w:p>
    <w:p w:rsidR="00FF384B" w:rsidRDefault="003E3BA9">
      <w:pPr>
        <w:spacing w:after="98"/>
        <w:ind w:left="283"/>
      </w:pPr>
      <w:r>
        <w:rPr>
          <w:noProof/>
        </w:rPr>
        <mc:AlternateContent>
          <mc:Choice Requires="wpg">
            <w:drawing>
              <wp:anchor distT="0" distB="0" distL="114300" distR="114300" simplePos="0" relativeHeight="2518671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1899" name="Group 48189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7318" name="Picture 37318"/>
                          <pic:cNvPicPr/>
                        </pic:nvPicPr>
                        <pic:blipFill>
                          <a:blip r:embed="rId62"/>
                          <a:stretch>
                            <a:fillRect/>
                          </a:stretch>
                        </pic:blipFill>
                        <pic:spPr>
                          <a:xfrm rot="-5399999">
                            <a:off x="-1720849" y="1720849"/>
                            <a:ext cx="3797300" cy="355601"/>
                          </a:xfrm>
                          <a:prstGeom prst="rect">
                            <a:avLst/>
                          </a:prstGeom>
                        </pic:spPr>
                      </pic:pic>
                      <wps:wsp>
                        <wps:cNvPr id="37319" name="Rectangle 3731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37320" name="Rectangle 3732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1899" style="width:41.2715pt;height:299pt;position:absolute;mso-position-horizontal-relative:page;mso-position-horizontal:absolute;margin-left:653.71pt;mso-position-vertical-relative:page;margin-top:512.92pt;" coordsize="5241,37973">
                <v:shape id="Picture 37318" style="position:absolute;width:37973;height:3556;left:-17208;top:17208;rotation:-89;" filled="f">
                  <v:imagedata r:id="rId63"/>
                </v:shape>
                <v:rect id="Rectangle 3731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732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203 de 353 </w:t>
                        </w:r>
                      </w:p>
                    </w:txbxContent>
                  </v:textbox>
                </v:rect>
                <w10:wrap type="square"/>
              </v:group>
            </w:pict>
          </mc:Fallback>
        </mc:AlternateContent>
      </w:r>
      <w:r>
        <w:rPr>
          <w:rFonts w:ascii="Arial" w:eastAsia="Arial" w:hAnsi="Arial" w:cs="Arial"/>
        </w:rPr>
        <w:t xml:space="preserve"> </w:t>
      </w:r>
    </w:p>
    <w:p w:rsidR="00FF384B" w:rsidRDefault="003E3BA9">
      <w:pPr>
        <w:tabs>
          <w:tab w:val="center" w:pos="283"/>
          <w:tab w:val="center" w:pos="4886"/>
        </w:tabs>
        <w:spacing w:after="5" w:line="247" w:lineRule="auto"/>
      </w:pPr>
      <w:r>
        <w:tab/>
      </w:r>
      <w:r>
        <w:rPr>
          <w:rFonts w:ascii="Arial" w:eastAsia="Arial" w:hAnsi="Arial" w:cs="Arial"/>
        </w:rPr>
        <w:t xml:space="preserve"> </w:t>
      </w:r>
      <w:r>
        <w:rPr>
          <w:rFonts w:ascii="Arial" w:eastAsia="Arial" w:hAnsi="Arial" w:cs="Arial"/>
        </w:rPr>
        <w:tab/>
        <w:t xml:space="preserve">Visto que conforme a la cláusula 21, apartado B, del Pliego de Cláusulas </w:t>
      </w:r>
    </w:p>
    <w:p w:rsidR="00FF384B" w:rsidRDefault="003E3BA9">
      <w:pPr>
        <w:spacing w:after="112" w:line="247" w:lineRule="auto"/>
        <w:ind w:left="278" w:right="244" w:hanging="10"/>
        <w:jc w:val="both"/>
      </w:pPr>
      <w:r>
        <w:rPr>
          <w:rFonts w:ascii="Arial" w:eastAsia="Arial" w:hAnsi="Arial" w:cs="Arial"/>
        </w:rPr>
        <w:t>Administrativas Particulares de</w:t>
      </w:r>
      <w:r>
        <w:rPr>
          <w:rFonts w:ascii="Arial" w:eastAsia="Arial" w:hAnsi="Arial" w:cs="Arial"/>
        </w:rPr>
        <w:t>l Acuerdo Marco aprobado por la FEMP, Perfeccionamiento del Contrato basado. Contenido, notificaciones y publicación de la adjudicación-. Que dice: “</w:t>
      </w:r>
      <w:r>
        <w:rPr>
          <w:rFonts w:ascii="Arial" w:eastAsia="Arial" w:hAnsi="Arial" w:cs="Arial"/>
          <w:i/>
        </w:rPr>
        <w:t xml:space="preserve">Según lo establecido en el art. 36.3 de la LCSP los contratos basados en un Acuerdo marco, se perfeccionan </w:t>
      </w:r>
      <w:r>
        <w:rPr>
          <w:rFonts w:ascii="Arial" w:eastAsia="Arial" w:hAnsi="Arial" w:cs="Arial"/>
          <w:i/>
        </w:rPr>
        <w:t xml:space="preserve">con su adjudicación. </w:t>
      </w:r>
      <w:r>
        <w:rPr>
          <w:rFonts w:ascii="Arial" w:eastAsia="Arial" w:hAnsi="Arial" w:cs="Arial"/>
        </w:rPr>
        <w:t xml:space="preserve"> </w:t>
      </w:r>
    </w:p>
    <w:p w:rsidR="00FF384B" w:rsidRDefault="003E3BA9">
      <w:pPr>
        <w:spacing w:after="112" w:line="247" w:lineRule="auto"/>
        <w:ind w:left="278" w:right="244" w:hanging="10"/>
        <w:jc w:val="both"/>
      </w:pPr>
      <w:r>
        <w:rPr>
          <w:rFonts w:ascii="Arial" w:eastAsia="Arial" w:hAnsi="Arial" w:cs="Arial"/>
          <w:i/>
        </w:rPr>
        <w:t xml:space="preserve"> Por tanto, una vez realizada la valoración de las proposiciones, la Entidad Local procederá a adoptar el acuerdo de adjudicación cuyo contenido deberá ajustarse a lo dispuesto en el art. 151.2 de la LCSP.”</w:t>
      </w:r>
      <w:r>
        <w:rPr>
          <w:rFonts w:ascii="Arial" w:eastAsia="Arial" w:hAnsi="Arial" w:cs="Arial"/>
        </w:rPr>
        <w:t xml:space="preserve">        </w:t>
      </w:r>
    </w:p>
    <w:p w:rsidR="00FF384B" w:rsidRDefault="003E3BA9">
      <w:pPr>
        <w:spacing w:after="98"/>
        <w:ind w:left="991"/>
      </w:pPr>
      <w:r>
        <w:rPr>
          <w:rFonts w:ascii="Arial" w:eastAsia="Arial" w:hAnsi="Arial" w:cs="Arial"/>
        </w:rPr>
        <w:t xml:space="preserve">    </w:t>
      </w:r>
    </w:p>
    <w:p w:rsidR="00FF384B" w:rsidRDefault="003E3BA9">
      <w:pPr>
        <w:spacing w:after="89" w:line="247" w:lineRule="auto"/>
        <w:ind w:left="268" w:right="244" w:firstLine="696"/>
        <w:jc w:val="both"/>
      </w:pPr>
      <w:r>
        <w:rPr>
          <w:rFonts w:ascii="Arial" w:eastAsia="Arial" w:hAnsi="Arial" w:cs="Arial"/>
        </w:rPr>
        <w:t xml:space="preserve">  Visto que c</w:t>
      </w:r>
      <w:r>
        <w:rPr>
          <w:rFonts w:ascii="Arial" w:eastAsia="Arial" w:hAnsi="Arial" w:cs="Arial"/>
        </w:rPr>
        <w:t>onforme a la cláusula 14 del Pliego de Cláusulas Administrativas Particulares del Acuerdo Marco aprobado por la FEMP, que dice: “…</w:t>
      </w:r>
      <w:r>
        <w:rPr>
          <w:rFonts w:ascii="Arial" w:eastAsia="Arial" w:hAnsi="Arial" w:cs="Arial"/>
          <w:i/>
        </w:rPr>
        <w:t>Teniendo en cuenta las características del suministro y dado que su pago es siempre posterior a la entrega y recepción del mis</w:t>
      </w:r>
      <w:r>
        <w:rPr>
          <w:rFonts w:ascii="Arial" w:eastAsia="Arial" w:hAnsi="Arial" w:cs="Arial"/>
          <w:i/>
        </w:rPr>
        <w:t>mo, no se exigirá garantía definitiva para la ejecución de los contratos basados…”</w:t>
      </w:r>
      <w:r>
        <w:rPr>
          <w:rFonts w:ascii="Times New Roman" w:eastAsia="Times New Roman" w:hAnsi="Times New Roman" w:cs="Times New Roman"/>
          <w:sz w:val="24"/>
        </w:rPr>
        <w:t xml:space="preserve"> </w:t>
      </w:r>
    </w:p>
    <w:p w:rsidR="00FF384B" w:rsidRDefault="003E3BA9">
      <w:pPr>
        <w:spacing w:after="95"/>
        <w:ind w:left="979"/>
      </w:pPr>
      <w:r>
        <w:rPr>
          <w:rFonts w:ascii="Arial" w:eastAsia="Arial" w:hAnsi="Arial" w:cs="Arial"/>
        </w:rPr>
        <w:t xml:space="preserve">  </w:t>
      </w:r>
    </w:p>
    <w:p w:rsidR="00FF384B" w:rsidRDefault="003E3BA9">
      <w:pPr>
        <w:pStyle w:val="Ttulo2"/>
        <w:spacing w:after="106"/>
        <w:ind w:left="767" w:right="21"/>
      </w:pPr>
      <w:r>
        <w:t xml:space="preserve">LEGISLACIÓN APLICABLE </w:t>
      </w:r>
    </w:p>
    <w:p w:rsidR="00FF384B" w:rsidRDefault="003E3BA9">
      <w:pPr>
        <w:spacing w:after="100"/>
        <w:ind w:left="991"/>
      </w:pPr>
      <w:r>
        <w:rPr>
          <w:rFonts w:ascii="Arial" w:eastAsia="Arial" w:hAnsi="Arial" w:cs="Arial"/>
        </w:rPr>
        <w:t xml:space="preserve"> </w:t>
      </w:r>
    </w:p>
    <w:p w:rsidR="00FF384B" w:rsidRDefault="003E3BA9">
      <w:pPr>
        <w:spacing w:after="229" w:line="247" w:lineRule="auto"/>
        <w:ind w:left="1013" w:right="244" w:hanging="10"/>
        <w:jc w:val="both"/>
      </w:pPr>
      <w:r>
        <w:rPr>
          <w:rFonts w:ascii="Arial" w:eastAsia="Arial" w:hAnsi="Arial" w:cs="Arial"/>
        </w:rPr>
        <w:t xml:space="preserve">La Legislación aplicable al asunto es la siguiente: </w:t>
      </w:r>
    </w:p>
    <w:p w:rsidR="00FF384B" w:rsidRDefault="003E3BA9">
      <w:pPr>
        <w:spacing w:after="0"/>
        <w:ind w:left="991"/>
      </w:pPr>
      <w:r>
        <w:rPr>
          <w:rFonts w:ascii="Times New Roman" w:eastAsia="Times New Roman" w:hAnsi="Times New Roman" w:cs="Times New Roman"/>
          <w:sz w:val="24"/>
        </w:rPr>
        <w:t xml:space="preserve"> </w:t>
      </w:r>
    </w:p>
    <w:p w:rsidR="00FF384B" w:rsidRDefault="003E3BA9">
      <w:pPr>
        <w:spacing w:after="117" w:line="247" w:lineRule="auto"/>
        <w:ind w:left="268" w:right="244" w:firstLine="708"/>
        <w:jc w:val="both"/>
      </w:pPr>
      <w:r>
        <w:rPr>
          <w:rFonts w:ascii="Arial" w:eastAsia="Arial" w:hAnsi="Arial" w:cs="Arial"/>
          <w:i/>
          <w:sz w:val="24"/>
        </w:rPr>
        <w:t xml:space="preserve">— </w:t>
      </w:r>
      <w:r>
        <w:rPr>
          <w:rFonts w:ascii="Arial" w:eastAsia="Arial" w:hAnsi="Arial" w:cs="Arial"/>
          <w:i/>
          <w:sz w:val="24"/>
        </w:rPr>
        <w:t xml:space="preserve">Los artículos 63, 99 a 102, 116, 117, 122, 124 y 131 a 159 y las Disposiciones Adicionales Segunda, Tercera y Decimoquinta de la </w:t>
      </w:r>
      <w:r>
        <w:rPr>
          <w:rFonts w:ascii="Arial" w:eastAsia="Arial" w:hAnsi="Arial" w:cs="Arial"/>
        </w:rPr>
        <w:t>Ley 9/2017, de 8 de noviembre, de Contratos del Sector Público, por la que se transponen al ordenamiento jurídico español las D</w:t>
      </w:r>
      <w:r>
        <w:rPr>
          <w:rFonts w:ascii="Arial" w:eastAsia="Arial" w:hAnsi="Arial" w:cs="Arial"/>
        </w:rPr>
        <w:t>irectivas del Parlamento Europeo y del Consejo 2014/23/UE y 2014/24/UE, de 26 de febrero de 2014</w:t>
      </w:r>
      <w:r>
        <w:rPr>
          <w:rFonts w:ascii="Arial" w:eastAsia="Arial" w:hAnsi="Arial" w:cs="Arial"/>
          <w:i/>
          <w:sz w:val="24"/>
        </w:rPr>
        <w:t>.</w:t>
      </w:r>
      <w:r>
        <w:rPr>
          <w:rFonts w:ascii="Times New Roman" w:eastAsia="Times New Roman" w:hAnsi="Times New Roman" w:cs="Times New Roman"/>
          <w:sz w:val="24"/>
        </w:rPr>
        <w:t xml:space="preserve"> </w:t>
      </w:r>
    </w:p>
    <w:p w:rsidR="00FF384B" w:rsidRDefault="003E3BA9">
      <w:pPr>
        <w:spacing w:after="120" w:line="240" w:lineRule="auto"/>
        <w:ind w:left="283" w:firstLine="708"/>
        <w:jc w:val="both"/>
      </w:pPr>
      <w:r>
        <w:rPr>
          <w:rFonts w:ascii="Arial" w:eastAsia="Arial" w:hAnsi="Arial" w:cs="Arial"/>
          <w:i/>
          <w:sz w:val="24"/>
        </w:rPr>
        <w:t>— El Real Decreto 817/2009, de 8 de mayo, por el que se desarrolla parcialmente la Ley 30/2007, de 30 de octubre, de Contratos del Sector Público.</w:t>
      </w:r>
      <w:r>
        <w:rPr>
          <w:rFonts w:ascii="Times New Roman" w:eastAsia="Times New Roman" w:hAnsi="Times New Roman" w:cs="Times New Roman"/>
          <w:sz w:val="24"/>
        </w:rPr>
        <w:t xml:space="preserve"> </w:t>
      </w:r>
    </w:p>
    <w:p w:rsidR="00FF384B" w:rsidRDefault="003E3BA9">
      <w:pPr>
        <w:spacing w:after="106" w:line="240" w:lineRule="auto"/>
        <w:ind w:left="283" w:right="258" w:firstLine="708"/>
        <w:jc w:val="both"/>
      </w:pPr>
      <w:r>
        <w:rPr>
          <w:rFonts w:ascii="Arial" w:eastAsia="Arial" w:hAnsi="Arial" w:cs="Arial"/>
          <w:i/>
          <w:sz w:val="24"/>
        </w:rPr>
        <w:t>— El Real</w:t>
      </w:r>
      <w:r>
        <w:rPr>
          <w:rFonts w:ascii="Arial" w:eastAsia="Arial" w:hAnsi="Arial" w:cs="Arial"/>
          <w:i/>
          <w:sz w:val="24"/>
        </w:rPr>
        <w:t xml:space="preserve"> Decreto 1098/2001, de 12 de octubre, por el que se aprueba el Reglamento General de la Ley de Contratos de las Administraciones Públicas.</w:t>
      </w:r>
      <w:r>
        <w:rPr>
          <w:rFonts w:ascii="Arial" w:eastAsia="Arial" w:hAnsi="Arial" w:cs="Arial"/>
          <w:color w:val="272727"/>
          <w:sz w:val="21"/>
        </w:rPr>
        <w:t xml:space="preserve"> </w:t>
      </w:r>
      <w:r>
        <w:rPr>
          <w:rFonts w:ascii="Arial" w:eastAsia="Arial" w:hAnsi="Arial" w:cs="Arial"/>
          <w:i/>
          <w:sz w:val="24"/>
        </w:rPr>
        <w:t>(Artículos vigentes tras la entrada en vigor del Real Decreto 817/2009, de 8 de mayo).</w:t>
      </w:r>
      <w:r>
        <w:rPr>
          <w:rFonts w:ascii="Times New Roman" w:eastAsia="Times New Roman" w:hAnsi="Times New Roman" w:cs="Times New Roman"/>
          <w:sz w:val="24"/>
        </w:rPr>
        <w:t xml:space="preserve"> </w:t>
      </w:r>
    </w:p>
    <w:p w:rsidR="00FF384B" w:rsidRDefault="003E3BA9">
      <w:pPr>
        <w:spacing w:after="352"/>
        <w:ind w:left="566"/>
      </w:pPr>
      <w:r>
        <w:rPr>
          <w:rFonts w:ascii="Arial" w:eastAsia="Arial" w:hAnsi="Arial" w:cs="Arial"/>
          <w:i/>
        </w:rPr>
        <w:t xml:space="preserve"> </w:t>
      </w:r>
    </w:p>
    <w:p w:rsidR="00FF384B" w:rsidRDefault="003E3BA9">
      <w:pPr>
        <w:spacing w:after="96" w:line="247" w:lineRule="auto"/>
        <w:ind w:left="268" w:right="244" w:firstLine="696"/>
        <w:jc w:val="both"/>
      </w:pPr>
      <w:r>
        <w:rPr>
          <w:rFonts w:ascii="Arial" w:eastAsia="Arial" w:hAnsi="Arial" w:cs="Arial"/>
          <w:i/>
        </w:rPr>
        <w:t>Visto cuanto antecede, se c</w:t>
      </w:r>
      <w:r>
        <w:rPr>
          <w:rFonts w:ascii="Arial" w:eastAsia="Arial" w:hAnsi="Arial" w:cs="Arial"/>
          <w:i/>
        </w:rPr>
        <w:t xml:space="preserve">onsidera que el expediente ha seguido la tramitación establecida en la Legislación aplicable procediendo su aprobación por el Pleno de la Corporación, de conformidad con la Disposición Adicional Segunda de la Ley 9/2017 de 8 de noviembre, de Contratos del </w:t>
      </w:r>
      <w:r>
        <w:rPr>
          <w:rFonts w:ascii="Arial" w:eastAsia="Arial" w:hAnsi="Arial" w:cs="Arial"/>
          <w:i/>
        </w:rPr>
        <w:t>Sector Público, por la que se transponen al ordenamiento jurídico español las Directivas del Parlamento Europeo y del Consejo 2014/23/UE y 2014/24/UE, de 26 de febrero de 2014.</w:t>
      </w:r>
      <w:r>
        <w:rPr>
          <w:rFonts w:ascii="Times New Roman" w:eastAsia="Times New Roman" w:hAnsi="Times New Roman" w:cs="Times New Roman"/>
          <w:sz w:val="24"/>
        </w:rPr>
        <w:t xml:space="preserve"> </w:t>
      </w:r>
    </w:p>
    <w:p w:rsidR="00FF384B" w:rsidRDefault="003E3BA9">
      <w:pPr>
        <w:spacing w:after="347"/>
        <w:ind w:left="1274"/>
      </w:pPr>
      <w:r>
        <w:rPr>
          <w:noProof/>
        </w:rPr>
        <mc:AlternateContent>
          <mc:Choice Requires="wpg">
            <w:drawing>
              <wp:anchor distT="0" distB="0" distL="114300" distR="114300" simplePos="0" relativeHeight="2518681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6123" name="Group 48612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7463" name="Picture 37463"/>
                          <pic:cNvPicPr/>
                        </pic:nvPicPr>
                        <pic:blipFill>
                          <a:blip r:embed="rId62"/>
                          <a:stretch>
                            <a:fillRect/>
                          </a:stretch>
                        </pic:blipFill>
                        <pic:spPr>
                          <a:xfrm rot="-5399999">
                            <a:off x="-1720849" y="1720849"/>
                            <a:ext cx="3797300" cy="355601"/>
                          </a:xfrm>
                          <a:prstGeom prst="rect">
                            <a:avLst/>
                          </a:prstGeom>
                        </pic:spPr>
                      </pic:pic>
                      <wps:wsp>
                        <wps:cNvPr id="37464" name="Rectangle 3746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37465" name="Rectangle 3746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6123" style="width:41.2715pt;height:299pt;position:absolute;mso-position-horizontal-relative:page;mso-position-horizontal:absolute;margin-left:653.71pt;mso-position-vertical-relative:page;margin-top:512.92pt;" coordsize="5241,37973">
                <v:shape id="Picture 37463" style="position:absolute;width:37973;height:3556;left:-17208;top:17208;rotation:-89;" filled="f">
                  <v:imagedata r:id="rId63"/>
                </v:shape>
                <v:rect id="Rectangle 3746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746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204 de 353 </w:t>
                        </w:r>
                      </w:p>
                    </w:txbxContent>
                  </v:textbox>
                </v:rect>
                <w10:wrap type="square"/>
              </v:group>
            </w:pict>
          </mc:Fallback>
        </mc:AlternateContent>
      </w:r>
      <w:r>
        <w:rPr>
          <w:rFonts w:ascii="Arial" w:eastAsia="Arial" w:hAnsi="Arial" w:cs="Arial"/>
        </w:rPr>
        <w:t xml:space="preserve"> </w:t>
      </w:r>
    </w:p>
    <w:p w:rsidR="00FF384B" w:rsidRDefault="003E3BA9">
      <w:pPr>
        <w:spacing w:after="111" w:line="247" w:lineRule="auto"/>
        <w:ind w:left="989" w:right="244" w:hanging="10"/>
        <w:jc w:val="both"/>
      </w:pPr>
      <w:r>
        <w:rPr>
          <w:rFonts w:ascii="Arial" w:eastAsia="Arial" w:hAnsi="Arial" w:cs="Arial"/>
          <w:i/>
        </w:rPr>
        <w:t xml:space="preserve">Por ello, la que suscribe eleva la siguiente propuesta de resolución: </w:t>
      </w:r>
    </w:p>
    <w:p w:rsidR="00FF384B" w:rsidRDefault="003E3BA9">
      <w:pPr>
        <w:spacing w:after="352"/>
        <w:ind w:left="1274"/>
      </w:pPr>
      <w:r>
        <w:rPr>
          <w:rFonts w:ascii="Arial" w:eastAsia="Arial" w:hAnsi="Arial" w:cs="Arial"/>
          <w:i/>
        </w:rPr>
        <w:t xml:space="preserve"> </w:t>
      </w:r>
    </w:p>
    <w:p w:rsidR="00FF384B" w:rsidRDefault="003E3BA9">
      <w:pPr>
        <w:spacing w:after="365"/>
        <w:ind w:left="288" w:hanging="10"/>
        <w:jc w:val="center"/>
      </w:pPr>
      <w:r>
        <w:rPr>
          <w:rFonts w:ascii="Arial" w:eastAsia="Arial" w:hAnsi="Arial" w:cs="Arial"/>
          <w:i/>
        </w:rPr>
        <w:t xml:space="preserve">INFORME-PROPUESTA DE RESOLUCIÓN </w:t>
      </w:r>
    </w:p>
    <w:p w:rsidR="00FF384B" w:rsidRDefault="003E3BA9">
      <w:pPr>
        <w:spacing w:after="129" w:line="247" w:lineRule="auto"/>
        <w:ind w:left="268" w:right="244" w:firstLine="283"/>
        <w:jc w:val="both"/>
      </w:pPr>
      <w:r>
        <w:rPr>
          <w:rFonts w:ascii="Arial" w:eastAsia="Arial" w:hAnsi="Arial" w:cs="Arial"/>
          <w:i/>
        </w:rPr>
        <w:t xml:space="preserve">   PRIMERO. </w:t>
      </w:r>
      <w:r>
        <w:rPr>
          <w:rFonts w:ascii="Arial" w:eastAsia="Arial" w:hAnsi="Arial" w:cs="Arial"/>
          <w:i/>
        </w:rPr>
        <w:t>Adjudicar a la empresa “ENDESA ENERGÍA,SAU</w:t>
      </w:r>
      <w:r>
        <w:rPr>
          <w:rFonts w:ascii="Arial" w:eastAsia="Arial" w:hAnsi="Arial" w:cs="Arial"/>
        </w:rPr>
        <w:t>”</w:t>
      </w:r>
      <w:r>
        <w:rPr>
          <w:rFonts w:ascii="Arial" w:eastAsia="Arial" w:hAnsi="Arial" w:cs="Arial"/>
          <w:i/>
        </w:rPr>
        <w:t xml:space="preserve">, con CIF nº A81948077, la ejecución del contrato basado en el Acuerdo Marco para la contratación del suministro de electricidad en alta y baja tensión para la Central de Contratación de la Federación Española de </w:t>
      </w:r>
      <w:r>
        <w:rPr>
          <w:rFonts w:ascii="Arial" w:eastAsia="Arial" w:hAnsi="Arial" w:cs="Arial"/>
          <w:i/>
        </w:rPr>
        <w:t>Municipios y Provincias (FEMP) LOTE 7 (Islas Canarias), conforme al precio unitario ofertado del término de energía para todas y cada una de las tarifas previstas en el documento de invitación presentado,  por un importe económico para todas las anualidade</w:t>
      </w:r>
      <w:r>
        <w:rPr>
          <w:rFonts w:ascii="Arial" w:eastAsia="Arial" w:hAnsi="Arial" w:cs="Arial"/>
          <w:i/>
        </w:rPr>
        <w:t>s de la contratación de 2.571.450,00 euros, más 193.150,00 euros en concepto de IGIC, y las que se detallan en los pliegos de cláusulas administrativas particulares y de prescripciones técnicas del Acuerdo Marco, y por un importe anual de 553.000,00 euros,</w:t>
      </w:r>
      <w:r>
        <w:rPr>
          <w:rFonts w:ascii="Arial" w:eastAsia="Arial" w:hAnsi="Arial" w:cs="Arial"/>
          <w:i/>
        </w:rPr>
        <w:t xml:space="preserve"> más 38.710,00 euros.</w:t>
      </w:r>
      <w:r>
        <w:rPr>
          <w:rFonts w:ascii="Arial" w:eastAsia="Arial" w:hAnsi="Arial" w:cs="Arial"/>
        </w:rPr>
        <w:t xml:space="preserve"> </w:t>
      </w:r>
    </w:p>
    <w:p w:rsidR="00FF384B" w:rsidRDefault="003E3BA9">
      <w:pPr>
        <w:spacing w:after="0"/>
        <w:ind w:left="991"/>
      </w:pPr>
      <w:r>
        <w:rPr>
          <w:rFonts w:ascii="Times New Roman" w:eastAsia="Times New Roman" w:hAnsi="Times New Roman" w:cs="Times New Roman"/>
          <w:b/>
          <w:sz w:val="24"/>
        </w:rPr>
        <w:t xml:space="preserve"> </w:t>
      </w:r>
    </w:p>
    <w:p w:rsidR="00FF384B" w:rsidRDefault="003E3BA9">
      <w:pPr>
        <w:spacing w:after="4" w:line="247" w:lineRule="auto"/>
        <w:ind w:left="268" w:right="244" w:firstLine="708"/>
        <w:jc w:val="both"/>
      </w:pPr>
      <w:r>
        <w:rPr>
          <w:rFonts w:ascii="Arial" w:eastAsia="Arial" w:hAnsi="Arial" w:cs="Arial"/>
          <w:i/>
        </w:rPr>
        <w:t>SEGUNDO</w:t>
      </w:r>
      <w:r>
        <w:rPr>
          <w:rFonts w:ascii="Arial" w:eastAsia="Arial" w:hAnsi="Arial" w:cs="Arial"/>
          <w:b/>
          <w:i/>
        </w:rPr>
        <w:t>.</w:t>
      </w:r>
      <w:r>
        <w:rPr>
          <w:rFonts w:ascii="Arial" w:eastAsia="Arial" w:hAnsi="Arial" w:cs="Arial"/>
          <w:i/>
        </w:rPr>
        <w:t xml:space="preserve">  Aprobar el gasto por importe de 2.764.600,00 euros para la totalidad de la adjudicación con cargo a las aplicaciones presupuestarias 92000.22100 y 16500.22100, con el siguiente desglose por anualidades:</w:t>
      </w:r>
      <w:r>
        <w:rPr>
          <w:rFonts w:ascii="Times New Roman" w:eastAsia="Times New Roman" w:hAnsi="Times New Roman" w:cs="Times New Roman"/>
          <w:sz w:val="24"/>
        </w:rPr>
        <w:t xml:space="preserve"> </w:t>
      </w:r>
    </w:p>
    <w:p w:rsidR="00FF384B" w:rsidRDefault="003E3BA9">
      <w:pPr>
        <w:spacing w:after="0"/>
        <w:ind w:left="991"/>
      </w:pPr>
      <w:r>
        <w:rPr>
          <w:rFonts w:ascii="Times New Roman" w:eastAsia="Times New Roman" w:hAnsi="Times New Roman" w:cs="Times New Roman"/>
          <w:sz w:val="24"/>
        </w:rPr>
        <w:t xml:space="preserve"> </w:t>
      </w:r>
    </w:p>
    <w:tbl>
      <w:tblPr>
        <w:tblStyle w:val="TableGrid"/>
        <w:tblW w:w="8495" w:type="dxa"/>
        <w:tblInd w:w="288" w:type="dxa"/>
        <w:tblCellMar>
          <w:top w:w="7" w:type="dxa"/>
          <w:left w:w="156" w:type="dxa"/>
          <w:bottom w:w="0" w:type="dxa"/>
          <w:right w:w="95" w:type="dxa"/>
        </w:tblCellMar>
        <w:tblLook w:val="04A0" w:firstRow="1" w:lastRow="0" w:firstColumn="1" w:lastColumn="0" w:noHBand="0" w:noVBand="1"/>
      </w:tblPr>
      <w:tblGrid>
        <w:gridCol w:w="1375"/>
        <w:gridCol w:w="1685"/>
        <w:gridCol w:w="3291"/>
        <w:gridCol w:w="2144"/>
      </w:tblGrid>
      <w:tr w:rsidR="00FF384B">
        <w:trPr>
          <w:trHeight w:val="384"/>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Anualidad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b/>
              </w:rPr>
              <w:t xml:space="preserve">D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b/>
              </w:rPr>
              <w:t xml:space="preserve">Aplicación Presupuestaria </w:t>
            </w:r>
          </w:p>
        </w:tc>
        <w:tc>
          <w:tcPr>
            <w:tcW w:w="2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Importe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2021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2.21.0.02842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400.000,00 €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2022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2.21.2.02843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553.000,00 € </w:t>
            </w:r>
          </w:p>
        </w:tc>
      </w:tr>
      <w:tr w:rsidR="00FF384B">
        <w:trPr>
          <w:trHeight w:val="757"/>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2023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2.21.2.02844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2024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2.21.2.02845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2025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2.21.2.02846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86"/>
              <w:jc w:val="center"/>
            </w:pPr>
            <w:r>
              <w:rPr>
                <w:rFonts w:ascii="Arial" w:eastAsia="Arial" w:hAnsi="Arial" w:cs="Arial"/>
              </w:rPr>
              <w:t xml:space="preserve">2026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rPr>
              <w:t xml:space="preserve">2.21.2.02849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86"/>
              <w:jc w:val="center"/>
            </w:pPr>
            <w:r>
              <w:rPr>
                <w:rFonts w:ascii="Arial" w:eastAsia="Arial" w:hAnsi="Arial" w:cs="Arial"/>
              </w:rPr>
              <w:t xml:space="preserve">2021.92000.22100 </w:t>
            </w:r>
          </w:p>
          <w:p w:rsidR="00FF384B" w:rsidRDefault="003E3BA9">
            <w:pPr>
              <w:spacing w:after="0"/>
              <w:ind w:right="86"/>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82"/>
              <w:jc w:val="center"/>
            </w:pPr>
            <w:r>
              <w:rPr>
                <w:rFonts w:ascii="Arial" w:eastAsia="Arial" w:hAnsi="Arial" w:cs="Arial"/>
              </w:rPr>
              <w:t xml:space="preserve">153.000,00 € </w:t>
            </w:r>
          </w:p>
        </w:tc>
      </w:tr>
    </w:tbl>
    <w:p w:rsidR="00FF384B" w:rsidRDefault="003E3BA9">
      <w:pPr>
        <w:spacing w:after="0"/>
        <w:ind w:left="991"/>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4" w:line="358" w:lineRule="auto"/>
        <w:ind w:left="268" w:right="244" w:firstLine="708"/>
        <w:jc w:val="both"/>
      </w:pPr>
      <w:r>
        <w:rPr>
          <w:rFonts w:ascii="Arial" w:eastAsia="Arial" w:hAnsi="Arial" w:cs="Arial"/>
          <w:i/>
        </w:rPr>
        <w:t xml:space="preserve">TERCERO. Publicar anuncio de adjudicación en la Plataforma de Contratación del Estado, dentro de los treinta días siguientes al fin del trimestre. </w:t>
      </w:r>
    </w:p>
    <w:p w:rsidR="00FF384B" w:rsidRDefault="003E3BA9">
      <w:pPr>
        <w:spacing w:after="105"/>
        <w:ind w:left="991"/>
      </w:pPr>
      <w:r>
        <w:rPr>
          <w:rFonts w:ascii="Arial" w:eastAsia="Arial" w:hAnsi="Arial" w:cs="Arial"/>
          <w:b/>
          <w:i/>
        </w:rPr>
        <w:t xml:space="preserve"> </w:t>
      </w:r>
    </w:p>
    <w:p w:rsidR="00FF384B" w:rsidRDefault="003E3BA9">
      <w:pPr>
        <w:spacing w:after="4" w:line="349" w:lineRule="auto"/>
        <w:ind w:left="268" w:right="244" w:firstLine="708"/>
        <w:jc w:val="both"/>
      </w:pPr>
      <w:r>
        <w:rPr>
          <w:rFonts w:ascii="Arial" w:eastAsia="Arial" w:hAnsi="Arial" w:cs="Arial"/>
          <w:i/>
        </w:rPr>
        <w:t>CUARTO. Designar como responsables de la ejecución del contrato al empleado municipal Javier González Gómez, según Acuerdo del Ayuntamiento Pleno de fecha 25 de febrero de 2021.</w:t>
      </w:r>
      <w:r>
        <w:rPr>
          <w:rFonts w:ascii="Times New Roman" w:eastAsia="Times New Roman" w:hAnsi="Times New Roman" w:cs="Times New Roman"/>
          <w:sz w:val="24"/>
        </w:rPr>
        <w:t xml:space="preserve"> </w:t>
      </w:r>
    </w:p>
    <w:p w:rsidR="00FF384B" w:rsidRDefault="003E3BA9">
      <w:pPr>
        <w:spacing w:after="206"/>
        <w:ind w:left="991"/>
      </w:pPr>
      <w:r>
        <w:rPr>
          <w:rFonts w:ascii="Arial" w:eastAsia="Arial" w:hAnsi="Arial" w:cs="Arial"/>
          <w:i/>
        </w:rPr>
        <w:t xml:space="preserve"> </w:t>
      </w:r>
    </w:p>
    <w:p w:rsidR="00FF384B" w:rsidRDefault="003E3BA9">
      <w:pPr>
        <w:spacing w:after="112" w:line="246" w:lineRule="auto"/>
        <w:ind w:left="268" w:right="222" w:firstLine="696"/>
      </w:pPr>
      <w:r>
        <w:rPr>
          <w:noProof/>
        </w:rPr>
        <mc:AlternateContent>
          <mc:Choice Requires="wpg">
            <w:drawing>
              <wp:anchor distT="0" distB="0" distL="114300" distR="114300" simplePos="0" relativeHeight="2518691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0679" name="Group 52067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7693" name="Picture 37693"/>
                          <pic:cNvPicPr/>
                        </pic:nvPicPr>
                        <pic:blipFill>
                          <a:blip r:embed="rId62"/>
                          <a:stretch>
                            <a:fillRect/>
                          </a:stretch>
                        </pic:blipFill>
                        <pic:spPr>
                          <a:xfrm rot="-5399999">
                            <a:off x="-1720849" y="1720849"/>
                            <a:ext cx="3797300" cy="355601"/>
                          </a:xfrm>
                          <a:prstGeom prst="rect">
                            <a:avLst/>
                          </a:prstGeom>
                        </pic:spPr>
                      </pic:pic>
                      <wps:wsp>
                        <wps:cNvPr id="37694" name="Rectangle 3769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w:t>
                              </w:r>
                              <w:r>
                                <w:rPr>
                                  <w:rFonts w:ascii="Arial" w:eastAsia="Arial" w:hAnsi="Arial" w:cs="Arial"/>
                                  <w:sz w:val="12"/>
                                </w:rPr>
                                <w:t xml:space="preserve">laria.sedelectronica.es/ </w:t>
                              </w:r>
                            </w:p>
                          </w:txbxContent>
                        </wps:txbx>
                        <wps:bodyPr horzOverflow="overflow" vert="horz" lIns="0" tIns="0" rIns="0" bIns="0" rtlCol="0">
                          <a:noAutofit/>
                        </wps:bodyPr>
                      </wps:wsp>
                      <wps:wsp>
                        <wps:cNvPr id="37695" name="Rectangle 3769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0679" style="width:41.2715pt;height:299pt;position:absolute;mso-position-horizontal-relative:page;mso-position-horizontal:absolute;margin-left:653.71pt;mso-position-vertical-relative:page;margin-top:512.92pt;" coordsize="5241,37973">
                <v:shape id="Picture 37693" style="position:absolute;width:37973;height:3556;left:-17208;top:17208;rotation:-89;" filled="f">
                  <v:imagedata r:id="rId63"/>
                </v:shape>
                <v:rect id="Rectangle 3769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769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205 de 353 </w:t>
                        </w:r>
                      </w:p>
                    </w:txbxContent>
                  </v:textbox>
                </v:rect>
                <w10:wrap type="square"/>
              </v:group>
            </w:pict>
          </mc:Fallback>
        </mc:AlternateContent>
      </w:r>
      <w:r>
        <w:rPr>
          <w:rFonts w:ascii="Arial" w:eastAsia="Arial" w:hAnsi="Arial" w:cs="Arial"/>
          <w:i/>
        </w:rPr>
        <w:t>QUINTO. Notificar a la empresa adjudicataria del contrato por la sede electrónica municipal y por la plataforma informática de la Cen</w:t>
      </w:r>
      <w:r>
        <w:rPr>
          <w:rFonts w:ascii="Arial" w:eastAsia="Arial" w:hAnsi="Arial" w:cs="Arial"/>
          <w:i/>
        </w:rPr>
        <w:t xml:space="preserve">tral de Contratación de la FEMP, perfeccionándose el presente Contrato Basado con su adjudicación. </w:t>
      </w:r>
    </w:p>
    <w:p w:rsidR="00FF384B" w:rsidRDefault="003E3BA9">
      <w:pPr>
        <w:spacing w:after="100"/>
        <w:ind w:left="979"/>
      </w:pPr>
      <w:r>
        <w:rPr>
          <w:rFonts w:ascii="Arial" w:eastAsia="Arial" w:hAnsi="Arial" w:cs="Arial"/>
          <w:i/>
        </w:rPr>
        <w:t xml:space="preserve"> </w:t>
      </w:r>
    </w:p>
    <w:p w:rsidR="00FF384B" w:rsidRDefault="003E3BA9">
      <w:pPr>
        <w:spacing w:after="112" w:line="247" w:lineRule="auto"/>
        <w:ind w:left="268" w:right="244" w:firstLine="696"/>
        <w:jc w:val="both"/>
      </w:pPr>
      <w:r>
        <w:rPr>
          <w:rFonts w:ascii="Arial" w:eastAsia="Arial" w:hAnsi="Arial" w:cs="Arial"/>
          <w:i/>
        </w:rPr>
        <w:t>SEXTO. Notificar al resto de licitadores por la sede electrónica municipal y por la plataforma informática de la Central de Contratación de la FEMP.</w:t>
      </w:r>
      <w:r>
        <w:rPr>
          <w:rFonts w:ascii="Arial" w:eastAsia="Arial" w:hAnsi="Arial" w:cs="Arial"/>
        </w:rPr>
        <w:t xml:space="preserve"> </w:t>
      </w:r>
    </w:p>
    <w:p w:rsidR="00FF384B" w:rsidRDefault="003E3BA9">
      <w:pPr>
        <w:spacing w:after="100"/>
        <w:ind w:left="283"/>
      </w:pPr>
      <w:r>
        <w:rPr>
          <w:rFonts w:ascii="Arial" w:eastAsia="Arial" w:hAnsi="Arial" w:cs="Arial"/>
          <w:i/>
        </w:rPr>
        <w:t xml:space="preserve"> </w:t>
      </w:r>
    </w:p>
    <w:p w:rsidR="00FF384B" w:rsidRDefault="003E3BA9">
      <w:pPr>
        <w:spacing w:after="109" w:line="247" w:lineRule="auto"/>
        <w:ind w:left="278" w:right="244" w:hanging="10"/>
        <w:jc w:val="both"/>
      </w:pPr>
      <w:r>
        <w:rPr>
          <w:rFonts w:ascii="Arial" w:eastAsia="Arial" w:hAnsi="Arial" w:cs="Arial"/>
        </w:rPr>
        <w:t>En</w:t>
      </w:r>
      <w:r>
        <w:rPr>
          <w:rFonts w:ascii="Arial" w:eastAsia="Arial" w:hAnsi="Arial" w:cs="Arial"/>
        </w:rPr>
        <w:t xml:space="preserve"> virtud de lo expuesto, se somete al Pleno la siguiente propuesta de Resolución: </w:t>
      </w:r>
    </w:p>
    <w:p w:rsidR="00FF384B" w:rsidRDefault="003E3BA9">
      <w:pPr>
        <w:spacing w:after="100"/>
        <w:ind w:left="283"/>
      </w:pPr>
      <w:r>
        <w:rPr>
          <w:rFonts w:ascii="Arial" w:eastAsia="Arial" w:hAnsi="Arial" w:cs="Arial"/>
        </w:rPr>
        <w:t xml:space="preserve"> </w:t>
      </w:r>
    </w:p>
    <w:p w:rsidR="00FF384B" w:rsidRDefault="003E3BA9">
      <w:pPr>
        <w:spacing w:after="96"/>
        <w:ind w:left="283"/>
      </w:pPr>
      <w:r>
        <w:rPr>
          <w:rFonts w:ascii="Arial" w:eastAsia="Arial" w:hAnsi="Arial" w:cs="Arial"/>
        </w:rPr>
        <w:t xml:space="preserve"> </w:t>
      </w:r>
    </w:p>
    <w:p w:rsidR="00FF384B" w:rsidRDefault="003E3BA9">
      <w:pPr>
        <w:pStyle w:val="Ttulo2"/>
        <w:spacing w:after="106"/>
        <w:ind w:left="767" w:right="731"/>
      </w:pPr>
      <w:r>
        <w:t xml:space="preserve">PROPUESTA DE ACUERDO </w:t>
      </w:r>
    </w:p>
    <w:p w:rsidR="00FF384B" w:rsidRDefault="003E3BA9">
      <w:pPr>
        <w:spacing w:after="0"/>
        <w:ind w:left="283"/>
      </w:pPr>
      <w:r>
        <w:rPr>
          <w:rFonts w:ascii="Arial" w:eastAsia="Arial" w:hAnsi="Arial" w:cs="Arial"/>
        </w:rPr>
        <w:t xml:space="preserve"> </w:t>
      </w:r>
    </w:p>
    <w:p w:rsidR="00FF384B" w:rsidRDefault="003E3BA9">
      <w:pPr>
        <w:spacing w:after="128" w:line="247" w:lineRule="auto"/>
        <w:ind w:left="268" w:right="244" w:firstLine="283"/>
        <w:jc w:val="both"/>
      </w:pPr>
      <w:r>
        <w:rPr>
          <w:rFonts w:ascii="Arial" w:eastAsia="Arial" w:hAnsi="Arial" w:cs="Arial"/>
          <w:b/>
        </w:rPr>
        <w:t xml:space="preserve">    PRIMERO.</w:t>
      </w:r>
      <w:r>
        <w:rPr>
          <w:rFonts w:ascii="Arial" w:eastAsia="Arial" w:hAnsi="Arial" w:cs="Arial"/>
        </w:rPr>
        <w:t xml:space="preserve"> Adjudicar a la empresa “ENDESA ENERGÍA,SAU”</w:t>
      </w:r>
      <w:r>
        <w:rPr>
          <w:rFonts w:ascii="Arial" w:eastAsia="Arial" w:hAnsi="Arial" w:cs="Arial"/>
        </w:rPr>
        <w:t>, con CIF nº A81948077, la ejecución del contrato basado en el Acuerdo Marco para la contratación del suministro de electricidad en alta y baja tensión para la Central de Contratación de la Federación Española de Municipios y Provincias (FEMP) LOTE 7 (Isla</w:t>
      </w:r>
      <w:r>
        <w:rPr>
          <w:rFonts w:ascii="Arial" w:eastAsia="Arial" w:hAnsi="Arial" w:cs="Arial"/>
        </w:rPr>
        <w:t>s Canarias), conforme al precio unitario ofertado del término de energía para todas y cada una de las tarifas previstas en el documento de invitación presentado,  por un importe económico para todas las anualidades de la contratación de 2.571.450,00 euros,</w:t>
      </w:r>
      <w:r>
        <w:rPr>
          <w:rFonts w:ascii="Arial" w:eastAsia="Arial" w:hAnsi="Arial" w:cs="Arial"/>
        </w:rPr>
        <w:t xml:space="preserve"> más 193.150,00 euros en concepto de IGIC, y las que se detallan en los pliegos de cláusulas administrativas particulares y de prescripciones técnicas del Acuerdo Marco, y por un importe anual de 553.000,00 euros, más 38.710,00 euros. </w:t>
      </w:r>
    </w:p>
    <w:p w:rsidR="00FF384B" w:rsidRDefault="003E3BA9">
      <w:pPr>
        <w:spacing w:after="0"/>
        <w:ind w:left="991"/>
      </w:pPr>
      <w:r>
        <w:rPr>
          <w:rFonts w:ascii="Times New Roman" w:eastAsia="Times New Roman" w:hAnsi="Times New Roman" w:cs="Times New Roman"/>
          <w:b/>
          <w:sz w:val="24"/>
        </w:rPr>
        <w:t xml:space="preserve"> </w:t>
      </w:r>
    </w:p>
    <w:p w:rsidR="00FF384B" w:rsidRDefault="003E3BA9">
      <w:pPr>
        <w:spacing w:after="5" w:line="247" w:lineRule="auto"/>
        <w:ind w:left="268" w:right="244" w:firstLine="708"/>
        <w:jc w:val="both"/>
      </w:pPr>
      <w:r>
        <w:rPr>
          <w:rFonts w:ascii="Arial" w:eastAsia="Arial" w:hAnsi="Arial" w:cs="Arial"/>
          <w:b/>
        </w:rPr>
        <w:t>SEGUNDO.</w:t>
      </w:r>
      <w:r>
        <w:rPr>
          <w:rFonts w:ascii="Arial" w:eastAsia="Arial" w:hAnsi="Arial" w:cs="Arial"/>
        </w:rPr>
        <w:t xml:space="preserve">  Aprobar </w:t>
      </w:r>
      <w:r>
        <w:rPr>
          <w:rFonts w:ascii="Arial" w:eastAsia="Arial" w:hAnsi="Arial" w:cs="Arial"/>
        </w:rPr>
        <w:t>el gasto por importe de 2.764.600,00 euros para la totalidad de la adjudicación con cargo a las aplicaciones presupuestarias 92000.22100 y 16500.22100, con el siguiente desglose por anualidades:</w:t>
      </w:r>
      <w:r>
        <w:rPr>
          <w:rFonts w:ascii="Times New Roman" w:eastAsia="Times New Roman" w:hAnsi="Times New Roman" w:cs="Times New Roman"/>
          <w:sz w:val="24"/>
        </w:rPr>
        <w:t xml:space="preserve"> </w:t>
      </w:r>
    </w:p>
    <w:p w:rsidR="00FF384B" w:rsidRDefault="003E3BA9">
      <w:pPr>
        <w:spacing w:after="0"/>
        <w:ind w:left="991"/>
      </w:pPr>
      <w:r>
        <w:rPr>
          <w:noProof/>
        </w:rPr>
        <mc:AlternateContent>
          <mc:Choice Requires="wpg">
            <w:drawing>
              <wp:anchor distT="0" distB="0" distL="114300" distR="114300" simplePos="0" relativeHeight="2518702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5543" name="Group 51554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7961" name="Picture 37961"/>
                          <pic:cNvPicPr/>
                        </pic:nvPicPr>
                        <pic:blipFill>
                          <a:blip r:embed="rId62"/>
                          <a:stretch>
                            <a:fillRect/>
                          </a:stretch>
                        </pic:blipFill>
                        <pic:spPr>
                          <a:xfrm rot="-5399999">
                            <a:off x="-1720849" y="1720849"/>
                            <a:ext cx="3797300" cy="355601"/>
                          </a:xfrm>
                          <a:prstGeom prst="rect">
                            <a:avLst/>
                          </a:prstGeom>
                        </pic:spPr>
                      </pic:pic>
                      <wps:wsp>
                        <wps:cNvPr id="37962" name="Rectangle 379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7963" name="Rectangle 3796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5543" style="width:41.2715pt;height:299pt;position:absolute;mso-position-horizontal-relative:page;mso-position-horizontal:absolute;margin-left:653.71pt;mso-position-vertical-relative:page;margin-top:512.92pt;" coordsize="5241,37973">
                <v:shape id="Picture 37961" style="position:absolute;width:37973;height:3556;left:-17208;top:17208;rotation:-89;" filled="f">
                  <v:imagedata r:id="rId63"/>
                </v:shape>
                <v:rect id="Rectangle 379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796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206 de 353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495" w:type="dxa"/>
        <w:tblInd w:w="288" w:type="dxa"/>
        <w:tblCellMar>
          <w:top w:w="7" w:type="dxa"/>
          <w:left w:w="156" w:type="dxa"/>
          <w:bottom w:w="0" w:type="dxa"/>
          <w:right w:w="95" w:type="dxa"/>
        </w:tblCellMar>
        <w:tblLook w:val="04A0" w:firstRow="1" w:lastRow="0" w:firstColumn="1" w:lastColumn="0" w:noHBand="0" w:noVBand="1"/>
      </w:tblPr>
      <w:tblGrid>
        <w:gridCol w:w="1375"/>
        <w:gridCol w:w="1685"/>
        <w:gridCol w:w="3291"/>
        <w:gridCol w:w="2144"/>
      </w:tblGrid>
      <w:tr w:rsidR="00FF384B">
        <w:trPr>
          <w:trHeight w:val="382"/>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Anualidad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b/>
              </w:rPr>
              <w:t xml:space="preserve">D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b/>
              </w:rPr>
              <w:t xml:space="preserve">Aplicación Presupuestaria </w:t>
            </w:r>
          </w:p>
        </w:tc>
        <w:tc>
          <w:tcPr>
            <w:tcW w:w="2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Importe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2021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2.21.0.02842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400.000,00 €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2022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2.21.2.02843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2023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2.21.2.02844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2024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2.21.2.02845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2025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2.21.2.02846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553.000,00 € </w:t>
            </w:r>
          </w:p>
        </w:tc>
      </w:tr>
      <w:tr w:rsidR="00FF384B">
        <w:trPr>
          <w:trHeight w:val="757"/>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rPr>
              <w:t xml:space="preserve">2026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rPr>
              <w:t xml:space="preserve">2.21.2.02849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1"/>
              <w:ind w:right="64"/>
              <w:jc w:val="center"/>
            </w:pPr>
            <w:r>
              <w:rPr>
                <w:rFonts w:ascii="Arial" w:eastAsia="Arial" w:hAnsi="Arial" w:cs="Arial"/>
              </w:rPr>
              <w:t xml:space="preserve">2021.92000.22100 </w:t>
            </w:r>
          </w:p>
          <w:p w:rsidR="00FF384B" w:rsidRDefault="003E3BA9">
            <w:pPr>
              <w:spacing w:after="0"/>
              <w:ind w:right="64"/>
              <w:jc w:val="center"/>
            </w:pPr>
            <w:r>
              <w:rPr>
                <w:rFonts w:ascii="Arial" w:eastAsia="Arial" w:hAnsi="Arial" w:cs="Arial"/>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rPr>
              <w:t xml:space="preserve">153.000,00 € </w:t>
            </w:r>
          </w:p>
        </w:tc>
      </w:tr>
    </w:tbl>
    <w:p w:rsidR="00FF384B" w:rsidRDefault="003E3BA9">
      <w:pPr>
        <w:spacing w:after="0"/>
        <w:ind w:left="991"/>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341" w:lineRule="auto"/>
        <w:ind w:left="268" w:right="244" w:firstLine="708"/>
        <w:jc w:val="both"/>
      </w:pPr>
      <w:r>
        <w:rPr>
          <w:rFonts w:ascii="Arial" w:eastAsia="Arial" w:hAnsi="Arial" w:cs="Arial"/>
          <w:b/>
        </w:rPr>
        <w:t>TERCERO.</w:t>
      </w:r>
      <w:r>
        <w:rPr>
          <w:rFonts w:ascii="Arial" w:eastAsia="Arial" w:hAnsi="Arial" w:cs="Arial"/>
        </w:rPr>
        <w:t xml:space="preserve"> </w:t>
      </w:r>
      <w:r>
        <w:rPr>
          <w:rFonts w:ascii="Arial" w:eastAsia="Arial" w:hAnsi="Arial" w:cs="Arial"/>
        </w:rPr>
        <w:t>Publicar anuncio de adjudicación en la Plataforma de Contratación del Estado, dentro de los treinta días siguientes al fin del trimestre.</w:t>
      </w:r>
      <w:r>
        <w:rPr>
          <w:rFonts w:ascii="Times New Roman" w:eastAsia="Times New Roman" w:hAnsi="Times New Roman" w:cs="Times New Roman"/>
          <w:sz w:val="24"/>
        </w:rPr>
        <w:t xml:space="preserve"> </w:t>
      </w:r>
    </w:p>
    <w:p w:rsidR="00FF384B" w:rsidRDefault="003E3BA9">
      <w:pPr>
        <w:spacing w:after="105"/>
        <w:ind w:left="991"/>
      </w:pPr>
      <w:r>
        <w:rPr>
          <w:rFonts w:ascii="Arial" w:eastAsia="Arial" w:hAnsi="Arial" w:cs="Arial"/>
          <w:b/>
        </w:rPr>
        <w:t xml:space="preserve"> </w:t>
      </w:r>
    </w:p>
    <w:p w:rsidR="00FF384B" w:rsidRDefault="003E3BA9">
      <w:pPr>
        <w:spacing w:after="5" w:line="351" w:lineRule="auto"/>
        <w:ind w:left="268" w:right="244" w:firstLine="708"/>
        <w:jc w:val="both"/>
      </w:pPr>
      <w:r>
        <w:rPr>
          <w:rFonts w:ascii="Arial" w:eastAsia="Arial" w:hAnsi="Arial" w:cs="Arial"/>
          <w:b/>
        </w:rPr>
        <w:t>CUARTO.</w:t>
      </w:r>
      <w:r>
        <w:rPr>
          <w:rFonts w:ascii="Arial" w:eastAsia="Arial" w:hAnsi="Arial" w:cs="Arial"/>
        </w:rPr>
        <w:t xml:space="preserve"> Designar como responsables de la ejecución del contrato al empleado municipal Javier González Gómez, según </w:t>
      </w:r>
      <w:r>
        <w:rPr>
          <w:rFonts w:ascii="Arial" w:eastAsia="Arial" w:hAnsi="Arial" w:cs="Arial"/>
        </w:rPr>
        <w:t>Acuerdo del Ayuntamiento Pleno de fecha 25 de febrero de 2021.</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rPr>
        <w:t xml:space="preserve"> </w:t>
      </w:r>
    </w:p>
    <w:p w:rsidR="00FF384B" w:rsidRDefault="003E3BA9">
      <w:pPr>
        <w:spacing w:after="102" w:line="239" w:lineRule="auto"/>
        <w:ind w:left="268" w:right="162" w:firstLine="696"/>
      </w:pPr>
      <w:r>
        <w:rPr>
          <w:rFonts w:ascii="Arial" w:eastAsia="Arial" w:hAnsi="Arial" w:cs="Arial"/>
          <w:b/>
        </w:rPr>
        <w:t>QUINTO.</w:t>
      </w:r>
      <w:r>
        <w:rPr>
          <w:rFonts w:ascii="Arial" w:eastAsia="Arial" w:hAnsi="Arial" w:cs="Arial"/>
        </w:rPr>
        <w:t xml:space="preserve"> Notificar a la empresa adjudicataria del contrato por la sede electrónica municipal y por la plataforma informática de la Central de Contratación de la FEMP, perfeccionándose el pres</w:t>
      </w:r>
      <w:r>
        <w:rPr>
          <w:rFonts w:ascii="Arial" w:eastAsia="Arial" w:hAnsi="Arial" w:cs="Arial"/>
        </w:rPr>
        <w:t>ente Contrato Basado con su adjudicación.</w:t>
      </w:r>
      <w:r>
        <w:rPr>
          <w:rFonts w:ascii="Times New Roman" w:eastAsia="Times New Roman" w:hAnsi="Times New Roman" w:cs="Times New Roman"/>
          <w:sz w:val="24"/>
        </w:rPr>
        <w:t xml:space="preserve"> </w:t>
      </w:r>
    </w:p>
    <w:p w:rsidR="00FF384B" w:rsidRDefault="003E3BA9">
      <w:pPr>
        <w:spacing w:after="98"/>
        <w:ind w:left="979"/>
      </w:pPr>
      <w:r>
        <w:rPr>
          <w:rFonts w:ascii="Arial" w:eastAsia="Arial" w:hAnsi="Arial" w:cs="Arial"/>
        </w:rPr>
        <w:t xml:space="preserve"> </w:t>
      </w:r>
    </w:p>
    <w:p w:rsidR="00FF384B" w:rsidRDefault="003E3BA9">
      <w:pPr>
        <w:spacing w:after="112" w:line="247" w:lineRule="auto"/>
        <w:ind w:left="268" w:right="244" w:firstLine="696"/>
        <w:jc w:val="both"/>
      </w:pPr>
      <w:r>
        <w:rPr>
          <w:rFonts w:ascii="Arial" w:eastAsia="Arial" w:hAnsi="Arial" w:cs="Arial"/>
          <w:b/>
        </w:rPr>
        <w:t>SEXTO.</w:t>
      </w:r>
      <w:r>
        <w:rPr>
          <w:rFonts w:ascii="Arial" w:eastAsia="Arial" w:hAnsi="Arial" w:cs="Arial"/>
        </w:rPr>
        <w:t xml:space="preserve"> Notificar al resto de licitadores por la sede electrónica municipal y por la plataforma informática de la Central de Contratación de la FEMP.” </w:t>
      </w:r>
    </w:p>
    <w:p w:rsidR="00FF384B" w:rsidRDefault="003E3BA9">
      <w:pPr>
        <w:spacing w:after="98"/>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DICTAMEN FAVORABLE DE LA COMISIÓN INFORMATIVA DE P.G. URBANÍSTICA </w:t>
      </w:r>
    </w:p>
    <w:p w:rsidR="00FF384B" w:rsidRDefault="003E3BA9">
      <w:pPr>
        <w:spacing w:after="15" w:line="247" w:lineRule="auto"/>
        <w:ind w:left="286" w:hanging="3"/>
        <w:jc w:val="both"/>
      </w:pPr>
      <w:r>
        <w:rPr>
          <w:rFonts w:ascii="Arial" w:eastAsia="Arial" w:hAnsi="Arial" w:cs="Arial"/>
          <w:b/>
        </w:rPr>
        <w:t xml:space="preserve">Y AMBIENTAL, OBRAS y SERVICIOS PÚBLICOS DE 26 DE ABRIL DE 2021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Votos a favor: 4. </w:t>
      </w:r>
    </w:p>
    <w:p w:rsidR="00FF384B" w:rsidRDefault="003E3BA9">
      <w:pPr>
        <w:spacing w:after="5" w:line="247" w:lineRule="auto"/>
        <w:ind w:left="278" w:right="244" w:hanging="10"/>
        <w:jc w:val="both"/>
      </w:pPr>
      <w:r>
        <w:rPr>
          <w:rFonts w:ascii="Arial" w:eastAsia="Arial" w:hAnsi="Arial" w:cs="Arial"/>
        </w:rPr>
        <w:t>Los 4 concejales del Grupo Socialista: Doña Hilaria Cecilia Otazo González, Don Jorge Baute Delgado, Do</w:t>
      </w:r>
      <w:r>
        <w:rPr>
          <w:rFonts w:ascii="Arial" w:eastAsia="Arial" w:hAnsi="Arial" w:cs="Arial"/>
        </w:rPr>
        <w:t xml:space="preserve">n Olegario Francisco Alonso Bello y Doña Margarita Eva Tendero Barroso.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Votos en contra: 0.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Abstenciones: 3.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8712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2900" name="Group 48290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087" name="Picture 38087"/>
                          <pic:cNvPicPr/>
                        </pic:nvPicPr>
                        <pic:blipFill>
                          <a:blip r:embed="rId62"/>
                          <a:stretch>
                            <a:fillRect/>
                          </a:stretch>
                        </pic:blipFill>
                        <pic:spPr>
                          <a:xfrm rot="-5399999">
                            <a:off x="-1720849" y="1720849"/>
                            <a:ext cx="3797300" cy="355601"/>
                          </a:xfrm>
                          <a:prstGeom prst="rect">
                            <a:avLst/>
                          </a:prstGeom>
                        </pic:spPr>
                      </pic:pic>
                      <wps:wsp>
                        <wps:cNvPr id="38088" name="Rectangle 3808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089" name="Rectangle 3808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2900" style="width:41.2715pt;height:299pt;position:absolute;mso-position-horizontal-relative:page;mso-position-horizontal:absolute;margin-left:653.71pt;mso-position-vertical-relative:page;margin-top:512.92pt;" coordsize="5241,37973">
                <v:shape id="Picture 38087" style="position:absolute;width:37973;height:3556;left:-17208;top:17208;rotation:-89;" filled="f">
                  <v:imagedata r:id="rId63"/>
                </v:shape>
                <v:rect id="Rectangle 3808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08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207 de 353 </w:t>
                        </w:r>
                      </w:p>
                    </w:txbxContent>
                  </v:textbox>
                </v:rect>
                <w10:wrap type="square"/>
              </v:group>
            </w:pict>
          </mc:Fallback>
        </mc:AlternateContent>
      </w:r>
      <w:r>
        <w:rPr>
          <w:rFonts w:ascii="Arial" w:eastAsia="Arial" w:hAnsi="Arial" w:cs="Arial"/>
        </w:rPr>
        <w:t xml:space="preserve">1 de la concejal del Grupo Popular, Doña Raquel Martín Castro.  </w:t>
      </w:r>
    </w:p>
    <w:p w:rsidR="00FF384B" w:rsidRDefault="003E3BA9">
      <w:pPr>
        <w:spacing w:after="5" w:line="247" w:lineRule="auto"/>
        <w:ind w:left="278" w:right="244" w:hanging="10"/>
        <w:jc w:val="both"/>
      </w:pPr>
      <w:r>
        <w:rPr>
          <w:rFonts w:ascii="Arial" w:eastAsia="Arial" w:hAnsi="Arial" w:cs="Arial"/>
        </w:rPr>
        <w:t xml:space="preserve">1 de la concejal del Grupo Mixto (CC-PNC), Doña Ángela Cruz Perera. </w:t>
      </w:r>
    </w:p>
    <w:p w:rsidR="00FF384B" w:rsidRDefault="003E3BA9">
      <w:pPr>
        <w:spacing w:after="5" w:line="247" w:lineRule="auto"/>
        <w:ind w:left="278" w:right="244" w:hanging="10"/>
        <w:jc w:val="both"/>
      </w:pPr>
      <w:r>
        <w:rPr>
          <w:rFonts w:ascii="Arial" w:eastAsia="Arial" w:hAnsi="Arial" w:cs="Arial"/>
        </w:rPr>
        <w:t xml:space="preserve">1 de la concejal del Grupo </w:t>
      </w:r>
      <w:r>
        <w:rPr>
          <w:rFonts w:ascii="Arial" w:eastAsia="Arial" w:hAnsi="Arial" w:cs="Arial"/>
        </w:rPr>
        <w:t xml:space="preserve">Mxto (SSP), Doña Lourdes del Carmen Mondéjar Rondón.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5" w:line="247" w:lineRule="auto"/>
        <w:ind w:left="286" w:right="2648" w:hanging="3"/>
        <w:jc w:val="both"/>
      </w:pPr>
      <w:r>
        <w:rPr>
          <w:rFonts w:ascii="Arial" w:eastAsia="Arial" w:hAnsi="Arial" w:cs="Arial"/>
          <w:b/>
        </w:rPr>
        <w:t xml:space="preserve">JUNTA DE PORTAVOCES DE 26 DE ABRIL DE 2021  </w:t>
      </w:r>
      <w:r>
        <w:rPr>
          <w:rFonts w:ascii="Arial" w:eastAsia="Arial" w:hAnsi="Arial" w:cs="Arial"/>
        </w:rPr>
        <w:t xml:space="preserve">Quedó oída.  </w:t>
      </w:r>
    </w:p>
    <w:p w:rsidR="00FF384B" w:rsidRDefault="003E3BA9">
      <w:pPr>
        <w:spacing w:after="0"/>
        <w:ind w:left="283"/>
      </w:pPr>
      <w:r>
        <w:rPr>
          <w:rFonts w:ascii="Arial" w:eastAsia="Arial" w:hAnsi="Arial" w:cs="Arial"/>
          <w:b/>
        </w:rPr>
        <w:t xml:space="preserve"> </w:t>
      </w:r>
    </w:p>
    <w:p w:rsidR="00FF384B" w:rsidRDefault="003E3BA9">
      <w:pPr>
        <w:spacing w:after="0"/>
        <w:ind w:left="283"/>
      </w:pPr>
      <w:r>
        <w:rPr>
          <w:rFonts w:ascii="Arial" w:eastAsia="Arial" w:hAnsi="Arial" w:cs="Arial"/>
          <w:b/>
        </w:rPr>
        <w:t xml:space="preserve"> </w:t>
      </w:r>
    </w:p>
    <w:p w:rsidR="00FF384B" w:rsidRDefault="003E3BA9">
      <w:pPr>
        <w:spacing w:after="114" w:line="247" w:lineRule="auto"/>
        <w:ind w:left="286" w:hanging="3"/>
        <w:jc w:val="both"/>
      </w:pPr>
      <w:r>
        <w:rPr>
          <w:rFonts w:ascii="Arial" w:eastAsia="Arial" w:hAnsi="Arial" w:cs="Arial"/>
          <w:b/>
        </w:rPr>
        <w:t xml:space="preserve">VOTACIÓN DEL PLENO DE 29 DE ABRIL DE 2021. </w:t>
      </w:r>
    </w:p>
    <w:p w:rsidR="00FF384B" w:rsidRDefault="003E3BA9">
      <w:pPr>
        <w:spacing w:after="109" w:line="247" w:lineRule="auto"/>
        <w:ind w:left="1001" w:right="244" w:hanging="10"/>
        <w:jc w:val="both"/>
      </w:pPr>
      <w:r>
        <w:rPr>
          <w:rFonts w:ascii="Arial" w:eastAsia="Arial" w:hAnsi="Arial" w:cs="Arial"/>
        </w:rPr>
        <w:t xml:space="preserve">Votos a favor: 15 </w:t>
      </w:r>
    </w:p>
    <w:p w:rsidR="00FF384B" w:rsidRDefault="003E3BA9">
      <w:pPr>
        <w:spacing w:after="114" w:line="247" w:lineRule="auto"/>
        <w:ind w:left="268" w:right="244" w:firstLine="708"/>
        <w:jc w:val="both"/>
      </w:pPr>
      <w:r>
        <w:rPr>
          <w:rFonts w:ascii="Arial" w:eastAsia="Arial" w:hAnsi="Arial" w:cs="Arial"/>
        </w:rPr>
        <w:t>11 concejales del Grupo Socialista: Doña María Concepción Brito Núñez, Do</w:t>
      </w:r>
      <w:r>
        <w:rPr>
          <w:rFonts w:ascii="Arial" w:eastAsia="Arial" w:hAnsi="Arial" w:cs="Arial"/>
        </w:rPr>
        <w:t>n Jorge Baute Delgado, Doña Olivia Concepción Pérez Díaz, Don José Francisco Pinto Ramos, Doña Hilaria Cecilia Otazo González, Don Airam Pérez Chinea, Doña Margarita Eva Tendero Barroso, Don Manuel Alberto González Pestano, Doña María del Carmen Clemente D</w:t>
      </w:r>
      <w:r>
        <w:rPr>
          <w:rFonts w:ascii="Arial" w:eastAsia="Arial" w:hAnsi="Arial" w:cs="Arial"/>
        </w:rPr>
        <w:t xml:space="preserve">íaz, Don Olegario Francisco Alonso Bello y Don Reinaldo José Triviño Blanco. </w:t>
      </w:r>
    </w:p>
    <w:p w:rsidR="00FF384B" w:rsidRDefault="003E3BA9">
      <w:pPr>
        <w:spacing w:after="112" w:line="247" w:lineRule="auto"/>
        <w:ind w:left="268" w:right="244" w:firstLine="708"/>
        <w:jc w:val="both"/>
      </w:pPr>
      <w:r>
        <w:rPr>
          <w:rFonts w:ascii="Arial" w:eastAsia="Arial" w:hAnsi="Arial" w:cs="Arial"/>
        </w:rPr>
        <w:t xml:space="preserve">3 concejales del Grupo Popular, Don Andrés Rodríguez Delgado, Doña Raquel Martín Castro y Don Jacobo López Fariña. </w:t>
      </w:r>
    </w:p>
    <w:p w:rsidR="00FF384B" w:rsidRDefault="003E3BA9">
      <w:pPr>
        <w:numPr>
          <w:ilvl w:val="0"/>
          <w:numId w:val="264"/>
        </w:numPr>
        <w:spacing w:after="111" w:line="247" w:lineRule="auto"/>
        <w:ind w:right="244" w:firstLine="708"/>
        <w:jc w:val="both"/>
      </w:pPr>
      <w:r>
        <w:rPr>
          <w:rFonts w:ascii="Arial" w:eastAsia="Arial" w:hAnsi="Arial" w:cs="Arial"/>
        </w:rPr>
        <w:t>de la concejal del Grupo Mixto, Doña Ángela Cruz Perera (CC-</w:t>
      </w:r>
      <w:r>
        <w:rPr>
          <w:rFonts w:ascii="Arial" w:eastAsia="Arial" w:hAnsi="Arial" w:cs="Arial"/>
        </w:rPr>
        <w:t xml:space="preserve">PNC). </w:t>
      </w:r>
    </w:p>
    <w:p w:rsidR="00FF384B" w:rsidRDefault="003E3BA9">
      <w:pPr>
        <w:spacing w:after="98"/>
        <w:ind w:left="991"/>
      </w:pPr>
      <w:r>
        <w:rPr>
          <w:rFonts w:ascii="Arial" w:eastAsia="Arial" w:hAnsi="Arial" w:cs="Arial"/>
        </w:rPr>
        <w:t xml:space="preserve"> </w:t>
      </w:r>
    </w:p>
    <w:p w:rsidR="00FF384B" w:rsidRDefault="003E3BA9">
      <w:pPr>
        <w:spacing w:after="5" w:line="247" w:lineRule="auto"/>
        <w:ind w:left="1001" w:right="244" w:hanging="10"/>
        <w:jc w:val="both"/>
      </w:pPr>
      <w:r>
        <w:rPr>
          <w:rFonts w:ascii="Arial" w:eastAsia="Arial" w:hAnsi="Arial" w:cs="Arial"/>
        </w:rPr>
        <w:t xml:space="preserve">Votos en contra: 2. </w:t>
      </w:r>
    </w:p>
    <w:p w:rsidR="00FF384B" w:rsidRDefault="003E3BA9">
      <w:pPr>
        <w:numPr>
          <w:ilvl w:val="0"/>
          <w:numId w:val="264"/>
        </w:numPr>
        <w:spacing w:after="111" w:line="247" w:lineRule="auto"/>
        <w:ind w:right="244" w:firstLine="708"/>
        <w:jc w:val="both"/>
      </w:pPr>
      <w:r>
        <w:rPr>
          <w:rFonts w:ascii="Arial" w:eastAsia="Arial" w:hAnsi="Arial" w:cs="Arial"/>
        </w:rPr>
        <w:t xml:space="preserve">concejales del Grupo Mixto (SSP), Don Antonio Delgado García y Lourdes del Carmen Mondéjar Rondón. </w:t>
      </w:r>
    </w:p>
    <w:p w:rsidR="00FF384B" w:rsidRDefault="003E3BA9">
      <w:pPr>
        <w:spacing w:after="98"/>
        <w:ind w:left="991"/>
      </w:pPr>
      <w:r>
        <w:rPr>
          <w:rFonts w:ascii="Arial" w:eastAsia="Arial" w:hAnsi="Arial" w:cs="Arial"/>
        </w:rPr>
        <w:t xml:space="preserve"> </w:t>
      </w:r>
    </w:p>
    <w:p w:rsidR="00FF384B" w:rsidRDefault="003E3BA9">
      <w:pPr>
        <w:spacing w:after="111" w:line="247" w:lineRule="auto"/>
        <w:ind w:left="1001" w:right="244" w:hanging="10"/>
        <w:jc w:val="both"/>
      </w:pPr>
      <w:r>
        <w:rPr>
          <w:rFonts w:ascii="Arial" w:eastAsia="Arial" w:hAnsi="Arial" w:cs="Arial"/>
        </w:rPr>
        <w:t xml:space="preserve">Abstenciones: 1. </w:t>
      </w:r>
    </w:p>
    <w:p w:rsidR="00FF384B" w:rsidRDefault="003E3BA9">
      <w:pPr>
        <w:spacing w:after="109" w:line="247" w:lineRule="auto"/>
        <w:ind w:left="1001" w:right="244" w:hanging="10"/>
        <w:jc w:val="both"/>
      </w:pPr>
      <w:r>
        <w:rPr>
          <w:rFonts w:ascii="Arial" w:eastAsia="Arial" w:hAnsi="Arial" w:cs="Arial"/>
        </w:rPr>
        <w:t xml:space="preserve">1 concejal del Grupo Mixto (VxC) Don José Fernando Gómez Martín. </w:t>
      </w:r>
    </w:p>
    <w:p w:rsidR="00FF384B" w:rsidRDefault="003E3BA9">
      <w:pPr>
        <w:spacing w:after="113"/>
        <w:ind w:left="991"/>
      </w:pPr>
      <w:r>
        <w:rPr>
          <w:rFonts w:ascii="Arial" w:eastAsia="Arial" w:hAnsi="Arial" w:cs="Arial"/>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pStyle w:val="Ttulo2"/>
        <w:ind w:left="767" w:right="808"/>
      </w:pPr>
      <w:r>
        <w:t xml:space="preserve">        ACUERDO DEL PLENO DE 29 DE</w:t>
      </w:r>
      <w:r>
        <w:t xml:space="preserve"> ABRIL DE 2021 </w:t>
      </w:r>
    </w:p>
    <w:p w:rsidR="00FF384B" w:rsidRDefault="003E3BA9">
      <w:pPr>
        <w:spacing w:after="0"/>
        <w:ind w:left="283"/>
      </w:pPr>
      <w:r>
        <w:rPr>
          <w:rFonts w:ascii="Arial" w:eastAsia="Arial" w:hAnsi="Arial" w:cs="Arial"/>
          <w:b/>
        </w:rPr>
        <w:t xml:space="preserve"> </w:t>
      </w:r>
    </w:p>
    <w:p w:rsidR="00FF384B" w:rsidRDefault="003E3BA9">
      <w:pPr>
        <w:spacing w:after="111" w:line="247" w:lineRule="auto"/>
        <w:ind w:left="283" w:right="252" w:firstLine="708"/>
        <w:jc w:val="both"/>
      </w:pPr>
      <w:r>
        <w:rPr>
          <w:noProof/>
        </w:rPr>
        <mc:AlternateContent>
          <mc:Choice Requires="wpg">
            <w:drawing>
              <wp:anchor distT="0" distB="0" distL="114300" distR="114300" simplePos="0" relativeHeight="25187225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17809" name="Group 51780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356" name="Picture 38356"/>
                          <pic:cNvPicPr/>
                        </pic:nvPicPr>
                        <pic:blipFill>
                          <a:blip r:embed="rId62"/>
                          <a:stretch>
                            <a:fillRect/>
                          </a:stretch>
                        </pic:blipFill>
                        <pic:spPr>
                          <a:xfrm rot="-5399999">
                            <a:off x="-1720849" y="1720849"/>
                            <a:ext cx="3797300" cy="355601"/>
                          </a:xfrm>
                          <a:prstGeom prst="rect">
                            <a:avLst/>
                          </a:prstGeom>
                        </pic:spPr>
                      </pic:pic>
                      <wps:wsp>
                        <wps:cNvPr id="38357" name="Rectangle 3835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358" name="Rectangle 3835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208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7809" style="width:41.2715pt;height:299pt;position:absolute;mso-position-horizontal-relative:page;mso-position-horizontal:absolute;margin-left:653.71pt;mso-position-vertical-relative:page;margin-top:512.92pt;" coordsize="5241,37973">
                <v:shape id="Picture 38356" style="position:absolute;width:37973;height:3556;left:-17208;top:17208;rotation:-89;" filled="f">
                  <v:imagedata r:id="rId63"/>
                </v:shape>
                <v:rect id="Rectangle 3835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35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208 de 353 </w:t>
                        </w:r>
                      </w:p>
                    </w:txbxContent>
                  </v:textbox>
                </v:rect>
                <w10:wrap type="topAndBottom"/>
              </v:group>
            </w:pict>
          </mc:Fallback>
        </mc:AlternateContent>
      </w:r>
      <w:r>
        <w:rPr>
          <w:rFonts w:ascii="Arial" w:eastAsia="Arial" w:hAnsi="Arial" w:cs="Arial"/>
          <w:b/>
        </w:rPr>
        <w:t xml:space="preserve">PRIMERO. </w:t>
      </w:r>
      <w:r>
        <w:rPr>
          <w:rFonts w:ascii="Arial" w:eastAsia="Arial" w:hAnsi="Arial" w:cs="Arial"/>
          <w:b/>
        </w:rPr>
        <w:t xml:space="preserve">Adjudicar a la empresa “ENDESA ENERGÍA,SAU”, con CIF nº A81948077, la ejecución del contrato basado en el Acuerdo Marco para la contratación del suministro de electricidad en alta y baja tensión para la Central de Contratación de la Federación Española de </w:t>
      </w:r>
      <w:r>
        <w:rPr>
          <w:rFonts w:ascii="Arial" w:eastAsia="Arial" w:hAnsi="Arial" w:cs="Arial"/>
          <w:b/>
        </w:rPr>
        <w:t>Municipios y Provincias (FEMP) LOTE 7 (Islas Canarias), conforme al precio unitario ofertado del término de energía para todas y cada una de las tarifas previstas en el documento de invitación presentado,  por un importe económico para todas las anualidade</w:t>
      </w:r>
      <w:r>
        <w:rPr>
          <w:rFonts w:ascii="Arial" w:eastAsia="Arial" w:hAnsi="Arial" w:cs="Arial"/>
          <w:b/>
        </w:rPr>
        <w:t>s de la contratación de 2.571.450,00 euros, más 193.150,00 euros en concepto de IGIC, y las que se detallan en los pliegos de cláusulas administrativas particulares y de prescripciones técnicas del Acuerdo Marco, y por un importe anual de 553.000,00 euros,</w:t>
      </w:r>
      <w:r>
        <w:rPr>
          <w:rFonts w:ascii="Arial" w:eastAsia="Arial" w:hAnsi="Arial" w:cs="Arial"/>
          <w:b/>
        </w:rPr>
        <w:t xml:space="preserve"> más 38.710,00 euros.</w:t>
      </w:r>
      <w:r>
        <w:rPr>
          <w:rFonts w:ascii="Arial" w:eastAsia="Arial" w:hAnsi="Arial" w:cs="Arial"/>
        </w:rPr>
        <w:t xml:space="preserve"> </w:t>
      </w:r>
    </w:p>
    <w:p w:rsidR="00FF384B" w:rsidRDefault="003E3BA9">
      <w:pPr>
        <w:spacing w:after="0"/>
        <w:ind w:left="991"/>
      </w:pPr>
      <w:r>
        <w:rPr>
          <w:rFonts w:ascii="Arial" w:eastAsia="Arial" w:hAnsi="Arial" w:cs="Arial"/>
          <w:b/>
        </w:rPr>
        <w:t xml:space="preserve"> </w:t>
      </w:r>
    </w:p>
    <w:p w:rsidR="00FF384B" w:rsidRDefault="003E3BA9">
      <w:pPr>
        <w:spacing w:after="15" w:line="247" w:lineRule="auto"/>
        <w:ind w:left="283" w:right="253" w:firstLine="708"/>
        <w:jc w:val="both"/>
      </w:pPr>
      <w:r>
        <w:rPr>
          <w:rFonts w:ascii="Arial" w:eastAsia="Arial" w:hAnsi="Arial" w:cs="Arial"/>
          <w:b/>
        </w:rPr>
        <w:t xml:space="preserve">SEGUNDO.  Aprobar el gasto por importe de 2.764.600,00 euros para la totalidad de la adjudicación con cargo a las aplicaciones presupuestarias 92000.22100 y 16500.22100, con el siguiente desglose por anualidades: </w:t>
      </w:r>
    </w:p>
    <w:p w:rsidR="00FF384B" w:rsidRDefault="003E3BA9">
      <w:pPr>
        <w:spacing w:after="0"/>
        <w:ind w:left="991"/>
      </w:pPr>
      <w:r>
        <w:rPr>
          <w:rFonts w:ascii="Times New Roman" w:eastAsia="Times New Roman" w:hAnsi="Times New Roman" w:cs="Times New Roman"/>
          <w:b/>
          <w:sz w:val="24"/>
        </w:rPr>
        <w:t xml:space="preserve"> </w:t>
      </w:r>
    </w:p>
    <w:tbl>
      <w:tblPr>
        <w:tblStyle w:val="TableGrid"/>
        <w:tblW w:w="8495" w:type="dxa"/>
        <w:tblInd w:w="288" w:type="dxa"/>
        <w:tblCellMar>
          <w:top w:w="7" w:type="dxa"/>
          <w:left w:w="156" w:type="dxa"/>
          <w:bottom w:w="0" w:type="dxa"/>
          <w:right w:w="95" w:type="dxa"/>
        </w:tblCellMar>
        <w:tblLook w:val="04A0" w:firstRow="1" w:lastRow="0" w:firstColumn="1" w:lastColumn="0" w:noHBand="0" w:noVBand="1"/>
      </w:tblPr>
      <w:tblGrid>
        <w:gridCol w:w="1375"/>
        <w:gridCol w:w="1685"/>
        <w:gridCol w:w="3291"/>
        <w:gridCol w:w="2144"/>
      </w:tblGrid>
      <w:tr w:rsidR="00FF384B">
        <w:trPr>
          <w:trHeight w:val="382"/>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b/>
              </w:rPr>
              <w:t xml:space="preserve">Anualidad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6"/>
              <w:jc w:val="center"/>
            </w:pPr>
            <w:r>
              <w:rPr>
                <w:rFonts w:ascii="Arial" w:eastAsia="Arial" w:hAnsi="Arial" w:cs="Arial"/>
                <w:b/>
              </w:rPr>
              <w:t xml:space="preserve">D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4"/>
              <w:jc w:val="center"/>
            </w:pPr>
            <w:r>
              <w:rPr>
                <w:rFonts w:ascii="Arial" w:eastAsia="Arial" w:hAnsi="Arial" w:cs="Arial"/>
                <w:b/>
              </w:rPr>
              <w:t>A</w:t>
            </w:r>
            <w:r>
              <w:rPr>
                <w:rFonts w:ascii="Arial" w:eastAsia="Arial" w:hAnsi="Arial" w:cs="Arial"/>
                <w:b/>
              </w:rPr>
              <w:t xml:space="preserve">plicación Presupuestaria </w:t>
            </w:r>
          </w:p>
        </w:tc>
        <w:tc>
          <w:tcPr>
            <w:tcW w:w="214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2"/>
              <w:jc w:val="center"/>
            </w:pPr>
            <w:r>
              <w:rPr>
                <w:rFonts w:ascii="Arial" w:eastAsia="Arial" w:hAnsi="Arial" w:cs="Arial"/>
                <w:b/>
              </w:rPr>
              <w:t xml:space="preserve">Importe </w:t>
            </w:r>
          </w:p>
        </w:tc>
      </w:tr>
      <w:tr w:rsidR="00FF384B">
        <w:trPr>
          <w:trHeight w:val="757"/>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2021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2.21.0.02842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400.000,00 €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2022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2.21.2.02843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2023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2.21.2.02844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2024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2.21.2.02845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2025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2.21.2.02846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553.000,00 € </w:t>
            </w:r>
          </w:p>
        </w:tc>
      </w:tr>
      <w:tr w:rsidR="00FF384B">
        <w:trPr>
          <w:trHeight w:val="756"/>
        </w:trPr>
        <w:tc>
          <w:tcPr>
            <w:tcW w:w="137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63"/>
              <w:jc w:val="center"/>
            </w:pPr>
            <w:r>
              <w:rPr>
                <w:rFonts w:ascii="Arial" w:eastAsia="Arial" w:hAnsi="Arial" w:cs="Arial"/>
                <w:b/>
              </w:rPr>
              <w:t xml:space="preserve">2026 </w:t>
            </w:r>
          </w:p>
        </w:tc>
        <w:tc>
          <w:tcPr>
            <w:tcW w:w="16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43"/>
            </w:pPr>
            <w:r>
              <w:rPr>
                <w:rFonts w:ascii="Arial" w:eastAsia="Arial" w:hAnsi="Arial" w:cs="Arial"/>
                <w:b/>
              </w:rPr>
              <w:t xml:space="preserve">2.21.2.02849 </w:t>
            </w:r>
          </w:p>
        </w:tc>
        <w:tc>
          <w:tcPr>
            <w:tcW w:w="3291" w:type="dxa"/>
            <w:tcBorders>
              <w:top w:val="single" w:sz="4" w:space="0" w:color="000000"/>
              <w:left w:val="single" w:sz="4" w:space="0" w:color="000000"/>
              <w:bottom w:val="single" w:sz="4" w:space="0" w:color="000000"/>
              <w:right w:val="single" w:sz="4" w:space="0" w:color="000000"/>
            </w:tcBorders>
          </w:tcPr>
          <w:p w:rsidR="00FF384B" w:rsidRDefault="003E3BA9">
            <w:pPr>
              <w:spacing w:after="100"/>
              <w:ind w:right="64"/>
              <w:jc w:val="center"/>
            </w:pPr>
            <w:r>
              <w:rPr>
                <w:rFonts w:ascii="Arial" w:eastAsia="Arial" w:hAnsi="Arial" w:cs="Arial"/>
                <w:b/>
              </w:rPr>
              <w:t xml:space="preserve">2021.92000.22100 </w:t>
            </w:r>
          </w:p>
          <w:p w:rsidR="00FF384B" w:rsidRDefault="003E3BA9">
            <w:pPr>
              <w:spacing w:after="0"/>
              <w:ind w:right="64"/>
              <w:jc w:val="center"/>
            </w:pPr>
            <w:r>
              <w:rPr>
                <w:rFonts w:ascii="Arial" w:eastAsia="Arial" w:hAnsi="Arial" w:cs="Arial"/>
                <w:b/>
              </w:rPr>
              <w:t xml:space="preserve">2021.16500.22100 </w:t>
            </w:r>
          </w:p>
        </w:tc>
        <w:tc>
          <w:tcPr>
            <w:tcW w:w="214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59"/>
              <w:jc w:val="center"/>
            </w:pPr>
            <w:r>
              <w:rPr>
                <w:rFonts w:ascii="Arial" w:eastAsia="Arial" w:hAnsi="Arial" w:cs="Arial"/>
                <w:b/>
              </w:rPr>
              <w:t xml:space="preserve">153.000,00 € </w:t>
            </w:r>
          </w:p>
        </w:tc>
      </w:tr>
    </w:tbl>
    <w:p w:rsidR="00FF384B" w:rsidRDefault="003E3BA9">
      <w:pPr>
        <w:spacing w:after="0"/>
        <w:ind w:left="991"/>
      </w:pPr>
      <w:r>
        <w:rPr>
          <w:rFonts w:ascii="Times New Roman" w:eastAsia="Times New Roman" w:hAnsi="Times New Roman" w:cs="Times New Roman"/>
          <w:b/>
          <w:sz w:val="24"/>
        </w:rPr>
        <w:t xml:space="preserve">  </w:t>
      </w:r>
    </w:p>
    <w:p w:rsidR="00FF384B" w:rsidRDefault="003E3BA9">
      <w:pPr>
        <w:spacing w:after="0"/>
        <w:ind w:left="283"/>
      </w:pPr>
      <w:r>
        <w:rPr>
          <w:rFonts w:ascii="Times New Roman" w:eastAsia="Times New Roman" w:hAnsi="Times New Roman" w:cs="Times New Roman"/>
          <w:b/>
          <w:sz w:val="24"/>
        </w:rPr>
        <w:t xml:space="preserve"> </w:t>
      </w:r>
    </w:p>
    <w:p w:rsidR="00FF384B" w:rsidRDefault="003E3BA9">
      <w:pPr>
        <w:spacing w:after="0"/>
        <w:ind w:left="283"/>
      </w:pPr>
      <w:r>
        <w:rPr>
          <w:rFonts w:ascii="Times New Roman" w:eastAsia="Times New Roman" w:hAnsi="Times New Roman" w:cs="Times New Roman"/>
          <w:b/>
          <w:sz w:val="24"/>
        </w:rPr>
        <w:t xml:space="preserve"> </w:t>
      </w:r>
    </w:p>
    <w:p w:rsidR="00FF384B" w:rsidRDefault="003E3BA9">
      <w:pPr>
        <w:spacing w:after="116" w:line="247" w:lineRule="auto"/>
        <w:ind w:left="994" w:hanging="3"/>
        <w:jc w:val="both"/>
      </w:pPr>
      <w:r>
        <w:rPr>
          <w:rFonts w:ascii="Arial" w:eastAsia="Arial" w:hAnsi="Arial" w:cs="Arial"/>
          <w:b/>
        </w:rPr>
        <w:t xml:space="preserve">TERCERO. Publicar anuncio de adjudicación en la Plataforma de </w:t>
      </w:r>
    </w:p>
    <w:p w:rsidR="00FF384B" w:rsidRDefault="003E3BA9">
      <w:pPr>
        <w:spacing w:after="116" w:line="247" w:lineRule="auto"/>
        <w:ind w:left="286" w:hanging="3"/>
        <w:jc w:val="both"/>
      </w:pPr>
      <w:r>
        <w:rPr>
          <w:rFonts w:ascii="Arial" w:eastAsia="Arial" w:hAnsi="Arial" w:cs="Arial"/>
          <w:b/>
        </w:rPr>
        <w:t xml:space="preserve">Contratación del Estado, dentro de los treinta días siguientes al fin del trimestre. </w:t>
      </w:r>
    </w:p>
    <w:p w:rsidR="00FF384B" w:rsidRDefault="003E3BA9">
      <w:pPr>
        <w:spacing w:after="108"/>
        <w:ind w:left="991"/>
      </w:pPr>
      <w:r>
        <w:rPr>
          <w:rFonts w:ascii="Arial" w:eastAsia="Arial" w:hAnsi="Arial" w:cs="Arial"/>
          <w:b/>
        </w:rPr>
        <w:t xml:space="preserve"> </w:t>
      </w:r>
    </w:p>
    <w:p w:rsidR="00FF384B" w:rsidRDefault="003E3BA9">
      <w:pPr>
        <w:spacing w:after="15" w:line="349" w:lineRule="auto"/>
        <w:ind w:left="283" w:right="249" w:firstLine="708"/>
        <w:jc w:val="both"/>
      </w:pPr>
      <w:r>
        <w:rPr>
          <w:rFonts w:ascii="Arial" w:eastAsia="Arial" w:hAnsi="Arial" w:cs="Arial"/>
          <w:b/>
        </w:rPr>
        <w:t>CUARTO. Designar como responsables de la ejecución del contrato al empleado municipal Javier González Góm</w:t>
      </w:r>
      <w:r>
        <w:rPr>
          <w:rFonts w:ascii="Arial" w:eastAsia="Arial" w:hAnsi="Arial" w:cs="Arial"/>
          <w:b/>
        </w:rPr>
        <w:t>ez, según Acuerdo del Ayuntamiento Pleno de fecha 25 de febrero de 2021.</w:t>
      </w:r>
      <w:r>
        <w:rPr>
          <w:rFonts w:ascii="Times New Roman" w:eastAsia="Times New Roman" w:hAnsi="Times New Roman" w:cs="Times New Roman"/>
          <w:sz w:val="24"/>
        </w:rPr>
        <w:t xml:space="preserve"> </w:t>
      </w:r>
    </w:p>
    <w:p w:rsidR="00FF384B" w:rsidRDefault="003E3BA9">
      <w:pPr>
        <w:spacing w:after="192"/>
        <w:ind w:left="991"/>
      </w:pPr>
      <w:r>
        <w:rPr>
          <w:rFonts w:ascii="Times New Roman" w:eastAsia="Times New Roman" w:hAnsi="Times New Roman" w:cs="Times New Roman"/>
          <w:b/>
          <w:sz w:val="24"/>
        </w:rPr>
        <w:t xml:space="preserve"> </w:t>
      </w:r>
    </w:p>
    <w:p w:rsidR="00FF384B" w:rsidRDefault="003E3BA9">
      <w:pPr>
        <w:spacing w:after="120" w:line="238" w:lineRule="auto"/>
        <w:ind w:left="268" w:right="223" w:firstLine="696"/>
      </w:pPr>
      <w:r>
        <w:rPr>
          <w:rFonts w:ascii="Arial" w:eastAsia="Arial" w:hAnsi="Arial" w:cs="Arial"/>
          <w:b/>
        </w:rPr>
        <w:t xml:space="preserve">QUINTO. Notificar a la empresa adjudicataria del contrato por la sede electrónica municipal y por la plataforma informática de la Central de Contratación de la FEMP, perfeccionándose el presente Contrato Basado con su adjudicación. </w:t>
      </w:r>
    </w:p>
    <w:p w:rsidR="00FF384B" w:rsidRDefault="003E3BA9">
      <w:pPr>
        <w:spacing w:after="100"/>
        <w:ind w:left="979"/>
      </w:pPr>
      <w:r>
        <w:rPr>
          <w:rFonts w:ascii="Arial" w:eastAsia="Arial" w:hAnsi="Arial" w:cs="Arial"/>
          <w:b/>
        </w:rPr>
        <w:t xml:space="preserve"> </w:t>
      </w:r>
    </w:p>
    <w:p w:rsidR="00FF384B" w:rsidRDefault="003E3BA9">
      <w:pPr>
        <w:spacing w:after="111" w:line="247" w:lineRule="auto"/>
        <w:ind w:left="283" w:firstLine="696"/>
        <w:jc w:val="both"/>
      </w:pPr>
      <w:r>
        <w:rPr>
          <w:rFonts w:ascii="Arial" w:eastAsia="Arial" w:hAnsi="Arial" w:cs="Arial"/>
          <w:b/>
        </w:rPr>
        <w:t>SEXTO. Notificar al r</w:t>
      </w:r>
      <w:r>
        <w:rPr>
          <w:rFonts w:ascii="Arial" w:eastAsia="Arial" w:hAnsi="Arial" w:cs="Arial"/>
          <w:b/>
        </w:rPr>
        <w:t>esto de licitadores por la sede electrónica municipal y por la plataforma informática de la Central de Contratación de la FEMP.”</w:t>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873280"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483238" name="Group 48323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451" name="Picture 38451"/>
                          <pic:cNvPicPr/>
                        </pic:nvPicPr>
                        <pic:blipFill>
                          <a:blip r:embed="rId62"/>
                          <a:stretch>
                            <a:fillRect/>
                          </a:stretch>
                        </pic:blipFill>
                        <pic:spPr>
                          <a:xfrm rot="-5399999">
                            <a:off x="-1720849" y="1720849"/>
                            <a:ext cx="3797300" cy="355601"/>
                          </a:xfrm>
                          <a:prstGeom prst="rect">
                            <a:avLst/>
                          </a:prstGeom>
                        </pic:spPr>
                      </pic:pic>
                      <wps:wsp>
                        <wps:cNvPr id="38452" name="Rectangle 3845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453" name="Rectangle 3845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w:t>
                              </w:r>
                              <w:r>
                                <w:rPr>
                                  <w:rFonts w:ascii="Arial" w:eastAsia="Arial" w:hAnsi="Arial" w:cs="Arial"/>
                                  <w:sz w:val="12"/>
                                </w:rPr>
                                <w:t xml:space="preserve">lectrónicamente desde la plataforma esPublico Gestiona | Página 209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3238" style="width:41.2715pt;height:299pt;position:absolute;mso-position-horizontal-relative:page;mso-position-horizontal:absolute;margin-left:653.71pt;mso-position-vertical-relative:page;margin-top:512.92pt;" coordsize="5241,37973">
                <v:shape id="Picture 38451" style="position:absolute;width:37973;height:3556;left:-17208;top:17208;rotation:-89;" filled="f">
                  <v:imagedata r:id="rId63"/>
                </v:shape>
                <v:rect id="Rectangle 384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45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209 de 353 </w:t>
                        </w:r>
                      </w:p>
                    </w:txbxContent>
                  </v:textbox>
                </v:rect>
                <w10:wrap type="topAndBottom"/>
              </v:group>
            </w:pict>
          </mc:Fallback>
        </mc:AlternateContent>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00"/>
        <w:ind w:left="283"/>
      </w:pPr>
      <w:r>
        <w:rPr>
          <w:rFonts w:ascii="Arial" w:eastAsia="Arial" w:hAnsi="Arial" w:cs="Arial"/>
        </w:rPr>
        <w:t xml:space="preserve"> </w:t>
      </w:r>
    </w:p>
    <w:p w:rsidR="00FF384B" w:rsidRDefault="003E3BA9">
      <w:pPr>
        <w:spacing w:after="95"/>
        <w:ind w:left="283"/>
      </w:pPr>
      <w:r>
        <w:rPr>
          <w:rFonts w:ascii="Arial" w:eastAsia="Arial" w:hAnsi="Arial" w:cs="Arial"/>
        </w:rPr>
        <w:t xml:space="preserve"> </w:t>
      </w:r>
    </w:p>
    <w:p w:rsidR="00FF384B" w:rsidRDefault="003E3BA9">
      <w:pPr>
        <w:spacing w:after="114" w:line="247" w:lineRule="auto"/>
        <w:ind w:left="286" w:right="253" w:hanging="3"/>
        <w:jc w:val="both"/>
      </w:pPr>
      <w:r>
        <w:rPr>
          <w:rFonts w:ascii="Arial" w:eastAsia="Arial" w:hAnsi="Arial" w:cs="Arial"/>
          <w:b/>
        </w:rPr>
        <w:t>7.-</w:t>
      </w:r>
      <w:r>
        <w:rPr>
          <w:rFonts w:ascii="Arial" w:eastAsia="Arial" w:hAnsi="Arial" w:cs="Arial"/>
        </w:rPr>
        <w:t xml:space="preserve"> </w:t>
      </w:r>
      <w:r>
        <w:rPr>
          <w:rFonts w:ascii="Arial" w:eastAsia="Arial" w:hAnsi="Arial" w:cs="Arial"/>
          <w:b/>
        </w:rPr>
        <w:t>Expediente 1147/2021. Propuesta de la Alcaldesa-</w:t>
      </w:r>
      <w:r>
        <w:rPr>
          <w:rFonts w:ascii="Arial" w:eastAsia="Arial" w:hAnsi="Arial" w:cs="Arial"/>
          <w:b/>
        </w:rPr>
        <w:t>Presidenta de fecha 21 de abril de 2021 al Pleno sobre aprobación de la propuesta de la estructura de costes del servicio de gestión de residuos, limpieza viaria y del litoral del municipio de Candelaria según el informe técnico de 21 de abril de 2021.</w:t>
      </w:r>
      <w:r>
        <w:rPr>
          <w:rFonts w:ascii="Arial" w:eastAsia="Arial" w:hAnsi="Arial" w:cs="Arial"/>
        </w:rPr>
        <w:t xml:space="preserve"> </w:t>
      </w:r>
    </w:p>
    <w:p w:rsidR="00FF384B" w:rsidRDefault="003E3BA9">
      <w:pPr>
        <w:spacing w:after="98"/>
        <w:ind w:left="283"/>
      </w:pPr>
      <w:r>
        <w:rPr>
          <w:rFonts w:ascii="Arial" w:eastAsia="Arial" w:hAnsi="Arial" w:cs="Arial"/>
          <w:b/>
        </w:rPr>
        <w:t xml:space="preserve"> </w:t>
      </w:r>
    </w:p>
    <w:p w:rsidR="00FF384B" w:rsidRDefault="003E3BA9">
      <w:pPr>
        <w:spacing w:after="111" w:line="247" w:lineRule="auto"/>
        <w:ind w:left="286" w:right="251" w:hanging="3"/>
        <w:jc w:val="both"/>
      </w:pPr>
      <w:r>
        <w:rPr>
          <w:rFonts w:ascii="Arial" w:eastAsia="Arial" w:hAnsi="Arial" w:cs="Arial"/>
          <w:b/>
        </w:rPr>
        <w:t>Consta en el expediente Informe Técnico emitido por el funcionario D. Daniel Espejo Cómez, que desempeña el puesto de trabajo de Ingeniero Técnico Industrial, el personal laboral D. Jaime Mayor Llinares que desempeña el puesto de trabajo de Técnico de la A</w:t>
      </w:r>
      <w:r>
        <w:rPr>
          <w:rFonts w:ascii="Arial" w:eastAsia="Arial" w:hAnsi="Arial" w:cs="Arial"/>
          <w:b/>
        </w:rPr>
        <w:t>gencia de Desarrollo Local, y el funcionario D Javier González Gómez que desarrolla el puesto de trabajo de Arquitecto Técnico en la Concejalía de Obras, Servicios, Parques y Jardines, de 21 de abril de 2021 emiten el siguiente informe:</w:t>
      </w:r>
      <w:r>
        <w:rPr>
          <w:rFonts w:ascii="Arial" w:eastAsia="Arial" w:hAnsi="Arial" w:cs="Arial"/>
        </w:rPr>
        <w:t xml:space="preserve"> </w:t>
      </w:r>
    </w:p>
    <w:p w:rsidR="00FF384B" w:rsidRDefault="003E3BA9">
      <w:pPr>
        <w:spacing w:after="135"/>
        <w:ind w:left="283"/>
      </w:pPr>
      <w:r>
        <w:rPr>
          <w:rFonts w:ascii="Arial" w:eastAsia="Arial" w:hAnsi="Arial" w:cs="Arial"/>
          <w:b/>
        </w:rPr>
        <w:t xml:space="preserve"> </w:t>
      </w:r>
    </w:p>
    <w:p w:rsidR="00FF384B" w:rsidRDefault="003E3BA9">
      <w:pPr>
        <w:pStyle w:val="Ttulo2"/>
        <w:spacing w:after="106"/>
        <w:ind w:left="767" w:right="1016"/>
      </w:pPr>
      <w:r>
        <w:t>“INFORME</w:t>
      </w:r>
      <w:r>
        <w:rPr>
          <w:b w:val="0"/>
        </w:rPr>
        <w:t xml:space="preserve"> </w:t>
      </w:r>
    </w:p>
    <w:p w:rsidR="00FF384B" w:rsidRDefault="003E3BA9">
      <w:pPr>
        <w:spacing w:after="15" w:line="247" w:lineRule="auto"/>
        <w:ind w:left="286" w:right="317" w:hanging="3"/>
        <w:jc w:val="both"/>
      </w:pPr>
      <w:r>
        <w:rPr>
          <w:noProof/>
        </w:rPr>
        <mc:AlternateContent>
          <mc:Choice Requires="wpg">
            <w:drawing>
              <wp:anchor distT="0" distB="0" distL="114300" distR="114300" simplePos="0" relativeHeight="2518743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4041" name="Group 48404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558" name="Picture 38558"/>
                          <pic:cNvPicPr/>
                        </pic:nvPicPr>
                        <pic:blipFill>
                          <a:blip r:embed="rId62"/>
                          <a:stretch>
                            <a:fillRect/>
                          </a:stretch>
                        </pic:blipFill>
                        <pic:spPr>
                          <a:xfrm rot="-5399999">
                            <a:off x="-1720849" y="1720849"/>
                            <a:ext cx="3797300" cy="355601"/>
                          </a:xfrm>
                          <a:prstGeom prst="rect">
                            <a:avLst/>
                          </a:prstGeom>
                        </pic:spPr>
                      </pic:pic>
                      <wps:wsp>
                        <wps:cNvPr id="38559" name="Rectangle 3855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560" name="Rectangle 3856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4041" style="width:41.2715pt;height:299pt;position:absolute;mso-position-horizontal-relative:page;mso-position-horizontal:absolute;margin-left:653.71pt;mso-position-vertical-relative:page;margin-top:512.92pt;" coordsize="5241,37973">
                <v:shape id="Picture 38558" style="position:absolute;width:37973;height:3556;left:-17208;top:17208;rotation:-89;" filled="f">
                  <v:imagedata r:id="rId63"/>
                </v:shape>
                <v:rect id="Rectangle 3855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56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210 de 353 </w:t>
                        </w:r>
                      </w:p>
                    </w:txbxContent>
                  </v:textbox>
                </v:rect>
                <w10:wrap type="square"/>
              </v:group>
            </w:pict>
          </mc:Fallback>
        </mc:AlternateContent>
      </w:r>
      <w:r>
        <w:rPr>
          <w:rFonts w:ascii="Arial" w:eastAsia="Arial" w:hAnsi="Arial" w:cs="Arial"/>
          <w:b/>
        </w:rPr>
        <w:t>Visto el expediente antedicho, el funcionario, D. Daniel Espe</w:t>
      </w:r>
      <w:r>
        <w:rPr>
          <w:rFonts w:ascii="Arial" w:eastAsia="Arial" w:hAnsi="Arial" w:cs="Arial"/>
          <w:b/>
        </w:rPr>
        <w:t>jo Cómez, que desempeña el puesto de trabajo de Ingeniero Técnico Industrial, en la oficina técnica de la Concejalía de Planificación y Gestión Urbanística y Ambiental, el personal laboral D. Jaime Mayor Llinares que desempeña el puesto de trabajo de Técni</w:t>
      </w:r>
      <w:r>
        <w:rPr>
          <w:rFonts w:ascii="Arial" w:eastAsia="Arial" w:hAnsi="Arial" w:cs="Arial"/>
          <w:b/>
        </w:rPr>
        <w:t xml:space="preserve">co de la Agencia de Desarrollo Local y el funcionario D Javier González Gómez que desarrolla el puesto de trabajo de Arquitecto Técnico en la Concejalía de Obras, Servicios, Parques y Jardines, emiten el siguiente informe: </w:t>
      </w:r>
    </w:p>
    <w:p w:rsidR="00FF384B" w:rsidRDefault="003E3BA9">
      <w:pPr>
        <w:spacing w:after="109"/>
        <w:ind w:left="283"/>
      </w:pPr>
      <w:r>
        <w:rPr>
          <w:rFonts w:ascii="Arial" w:eastAsia="Arial" w:hAnsi="Arial" w:cs="Arial"/>
        </w:rPr>
        <w:t xml:space="preserve"> </w:t>
      </w:r>
    </w:p>
    <w:p w:rsidR="00FF384B" w:rsidRDefault="003E3BA9">
      <w:pPr>
        <w:pStyle w:val="Ttulo2"/>
        <w:shd w:val="clear" w:color="auto" w:fill="E0E0E0"/>
        <w:spacing w:after="209" w:line="249" w:lineRule="auto"/>
        <w:ind w:left="197" w:right="160"/>
      </w:pPr>
      <w:r>
        <w:t>OBJETO</w:t>
      </w:r>
      <w:r>
        <w:rPr>
          <w:rFonts w:ascii="Times New Roman" w:eastAsia="Times New Roman" w:hAnsi="Times New Roman" w:cs="Times New Roman"/>
          <w:b w:val="0"/>
          <w:sz w:val="24"/>
        </w:rPr>
        <w:t xml:space="preserve"> </w:t>
      </w:r>
    </w:p>
    <w:p w:rsidR="00FF384B" w:rsidRDefault="003E3BA9">
      <w:pPr>
        <w:spacing w:after="5" w:line="247" w:lineRule="auto"/>
        <w:ind w:left="278" w:right="244" w:hanging="10"/>
        <w:jc w:val="both"/>
      </w:pPr>
      <w:r>
        <w:rPr>
          <w:rFonts w:ascii="Arial" w:eastAsia="Arial" w:hAnsi="Arial" w:cs="Arial"/>
        </w:rPr>
        <w:t>El objeto del presente</w:t>
      </w:r>
      <w:r>
        <w:rPr>
          <w:rFonts w:ascii="Arial" w:eastAsia="Arial" w:hAnsi="Arial" w:cs="Arial"/>
        </w:rPr>
        <w:t xml:space="preserve"> informe es describir la estructura de costes del servicio de gestión de residuos, limpieza viaria y del litoral del Ayuntamiento de Candelaria, así como definir una fórmula de revisión de precios, todo ello en virtud del Real Decreto 55/2017, de 3 de febr</w:t>
      </w:r>
      <w:r>
        <w:rPr>
          <w:rFonts w:ascii="Arial" w:eastAsia="Arial" w:hAnsi="Arial" w:cs="Arial"/>
        </w:rPr>
        <w:t xml:space="preserve">ero, por el que se desarrolla la Ley 2/2015, de 30 de marzo, de desindexación de la economía española.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pStyle w:val="Ttulo2"/>
        <w:shd w:val="clear" w:color="auto" w:fill="E0E0E0"/>
        <w:spacing w:after="233" w:line="249" w:lineRule="auto"/>
        <w:ind w:left="197" w:right="161"/>
      </w:pPr>
      <w:r>
        <w:t xml:space="preserve">MARCO NORMATIVO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rPr>
        <w:t xml:space="preserve">La </w:t>
      </w:r>
      <w:r>
        <w:rPr>
          <w:rFonts w:ascii="Arial" w:eastAsia="Arial" w:hAnsi="Arial" w:cs="Arial"/>
          <w:b/>
        </w:rPr>
        <w:t xml:space="preserve">Ley 9/2017, de 8 de noviembre, </w:t>
      </w:r>
      <w:r>
        <w:rPr>
          <w:rFonts w:ascii="Arial" w:eastAsia="Arial" w:hAnsi="Arial" w:cs="Arial"/>
        </w:rPr>
        <w:t xml:space="preserve">en su </w:t>
      </w:r>
      <w:r>
        <w:rPr>
          <w:rFonts w:ascii="Arial" w:eastAsia="Arial" w:hAnsi="Arial" w:cs="Arial"/>
          <w:b/>
        </w:rPr>
        <w:t xml:space="preserve">artículo 103 </w:t>
      </w:r>
      <w:r>
        <w:rPr>
          <w:rFonts w:ascii="Arial" w:eastAsia="Arial" w:hAnsi="Arial" w:cs="Arial"/>
        </w:rPr>
        <w:t>establece:</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4" w:line="247" w:lineRule="auto"/>
        <w:ind w:left="1001" w:right="244" w:hanging="10"/>
        <w:jc w:val="both"/>
      </w:pPr>
      <w:r>
        <w:rPr>
          <w:rFonts w:ascii="Arial" w:eastAsia="Arial" w:hAnsi="Arial" w:cs="Arial"/>
          <w:i/>
        </w:rPr>
        <w:t xml:space="preserve">“Previa justificación en el expediente y de conformidad con lo previsto en el Real Decreto al que se refieren los artículos 4 y 5 de la Ley 2/2015, de 30 de marzo, de desindexación de la economía española, la revisión periódica y predeterminada de precios </w:t>
      </w:r>
      <w:r>
        <w:rPr>
          <w:rFonts w:ascii="Arial" w:eastAsia="Arial" w:hAnsi="Arial" w:cs="Arial"/>
          <w:i/>
        </w:rPr>
        <w:t xml:space="preserve">solo se podrá llevar a cabo en los contratos de obra, en los contratos de suministros de fabricación de armamento y equipamiento de las Administraciones Públicas, en los contratos de suministro de energía y en aquellos otros contratos en los que </w:t>
      </w:r>
      <w:r>
        <w:rPr>
          <w:rFonts w:ascii="Arial" w:eastAsia="Arial" w:hAnsi="Arial" w:cs="Arial"/>
          <w:b/>
          <w:i/>
        </w:rPr>
        <w:t>el período</w:t>
      </w:r>
      <w:r>
        <w:rPr>
          <w:rFonts w:ascii="Arial" w:eastAsia="Arial" w:hAnsi="Arial" w:cs="Arial"/>
          <w:b/>
          <w:i/>
        </w:rPr>
        <w:t xml:space="preserve"> de recuperación de la inversión sea igual o superior a cinco años. Dicho período se calculará conforme a lo dispuesto en el Real Decreto anteriormente citado</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i/>
        </w:rPr>
        <w:t xml:space="preserve"> </w:t>
      </w:r>
    </w:p>
    <w:p w:rsidR="00FF384B" w:rsidRDefault="003E3BA9">
      <w:pPr>
        <w:spacing w:after="13" w:line="247" w:lineRule="auto"/>
        <w:ind w:left="991" w:right="239"/>
        <w:jc w:val="both"/>
      </w:pPr>
      <w:r>
        <w:rPr>
          <w:rFonts w:ascii="Arial" w:eastAsia="Arial" w:hAnsi="Arial" w:cs="Arial"/>
          <w:b/>
          <w:i/>
        </w:rPr>
        <w:t>No se considerarán revisables en ningún caso los costes asociados a las amortizaciones, los c</w:t>
      </w:r>
      <w:r>
        <w:rPr>
          <w:rFonts w:ascii="Arial" w:eastAsia="Arial" w:hAnsi="Arial" w:cs="Arial"/>
          <w:b/>
          <w:i/>
        </w:rPr>
        <w:t>ostes financieros, los gastos generales o de estructura ni el beneficio industrial</w:t>
      </w:r>
      <w:r>
        <w:rPr>
          <w:rFonts w:ascii="Arial" w:eastAsia="Arial" w:hAnsi="Arial" w:cs="Arial"/>
          <w:i/>
        </w:rPr>
        <w:t xml:space="preserve">. </w:t>
      </w:r>
      <w:r>
        <w:rPr>
          <w:rFonts w:ascii="Arial" w:eastAsia="Arial" w:hAnsi="Arial" w:cs="Arial"/>
          <w:b/>
          <w:i/>
        </w:rPr>
        <w:t xml:space="preserve">Los costes de mano de obra </w:t>
      </w:r>
      <w:r>
        <w:rPr>
          <w:rFonts w:ascii="Arial" w:eastAsia="Arial" w:hAnsi="Arial" w:cs="Arial"/>
          <w:i/>
        </w:rPr>
        <w:t xml:space="preserve">de los contratos distintos de los de obra, suministro de fabricación de armamento y equipamiento de las Administraciones Públicas, </w:t>
      </w:r>
      <w:r>
        <w:rPr>
          <w:rFonts w:ascii="Arial" w:eastAsia="Arial" w:hAnsi="Arial" w:cs="Arial"/>
          <w:b/>
          <w:i/>
        </w:rPr>
        <w:t>se revisarán c</w:t>
      </w:r>
      <w:r>
        <w:rPr>
          <w:rFonts w:ascii="Arial" w:eastAsia="Arial" w:hAnsi="Arial" w:cs="Arial"/>
          <w:b/>
          <w:i/>
        </w:rPr>
        <w:t>uando el período de recuperación de la inversión sea igual o superior a cinco años y la intensidad en el uso del factor trabajo sea considerada significativa</w:t>
      </w:r>
      <w:r>
        <w:rPr>
          <w:rFonts w:ascii="Arial" w:eastAsia="Arial" w:hAnsi="Arial" w:cs="Arial"/>
          <w:i/>
        </w:rPr>
        <w:t>, de acuerdo con los supuestos y límites establecidos en el Real Decreto.”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w:t>
      </w:r>
      <w:r>
        <w:rPr>
          <w:rFonts w:ascii="Arial" w:eastAsia="Arial" w:hAnsi="Arial" w:cs="Arial"/>
          <w:b/>
        </w:rPr>
        <w:t>Real Decreto 55/20</w:t>
      </w:r>
      <w:r>
        <w:rPr>
          <w:rFonts w:ascii="Arial" w:eastAsia="Arial" w:hAnsi="Arial" w:cs="Arial"/>
          <w:b/>
        </w:rPr>
        <w:t>17</w:t>
      </w:r>
      <w:r>
        <w:rPr>
          <w:rFonts w:ascii="Arial" w:eastAsia="Arial" w:hAnsi="Arial" w:cs="Arial"/>
        </w:rPr>
        <w:t xml:space="preserve">, de 3 de febrero que desarrolla la Ley 2/2015, de 30 de marzo, de desindexación de la economía española. Aplica al presente contrato en virtud de los establecido en tu </w:t>
      </w:r>
      <w:r>
        <w:rPr>
          <w:rFonts w:ascii="Arial" w:eastAsia="Arial" w:hAnsi="Arial" w:cs="Arial"/>
          <w:b/>
        </w:rPr>
        <w:t>artículo 9</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4" w:line="247" w:lineRule="auto"/>
        <w:ind w:left="1001" w:right="244" w:hanging="10"/>
        <w:jc w:val="both"/>
      </w:pPr>
      <w:r>
        <w:rPr>
          <w:rFonts w:ascii="Arial" w:eastAsia="Arial" w:hAnsi="Arial" w:cs="Arial"/>
          <w:i/>
        </w:rPr>
        <w:t>“Procederá la revisión periódica y predeterminada de dichos precios, tra</w:t>
      </w:r>
      <w:r>
        <w:rPr>
          <w:rFonts w:ascii="Arial" w:eastAsia="Arial" w:hAnsi="Arial" w:cs="Arial"/>
          <w:i/>
        </w:rPr>
        <w:t xml:space="preserve">nscurridos dos años desde la formalización del contrato y ejecutado al menos el 20 por ciento de su importe, cuando concurran acumulativamente las siguientes circunstancias: </w:t>
      </w:r>
    </w:p>
    <w:p w:rsidR="00FF384B" w:rsidRDefault="003E3BA9">
      <w:pPr>
        <w:spacing w:after="0"/>
        <w:ind w:left="991"/>
      </w:pPr>
      <w:r>
        <w:rPr>
          <w:rFonts w:ascii="Arial" w:eastAsia="Arial" w:hAnsi="Arial" w:cs="Arial"/>
          <w:i/>
        </w:rPr>
        <w:t xml:space="preserve"> </w:t>
      </w:r>
    </w:p>
    <w:p w:rsidR="00FF384B" w:rsidRDefault="003E3BA9">
      <w:pPr>
        <w:numPr>
          <w:ilvl w:val="0"/>
          <w:numId w:val="265"/>
        </w:numPr>
        <w:spacing w:after="4" w:line="247" w:lineRule="auto"/>
        <w:ind w:right="244" w:hanging="10"/>
        <w:jc w:val="both"/>
      </w:pPr>
      <w:r>
        <w:rPr>
          <w:rFonts w:ascii="Arial" w:eastAsia="Arial" w:hAnsi="Arial" w:cs="Arial"/>
          <w:i/>
        </w:rPr>
        <w:t>Que el período de recuperación de la inversión del contrato sea igual o superio</w:t>
      </w:r>
      <w:r>
        <w:rPr>
          <w:rFonts w:ascii="Arial" w:eastAsia="Arial" w:hAnsi="Arial" w:cs="Arial"/>
          <w:i/>
        </w:rPr>
        <w:t xml:space="preserve">r a cinco años, justificado conforme al criterio establecido en el artículo 10. </w:t>
      </w:r>
    </w:p>
    <w:p w:rsidR="00FF384B" w:rsidRDefault="003E3BA9">
      <w:pPr>
        <w:numPr>
          <w:ilvl w:val="0"/>
          <w:numId w:val="265"/>
        </w:numPr>
        <w:spacing w:after="4" w:line="247" w:lineRule="auto"/>
        <w:ind w:right="244" w:hanging="10"/>
        <w:jc w:val="both"/>
      </w:pPr>
      <w:r>
        <w:rPr>
          <w:noProof/>
        </w:rPr>
        <mc:AlternateContent>
          <mc:Choice Requires="wpg">
            <w:drawing>
              <wp:anchor distT="0" distB="0" distL="114300" distR="114300" simplePos="0" relativeHeight="2518753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3717" name="Group 48371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659" name="Picture 38659"/>
                          <pic:cNvPicPr/>
                        </pic:nvPicPr>
                        <pic:blipFill>
                          <a:blip r:embed="rId62"/>
                          <a:stretch>
                            <a:fillRect/>
                          </a:stretch>
                        </pic:blipFill>
                        <pic:spPr>
                          <a:xfrm rot="-5399999">
                            <a:off x="-1720849" y="1720849"/>
                            <a:ext cx="3797300" cy="355601"/>
                          </a:xfrm>
                          <a:prstGeom prst="rect">
                            <a:avLst/>
                          </a:prstGeom>
                        </pic:spPr>
                      </pic:pic>
                      <wps:wsp>
                        <wps:cNvPr id="38660" name="Rectangle 3866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661" name="Rectangle 38661"/>
                        <wps:cNvSpPr/>
                        <wps:spPr>
                          <a:xfrm rot="-5399999">
                            <a:off x="-1732004" y="1513052"/>
                            <a:ext cx="44552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3717" style="width:41.2715pt;height:299pt;position:absolute;mso-position-horizontal-relative:page;mso-position-horizontal:absolute;margin-left:653.71pt;mso-position-vertical-relative:page;margin-top:512.92pt;" coordsize="5241,37973">
                <v:shape id="Picture 38659" style="position:absolute;width:37973;height:3556;left:-17208;top:17208;rotation:-89;" filled="f">
                  <v:imagedata r:id="rId63"/>
                </v:shape>
                <v:rect id="Rectangle 3866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661"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211 de 353 </w:t>
                        </w:r>
                      </w:p>
                    </w:txbxContent>
                  </v:textbox>
                </v:rect>
                <w10:wrap type="square"/>
              </v:group>
            </w:pict>
          </mc:Fallback>
        </mc:AlternateContent>
      </w:r>
      <w:r>
        <w:rPr>
          <w:rFonts w:ascii="Arial" w:eastAsia="Arial" w:hAnsi="Arial" w:cs="Arial"/>
          <w:i/>
        </w:rPr>
        <w:t xml:space="preserve">Que así esté previsto en los pliegos, que deberán detallar la fórmula de revisión aplicable.”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El RD 55/2017 establece, para las revisiones de precios, la obli</w:t>
      </w:r>
      <w:r>
        <w:rPr>
          <w:rFonts w:ascii="Arial" w:eastAsia="Arial" w:hAnsi="Arial" w:cs="Arial"/>
        </w:rPr>
        <w:t>gación de justificar su procedencia en el expediente de contratación y que deberá establecerse en los pliegos la fórmula de revisión de precios aplicable, que se determinará en función de la naturaleza del contrato y de la estructura y evolución de los cos</w:t>
      </w:r>
      <w:r>
        <w:rPr>
          <w:rFonts w:ascii="Arial" w:eastAsia="Arial" w:hAnsi="Arial" w:cs="Arial"/>
        </w:rPr>
        <w:t xml:space="preserve">tes de la actividad que constituye su objeto.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Esta fórmula, que no será modificable, se vinculará únicamente a los costes directos, indispensables y significativos para el cumplimiento del objeto del contrato que no estén sometidos al control del contra</w:t>
      </w:r>
      <w:r>
        <w:rPr>
          <w:rFonts w:ascii="Arial" w:eastAsia="Arial" w:hAnsi="Arial" w:cs="Arial"/>
        </w:rPr>
        <w:t xml:space="preserve">tista. No serán revisables los costes asociados a las amortizaciones, los costes financieros, los gastos generales o de estructura, ni el beneficio industrial.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incremento repercutible de los costes de mano de obra no podrá ser superior al incremento </w:t>
      </w:r>
      <w:r>
        <w:rPr>
          <w:rFonts w:ascii="Arial" w:eastAsia="Arial" w:hAnsi="Arial" w:cs="Arial"/>
        </w:rPr>
        <w:t xml:space="preserve">experimentado por la retribución del personal al servicio del sector público, conforme a las Leyes de Presupuestos Generales del Estado.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El RD 55/2017 Establece además, en el caso que nos ocupa, que para la aplicación de la fórmula deberán haber transcu</w:t>
      </w:r>
      <w:r>
        <w:rPr>
          <w:rFonts w:ascii="Arial" w:eastAsia="Arial" w:hAnsi="Arial" w:cs="Arial"/>
        </w:rPr>
        <w:t xml:space="preserve">rrido 2 años desde la formalización del contrato y ejecutado, al menos, un 20 por ciento de su importe y podrán ser tanto al alza como a la baja.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 este modo, conforme establece dicho RD en su artículo 9, se ha solicitado su estructura de costes a cinc</w:t>
      </w:r>
      <w:r>
        <w:rPr>
          <w:rFonts w:ascii="Arial" w:eastAsia="Arial" w:hAnsi="Arial" w:cs="Arial"/>
        </w:rPr>
        <w:t xml:space="preserve">o operadores económicos significativos del sector.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A partir de las estructuras de costes facilitadas por los operadores, se ha elaborado una propuesta de estructura de costes para la actividad en Candelaria, al objeto de poder someterla al preceptivo tr</w:t>
      </w:r>
      <w:r>
        <w:rPr>
          <w:rFonts w:ascii="Arial" w:eastAsia="Arial" w:hAnsi="Arial" w:cs="Arial"/>
        </w:rPr>
        <w:t xml:space="preserve">ámite de información pública por un plazo de 20 días previo a la aprobación de los pliegos y posteriormente remitirla a la Junta Consultiva de Contratación Administrativa para su informe.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hd w:val="clear" w:color="auto" w:fill="E0E0E0"/>
        <w:spacing w:after="233" w:line="249" w:lineRule="auto"/>
        <w:ind w:left="197" w:right="168" w:hanging="10"/>
        <w:jc w:val="center"/>
      </w:pPr>
      <w:r>
        <w:rPr>
          <w:rFonts w:ascii="Arial" w:eastAsia="Arial" w:hAnsi="Arial" w:cs="Arial"/>
          <w:b/>
        </w:rPr>
        <w:t xml:space="preserve">DESARROLLO DE LA PROPUESTA DE LA ESTRUCTURA DE COSTES. </w:t>
      </w:r>
    </w:p>
    <w:p w:rsidR="00FF384B" w:rsidRDefault="003E3BA9">
      <w:pPr>
        <w:spacing w:after="5" w:line="247" w:lineRule="auto"/>
        <w:ind w:left="278" w:right="244" w:hanging="10"/>
        <w:jc w:val="both"/>
      </w:pPr>
      <w:r>
        <w:rPr>
          <w:rFonts w:ascii="Arial" w:eastAsia="Arial" w:hAnsi="Arial" w:cs="Arial"/>
        </w:rPr>
        <w:t>El servicio de gestión de residuos, limpieza viaria y del litoral presenta como objetivo llevar a cabo la recogida y transporte de residuos municipales hasta la planta de tratamiento correspondiente y la limpieza viaria del municipio, junto con aquellos ot</w:t>
      </w:r>
      <w:r>
        <w:rPr>
          <w:rFonts w:ascii="Arial" w:eastAsia="Arial" w:hAnsi="Arial" w:cs="Arial"/>
        </w:rPr>
        <w:t>ros servicios complementarios a estos principales. Dichos servicios conforman un proceso global integrado en un mismo contrato, con el objetivo de garantizar la vinculación de las diferentes partes del proceso de forma sinérgica y complementaria.</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Del mi</w:t>
      </w:r>
      <w:r>
        <w:rPr>
          <w:rFonts w:ascii="Arial" w:eastAsia="Arial" w:hAnsi="Arial" w:cs="Arial"/>
        </w:rPr>
        <w:t xml:space="preserve">smo modo, de conformidad con lo previsto en el artículo 3 del RD 55/2017 relativo al principio de referenciación a costes, todo régimen de revisión </w:t>
      </w:r>
      <w:r>
        <w:rPr>
          <w:rFonts w:ascii="Arial" w:eastAsia="Arial" w:hAnsi="Arial" w:cs="Arial"/>
          <w:b/>
        </w:rPr>
        <w:t>deberá tomar como referencia la estructura de costes de la actividad</w:t>
      </w:r>
      <w:r>
        <w:rPr>
          <w:rFonts w:ascii="Arial" w:eastAsia="Arial" w:hAnsi="Arial" w:cs="Arial"/>
        </w:rPr>
        <w:t>, ponderándose cada componente de costes</w:t>
      </w:r>
      <w:r>
        <w:rPr>
          <w:rFonts w:ascii="Arial" w:eastAsia="Arial" w:hAnsi="Arial" w:cs="Arial"/>
        </w:rPr>
        <w:t xml:space="preserve"> en función de su peso relativo.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8763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4306" name="Group 4843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8773" name="Picture 38773"/>
                          <pic:cNvPicPr/>
                        </pic:nvPicPr>
                        <pic:blipFill>
                          <a:blip r:embed="rId62"/>
                          <a:stretch>
                            <a:fillRect/>
                          </a:stretch>
                        </pic:blipFill>
                        <pic:spPr>
                          <a:xfrm rot="-5399999">
                            <a:off x="-1720849" y="1720849"/>
                            <a:ext cx="3797300" cy="355601"/>
                          </a:xfrm>
                          <a:prstGeom prst="rect">
                            <a:avLst/>
                          </a:prstGeom>
                        </pic:spPr>
                      </pic:pic>
                      <wps:wsp>
                        <wps:cNvPr id="38774" name="Rectangle 3877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8775" name="Rectangle 3877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4306" style="width:41.2715pt;height:299pt;position:absolute;mso-position-horizontal-relative:page;mso-position-horizontal:absolute;margin-left:653.71pt;mso-position-vertical-relative:page;margin-top:512.92pt;" coordsize="5241,37973">
                <v:shape id="Picture 38773" style="position:absolute;width:37973;height:3556;left:-17208;top:17208;rotation:-89;" filled="f">
                  <v:imagedata r:id="rId63"/>
                </v:shape>
                <v:rect id="Rectangle 3877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877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212 de 353 </w:t>
                        </w:r>
                      </w:p>
                    </w:txbxContent>
                  </v:textbox>
                </v:rect>
                <w10:wrap type="square"/>
              </v:group>
            </w:pict>
          </mc:Fallback>
        </mc:AlternateContent>
      </w:r>
      <w:r>
        <w:rPr>
          <w:rFonts w:ascii="Arial" w:eastAsia="Arial" w:hAnsi="Arial" w:cs="Arial"/>
        </w:rPr>
        <w:t>En consecuencia, los elementos y ponderación que forman parte de la estructura de costes, y de la consiguiente fórmula de revisión, han sido determinados en función de los requerimientos del Real Decreto 55/2017, de 3 de febrero, por el que se desarrolla l</w:t>
      </w:r>
      <w:r>
        <w:rPr>
          <w:rFonts w:ascii="Arial" w:eastAsia="Arial" w:hAnsi="Arial" w:cs="Arial"/>
        </w:rPr>
        <w:t xml:space="preserve">a Ley 2/2015, considerando las respuestas de operadores representativos del sector, quienes han facilitado las estructuras de costes referidos al servicio de gestión de residuos, limpieza viaria y del litoral.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 ha solicitado su estructura de costes a </w:t>
      </w:r>
      <w:r>
        <w:rPr>
          <w:rFonts w:ascii="Arial" w:eastAsia="Arial" w:hAnsi="Arial" w:cs="Arial"/>
        </w:rPr>
        <w:t xml:space="preserve">los siguientes cinco operadores económicos del sector, todos ellos relevantes y con implantación en la isla de Tenerife. </w:t>
      </w:r>
    </w:p>
    <w:p w:rsidR="00FF384B" w:rsidRDefault="003E3BA9">
      <w:pPr>
        <w:spacing w:after="0"/>
        <w:ind w:left="283"/>
      </w:pPr>
      <w:r>
        <w:rPr>
          <w:rFonts w:ascii="Arial" w:eastAsia="Arial" w:hAnsi="Arial" w:cs="Arial"/>
        </w:rPr>
        <w:t xml:space="preserve"> </w:t>
      </w:r>
    </w:p>
    <w:p w:rsidR="00FF384B" w:rsidRDefault="003E3BA9">
      <w:pPr>
        <w:numPr>
          <w:ilvl w:val="0"/>
          <w:numId w:val="266"/>
        </w:numPr>
        <w:spacing w:after="5" w:line="247" w:lineRule="auto"/>
        <w:ind w:right="244" w:hanging="360"/>
        <w:jc w:val="both"/>
      </w:pPr>
      <w:r>
        <w:rPr>
          <w:rFonts w:ascii="Arial" w:eastAsia="Arial" w:hAnsi="Arial" w:cs="Arial"/>
        </w:rPr>
        <w:t xml:space="preserve">VALORIZA SERVICIOS MEDIOAMBIENTALES. S.A. </w:t>
      </w:r>
    </w:p>
    <w:p w:rsidR="00FF384B" w:rsidRDefault="003E3BA9">
      <w:pPr>
        <w:numPr>
          <w:ilvl w:val="0"/>
          <w:numId w:val="266"/>
        </w:numPr>
        <w:spacing w:after="5" w:line="247" w:lineRule="auto"/>
        <w:ind w:right="244" w:hanging="360"/>
        <w:jc w:val="both"/>
      </w:pPr>
      <w:r>
        <w:rPr>
          <w:rFonts w:ascii="Arial" w:eastAsia="Arial" w:hAnsi="Arial" w:cs="Arial"/>
        </w:rPr>
        <w:t xml:space="preserve">MARTINEZ CANO CANARIAS S.A. </w:t>
      </w:r>
    </w:p>
    <w:p w:rsidR="00FF384B" w:rsidRDefault="003E3BA9">
      <w:pPr>
        <w:numPr>
          <w:ilvl w:val="0"/>
          <w:numId w:val="266"/>
        </w:numPr>
        <w:spacing w:after="5" w:line="247" w:lineRule="auto"/>
        <w:ind w:right="244" w:hanging="360"/>
        <w:jc w:val="both"/>
      </w:pPr>
      <w:r>
        <w:rPr>
          <w:rFonts w:ascii="Arial" w:eastAsia="Arial" w:hAnsi="Arial" w:cs="Arial"/>
        </w:rPr>
        <w:t xml:space="preserve">ASCAN SERVICIOS URBANOS S.L. </w:t>
      </w:r>
    </w:p>
    <w:p w:rsidR="00FF384B" w:rsidRDefault="003E3BA9">
      <w:pPr>
        <w:numPr>
          <w:ilvl w:val="0"/>
          <w:numId w:val="266"/>
        </w:numPr>
        <w:spacing w:after="5" w:line="247" w:lineRule="auto"/>
        <w:ind w:right="244" w:hanging="360"/>
        <w:jc w:val="both"/>
      </w:pPr>
      <w:r>
        <w:rPr>
          <w:rFonts w:ascii="Arial" w:eastAsia="Arial" w:hAnsi="Arial" w:cs="Arial"/>
        </w:rPr>
        <w:t>FCC. FOMENTO DE CONSTRUCCIONES</w:t>
      </w:r>
      <w:r>
        <w:rPr>
          <w:rFonts w:ascii="Arial" w:eastAsia="Arial" w:hAnsi="Arial" w:cs="Arial"/>
        </w:rPr>
        <w:t xml:space="preserve"> Y CONTRATAS S.A. </w:t>
      </w:r>
    </w:p>
    <w:p w:rsidR="00FF384B" w:rsidRDefault="003E3BA9">
      <w:pPr>
        <w:numPr>
          <w:ilvl w:val="0"/>
          <w:numId w:val="266"/>
        </w:numPr>
        <w:spacing w:after="5" w:line="247" w:lineRule="auto"/>
        <w:ind w:right="244" w:hanging="360"/>
        <w:jc w:val="both"/>
      </w:pPr>
      <w:r>
        <w:rPr>
          <w:rFonts w:ascii="Arial" w:eastAsia="Arial" w:hAnsi="Arial" w:cs="Arial"/>
        </w:rPr>
        <w:t xml:space="preserve">URBASER S.A.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Los operadores consultados, VALORIZA SERVICIOS MEDIOAMBIENTALES. S.A., AS-</w:t>
      </w:r>
    </w:p>
    <w:p w:rsidR="00FF384B" w:rsidRDefault="003E3BA9">
      <w:pPr>
        <w:spacing w:after="5" w:line="247" w:lineRule="auto"/>
        <w:ind w:left="278" w:right="244" w:hanging="10"/>
        <w:jc w:val="both"/>
      </w:pPr>
      <w:r>
        <w:rPr>
          <w:rFonts w:ascii="Arial" w:eastAsia="Arial" w:hAnsi="Arial" w:cs="Arial"/>
        </w:rPr>
        <w:t>CAN SERVICIOS URBANOS S.L., FCC. FOMENTO DE CONSTRUCCIONES Y CONTRATAS S.A. y URBASER S.A., aportaron sus respectivas estructuras de costes para e</w:t>
      </w:r>
      <w:r>
        <w:rPr>
          <w:rFonts w:ascii="Arial" w:eastAsia="Arial" w:hAnsi="Arial" w:cs="Arial"/>
        </w:rPr>
        <w:t xml:space="preserve">l </w:t>
      </w:r>
      <w:r>
        <w:rPr>
          <w:rFonts w:ascii="Arial" w:eastAsia="Arial" w:hAnsi="Arial" w:cs="Arial"/>
          <w:u w:val="single" w:color="000000"/>
        </w:rPr>
        <w:t>Servicio de gestión de residuos, limpieza viaria y del litoral</w:t>
      </w:r>
      <w:r>
        <w:rPr>
          <w:rFonts w:ascii="Arial" w:eastAsia="Arial" w:hAnsi="Arial" w:cs="Arial"/>
        </w:rPr>
        <w:t xml:space="preserve"> al Ayuntamiento de Candelaria y a la fecha de la firma de este informe, el operador MARTINEZ CANO CANARIAS S.A., no ha aportado su estructura de costes.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ESTRUCTURA DEL COSTE DEL SERVICI</w:t>
      </w:r>
      <w:r>
        <w:rPr>
          <w:rFonts w:ascii="Arial" w:eastAsia="Arial" w:hAnsi="Arial" w:cs="Arial"/>
          <w:b/>
          <w:u w:val="single" w:color="000000"/>
        </w:rPr>
        <w:t>O.</w:t>
      </w: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Teniendo en cuenta la respuesta de los cuatro operadores citados anteriormente y el estudio económico propio del Ayuntamiento para la determinación del precio de licitación, todas ellas con una distribución por partidas comparable, se ha diseñado una estru</w:t>
      </w:r>
      <w:r>
        <w:rPr>
          <w:rFonts w:ascii="Arial" w:eastAsia="Arial" w:hAnsi="Arial" w:cs="Arial"/>
        </w:rPr>
        <w:t xml:space="preserve">ctura en la cual se incorporan aquellos costes más representativos indispensables de la actividad a partir de datos siempre comparables y desagregados en la mayor medida posible, según lo establecido en el Real Decreto 55/2017.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 este modo, la estructura de costes imprescindibles para llevar a cabo la actividad es la siguiente:</w:t>
      </w:r>
      <w:r>
        <w:rPr>
          <w:rFonts w:ascii="Times New Roman" w:eastAsia="Times New Roman" w:hAnsi="Times New Roman" w:cs="Times New Roman"/>
          <w:sz w:val="24"/>
        </w:rPr>
        <w:t xml:space="preserve"> </w:t>
      </w:r>
    </w:p>
    <w:p w:rsidR="00FF384B" w:rsidRDefault="003E3BA9">
      <w:pPr>
        <w:spacing w:after="0"/>
        <w:ind w:left="283"/>
      </w:pPr>
      <w:r>
        <w:rPr>
          <w:noProof/>
        </w:rPr>
        <mc:AlternateContent>
          <mc:Choice Requires="wpg">
            <w:drawing>
              <wp:anchor distT="0" distB="0" distL="114300" distR="114300" simplePos="0" relativeHeight="2518773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7611" name="Group 5276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488" name="Picture 39488"/>
                          <pic:cNvPicPr/>
                        </pic:nvPicPr>
                        <pic:blipFill>
                          <a:blip r:embed="rId62"/>
                          <a:stretch>
                            <a:fillRect/>
                          </a:stretch>
                        </pic:blipFill>
                        <pic:spPr>
                          <a:xfrm rot="-5399999">
                            <a:off x="-1720849" y="1720849"/>
                            <a:ext cx="3797300" cy="355601"/>
                          </a:xfrm>
                          <a:prstGeom prst="rect">
                            <a:avLst/>
                          </a:prstGeom>
                        </pic:spPr>
                      </pic:pic>
                      <wps:wsp>
                        <wps:cNvPr id="39489" name="Rectangle 394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9490" name="Rectangle 3949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w:t>
                              </w:r>
                              <w:r>
                                <w:rPr>
                                  <w:rFonts w:ascii="Arial" w:eastAsia="Arial" w:hAnsi="Arial" w:cs="Arial"/>
                                  <w:sz w:val="12"/>
                                </w:rPr>
                                <w:t xml:space="preserve">forma esPublico Gestiona | Página 213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7611" style="width:41.2715pt;height:299pt;position:absolute;mso-position-horizontal-relative:page;mso-position-horizontal:absolute;margin-left:653.71pt;mso-position-vertical-relative:page;margin-top:512.92pt;" coordsize="5241,37973">
                <v:shape id="Picture 39488" style="position:absolute;width:37973;height:3556;left:-17208;top:17208;rotation:-89;" filled="f">
                  <v:imagedata r:id="rId63"/>
                </v:shape>
                <v:rect id="Rectangle 394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49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213 de 353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487" w:type="dxa"/>
        <w:tblInd w:w="293" w:type="dxa"/>
        <w:tblCellMar>
          <w:top w:w="21" w:type="dxa"/>
          <w:left w:w="40" w:type="dxa"/>
          <w:bottom w:w="0" w:type="dxa"/>
          <w:right w:w="35" w:type="dxa"/>
        </w:tblCellMar>
        <w:tblLook w:val="04A0" w:firstRow="1" w:lastRow="0" w:firstColumn="1" w:lastColumn="0" w:noHBand="0" w:noVBand="1"/>
      </w:tblPr>
      <w:tblGrid>
        <w:gridCol w:w="564"/>
        <w:gridCol w:w="5591"/>
        <w:gridCol w:w="2332"/>
      </w:tblGrid>
      <w:tr w:rsidR="00FF384B">
        <w:trPr>
          <w:trHeight w:val="239"/>
        </w:trPr>
        <w:tc>
          <w:tcPr>
            <w:tcW w:w="8487" w:type="dxa"/>
            <w:gridSpan w:val="3"/>
            <w:tcBorders>
              <w:top w:val="single" w:sz="2" w:space="0" w:color="000000"/>
              <w:left w:val="single" w:sz="6" w:space="0" w:color="000000"/>
              <w:bottom w:val="single" w:sz="13" w:space="0" w:color="000000"/>
              <w:right w:val="single" w:sz="9" w:space="0" w:color="000000"/>
            </w:tcBorders>
            <w:shd w:val="clear" w:color="auto" w:fill="990033"/>
          </w:tcPr>
          <w:p w:rsidR="00FF384B" w:rsidRDefault="003E3BA9">
            <w:pPr>
              <w:spacing w:after="0"/>
              <w:ind w:left="3"/>
              <w:jc w:val="center"/>
            </w:pPr>
            <w:r>
              <w:rPr>
                <w:rFonts w:ascii="Arial" w:eastAsia="Arial" w:hAnsi="Arial" w:cs="Arial"/>
                <w:b/>
                <w:color w:val="FFFFFF"/>
                <w:sz w:val="18"/>
              </w:rPr>
              <w:t>Estrucura de costes del servicio gestión de residuos y limpieza viaria y litoral</w:t>
            </w:r>
          </w:p>
        </w:tc>
      </w:tr>
      <w:tr w:rsidR="00FF384B">
        <w:trPr>
          <w:trHeight w:val="250"/>
        </w:trPr>
        <w:tc>
          <w:tcPr>
            <w:tcW w:w="6156" w:type="dxa"/>
            <w:gridSpan w:val="2"/>
            <w:tcBorders>
              <w:top w:val="single" w:sz="13" w:space="0" w:color="000000"/>
              <w:left w:val="single" w:sz="6" w:space="0" w:color="000000"/>
              <w:bottom w:val="single" w:sz="14" w:space="0" w:color="000000"/>
              <w:right w:val="single" w:sz="13" w:space="0" w:color="000000"/>
            </w:tcBorders>
            <w:shd w:val="clear" w:color="auto" w:fill="BFBFBF"/>
          </w:tcPr>
          <w:p w:rsidR="00FF384B" w:rsidRDefault="003E3BA9">
            <w:pPr>
              <w:spacing w:after="0"/>
              <w:ind w:left="8"/>
              <w:jc w:val="center"/>
            </w:pPr>
            <w:r>
              <w:rPr>
                <w:rFonts w:ascii="Arial" w:eastAsia="Arial" w:hAnsi="Arial" w:cs="Arial"/>
                <w:b/>
                <w:sz w:val="18"/>
              </w:rPr>
              <w:t>COMPONENTE</w:t>
            </w:r>
          </w:p>
        </w:tc>
        <w:tc>
          <w:tcPr>
            <w:tcW w:w="2332" w:type="dxa"/>
            <w:tcBorders>
              <w:top w:val="single" w:sz="13" w:space="0" w:color="000000"/>
              <w:left w:val="single" w:sz="13" w:space="0" w:color="000000"/>
              <w:bottom w:val="single" w:sz="14" w:space="0" w:color="000000"/>
              <w:right w:val="single" w:sz="9" w:space="0" w:color="000000"/>
            </w:tcBorders>
            <w:shd w:val="clear" w:color="auto" w:fill="BFBFBF"/>
          </w:tcPr>
          <w:p w:rsidR="00FF384B" w:rsidRDefault="003E3BA9">
            <w:pPr>
              <w:spacing w:after="0"/>
              <w:ind w:left="11"/>
              <w:jc w:val="center"/>
            </w:pPr>
            <w:r>
              <w:rPr>
                <w:rFonts w:ascii="Arial" w:eastAsia="Arial" w:hAnsi="Arial" w:cs="Arial"/>
                <w:b/>
                <w:sz w:val="18"/>
              </w:rPr>
              <w:t>(%) SOBRE TOTAL</w:t>
            </w:r>
          </w:p>
        </w:tc>
      </w:tr>
      <w:tr w:rsidR="00FF384B">
        <w:trPr>
          <w:trHeight w:val="255"/>
        </w:trPr>
        <w:tc>
          <w:tcPr>
            <w:tcW w:w="564" w:type="dxa"/>
            <w:tcBorders>
              <w:top w:val="single" w:sz="14"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1</w:t>
            </w:r>
          </w:p>
        </w:tc>
        <w:tc>
          <w:tcPr>
            <w:tcW w:w="5591" w:type="dxa"/>
            <w:tcBorders>
              <w:top w:val="single" w:sz="14"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Gastos de personal</w:t>
            </w:r>
          </w:p>
        </w:tc>
        <w:tc>
          <w:tcPr>
            <w:tcW w:w="2332" w:type="dxa"/>
            <w:tcBorders>
              <w:top w:val="single" w:sz="14"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72,87%</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Gastos de bienes corrientes y servicios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16,91%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 xml:space="preserve">Costes </w:t>
            </w:r>
            <w:r>
              <w:rPr>
                <w:rFonts w:ascii="Arial" w:eastAsia="Arial" w:hAnsi="Arial" w:cs="Arial"/>
                <w:sz w:val="18"/>
              </w:rPr>
              <w:t>variables maquinaria y equipos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10,88%</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Carburantes y lubricantes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5,70%</w:t>
            </w:r>
          </w:p>
        </w:tc>
      </w:tr>
      <w:tr w:rsidR="00FF384B">
        <w:trPr>
          <w:trHeight w:val="250"/>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2.1.2</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Mantenimiento y reparaciones de maquinaria y equipos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5,19%</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Costes fijos de maquinaria y equipos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3"/>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2.2.1</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Seguros, tasa e impuestos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4"/>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 xml:space="preserve">2.3 </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Otros costes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5,46%</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Suministros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0,95%</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2.3.2</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Mantenimiento instalaciones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1,79%</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2.3.3</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Vestuarios y EPIS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0,61%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2.3.4</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Equipamiento informático y aplicaciones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0,93%</w:t>
            </w:r>
          </w:p>
        </w:tc>
      </w:tr>
      <w:tr w:rsidR="00FF384B">
        <w:trPr>
          <w:trHeight w:val="242"/>
        </w:trPr>
        <w:tc>
          <w:tcPr>
            <w:tcW w:w="564" w:type="dxa"/>
            <w:tcBorders>
              <w:top w:val="single" w:sz="7" w:space="0" w:color="000000"/>
              <w:left w:val="single" w:sz="6" w:space="0" w:color="000000"/>
              <w:bottom w:val="single" w:sz="14" w:space="0" w:color="000000"/>
              <w:right w:val="single" w:sz="6" w:space="0" w:color="000000"/>
            </w:tcBorders>
          </w:tcPr>
          <w:p w:rsidR="00FF384B" w:rsidRDefault="003E3BA9">
            <w:pPr>
              <w:spacing w:after="0"/>
            </w:pPr>
            <w:r>
              <w:rPr>
                <w:rFonts w:ascii="Arial" w:eastAsia="Arial" w:hAnsi="Arial" w:cs="Arial"/>
                <w:sz w:val="18"/>
              </w:rPr>
              <w:t>3</w:t>
            </w:r>
          </w:p>
        </w:tc>
        <w:tc>
          <w:tcPr>
            <w:tcW w:w="5591" w:type="dxa"/>
            <w:tcBorders>
              <w:top w:val="single" w:sz="7" w:space="0" w:color="000000"/>
              <w:left w:val="single" w:sz="6" w:space="0" w:color="000000"/>
              <w:bottom w:val="single" w:sz="14" w:space="0" w:color="000000"/>
              <w:right w:val="single" w:sz="13" w:space="0" w:color="000000"/>
            </w:tcBorders>
          </w:tcPr>
          <w:p w:rsidR="00FF384B" w:rsidRDefault="003E3BA9">
            <w:pPr>
              <w:spacing w:after="0"/>
              <w:ind w:left="2"/>
            </w:pPr>
            <w:r>
              <w:rPr>
                <w:rFonts w:ascii="Arial" w:eastAsia="Arial" w:hAnsi="Arial" w:cs="Arial"/>
                <w:sz w:val="18"/>
              </w:rPr>
              <w:t>Amortizaciones</w:t>
            </w:r>
          </w:p>
        </w:tc>
        <w:tc>
          <w:tcPr>
            <w:tcW w:w="2332" w:type="dxa"/>
            <w:tcBorders>
              <w:top w:val="single" w:sz="7" w:space="0" w:color="000000"/>
              <w:left w:val="single" w:sz="13" w:space="0" w:color="000000"/>
              <w:bottom w:val="single" w:sz="14" w:space="0" w:color="000000"/>
              <w:right w:val="single" w:sz="9" w:space="0" w:color="000000"/>
            </w:tcBorders>
          </w:tcPr>
          <w:p w:rsidR="00FF384B" w:rsidRDefault="003E3BA9">
            <w:pPr>
              <w:spacing w:after="0"/>
              <w:jc w:val="right"/>
            </w:pPr>
            <w:r>
              <w:rPr>
                <w:rFonts w:ascii="Arial" w:eastAsia="Arial" w:hAnsi="Arial" w:cs="Arial"/>
                <w:sz w:val="18"/>
              </w:rPr>
              <w:t>10,22%</w:t>
            </w:r>
          </w:p>
        </w:tc>
      </w:tr>
      <w:tr w:rsidR="00FF384B">
        <w:trPr>
          <w:trHeight w:val="254"/>
        </w:trPr>
        <w:tc>
          <w:tcPr>
            <w:tcW w:w="6156" w:type="dxa"/>
            <w:gridSpan w:val="2"/>
            <w:tcBorders>
              <w:top w:val="single" w:sz="14" w:space="0" w:color="000000"/>
              <w:left w:val="single" w:sz="6" w:space="0" w:color="000000"/>
              <w:bottom w:val="single" w:sz="13" w:space="0" w:color="000000"/>
              <w:right w:val="single" w:sz="13" w:space="0" w:color="000000"/>
            </w:tcBorders>
            <w:shd w:val="clear" w:color="auto" w:fill="BFBFBF"/>
          </w:tcPr>
          <w:p w:rsidR="00FF384B" w:rsidRDefault="003E3BA9">
            <w:pPr>
              <w:spacing w:after="0"/>
            </w:pPr>
            <w:r>
              <w:rPr>
                <w:rFonts w:ascii="Arial" w:eastAsia="Arial" w:hAnsi="Arial" w:cs="Arial"/>
                <w:b/>
                <w:sz w:val="18"/>
              </w:rPr>
              <w:t>TOTAL DE COSTE DIRECTO</w:t>
            </w:r>
          </w:p>
        </w:tc>
        <w:tc>
          <w:tcPr>
            <w:tcW w:w="2332" w:type="dxa"/>
            <w:tcBorders>
              <w:top w:val="single" w:sz="14" w:space="0" w:color="000000"/>
              <w:left w:val="single" w:sz="13" w:space="0" w:color="000000"/>
              <w:bottom w:val="single" w:sz="13" w:space="0" w:color="000000"/>
              <w:right w:val="single" w:sz="9" w:space="0" w:color="000000"/>
            </w:tcBorders>
            <w:shd w:val="clear" w:color="auto" w:fill="BFBFBF"/>
          </w:tcPr>
          <w:p w:rsidR="00FF384B" w:rsidRDefault="003E3BA9">
            <w:pPr>
              <w:spacing w:after="0"/>
              <w:jc w:val="right"/>
            </w:pPr>
            <w:r>
              <w:rPr>
                <w:rFonts w:ascii="Arial" w:eastAsia="Arial" w:hAnsi="Arial" w:cs="Arial"/>
                <w:b/>
                <w:sz w:val="18"/>
              </w:rPr>
              <w:t>100,00%</w:t>
            </w:r>
          </w:p>
        </w:tc>
      </w:tr>
    </w:tbl>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 xml:space="preserve">Destaca el porcentaje mayoritario que corresponde a la partida de costes de personal, incluidos todos los conceptos para la empresa en función de los establecidos en el convenio colectivo.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 confirma que estamos en un sector intensivo en mano de obra, </w:t>
      </w:r>
      <w:r>
        <w:rPr>
          <w:rFonts w:ascii="Arial" w:eastAsia="Arial" w:hAnsi="Arial" w:cs="Arial"/>
        </w:rPr>
        <w:t xml:space="preserve">con un peso relativo sobre el total de costes del servicio superior al 72%.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Dentro de los gastos en bienes corrientes y servicios, realizada la desagregación de esta tipología de gasto, observamos que los costes relativos al funcionamiento de la maquina</w:t>
      </w:r>
      <w:r>
        <w:rPr>
          <w:rFonts w:ascii="Arial" w:eastAsia="Arial" w:hAnsi="Arial" w:cs="Arial"/>
        </w:rPr>
        <w:t xml:space="preserve">ria y equipos se sitúan en segundo lugar de importancia, dado el cada vez mayor uso de maquinaria en este tipo de servicios con el objetivo de mejorar la eficiencia y eficacia de la prestación.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Destaca además, el importante esfuerzo inversor en medios t</w:t>
      </w:r>
      <w:r>
        <w:rPr>
          <w:rFonts w:ascii="Arial" w:eastAsia="Arial" w:hAnsi="Arial" w:cs="Arial"/>
        </w:rPr>
        <w:t>écnicos que se va a llevar a cabo en este contrato, lo cual se traduce en una partida de amortizaciones (sin intereses) de la inversión total en cuanto a vehículos, maquinaria, y utillaje etc. que constituye el tercer capítulo más importante de esta estruc</w:t>
      </w:r>
      <w:r>
        <w:rPr>
          <w:rFonts w:ascii="Arial" w:eastAsia="Arial" w:hAnsi="Arial" w:cs="Arial"/>
        </w:rPr>
        <w:t xml:space="preserve">tura de costes.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Finalmente el apartado de otros costes, que agrupa Seguros, tasas e impuestos, Suministros, Mantenimiento de instalaciones, Vestuario de personal y Aplicaciones informáticas es ampliamente minoritario.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Los componentes de esta estructu</w:t>
      </w:r>
      <w:r>
        <w:rPr>
          <w:rFonts w:ascii="Arial" w:eastAsia="Arial" w:hAnsi="Arial" w:cs="Arial"/>
        </w:rPr>
        <w:t>ra evolucionan con el tiempo, de modo que sus costes deberán variar en consecuencia, y es fundamental disponer de un determinado grado de certidumbre respecto a que la evolución de los costes relevantes de las actuaciones necesarias para desarrollar el ser</w:t>
      </w:r>
      <w:r>
        <w:rPr>
          <w:rFonts w:ascii="Arial" w:eastAsia="Arial" w:hAnsi="Arial" w:cs="Arial"/>
        </w:rPr>
        <w:t xml:space="preserve">vicio va a ser tenido en cuenta.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Sin embargo, algunas de las partidas se encuentran bajo la influencia de desviaciones derivadas de circunstancias ajenas a la voluntad del contratista, o de su capacidad de gestión, además de a la propia evolución del mercado.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Todo ello lleva consigo un</w:t>
      </w:r>
      <w:r>
        <w:rPr>
          <w:rFonts w:ascii="Arial" w:eastAsia="Arial" w:hAnsi="Arial" w:cs="Arial"/>
        </w:rPr>
        <w:t xml:space="preserve">a variación recurrente e impredecible en el tiempo de algunas componentes de coste, que en ocasiones se encuentra supeditada a la coyuntura económica del momento.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COSTES PARA LA DETERMINACIÓN DE LA ESTRUCTURA DE LA FORMULA DE</w:t>
      </w:r>
      <w:r>
        <w:rPr>
          <w:rFonts w:ascii="Arial" w:eastAsia="Arial" w:hAnsi="Arial" w:cs="Arial"/>
          <w:b/>
        </w:rPr>
        <w:t xml:space="preserve"> </w:t>
      </w:r>
      <w:r>
        <w:rPr>
          <w:rFonts w:ascii="Arial" w:eastAsia="Arial" w:hAnsi="Arial" w:cs="Arial"/>
          <w:b/>
          <w:u w:val="single" w:color="000000"/>
        </w:rPr>
        <w:t>REVISIÓN.</w:t>
      </w: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Según lo dispuesto en el Real Decreto 55/2017, de 3 de febrero, la revisión se ha de realizar únicamente teniendo en cuenta los costes directos, indispensables y significativos para el cumplimiento del objeto del contrato.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Una vez efectuada la máxima de</w:t>
      </w:r>
      <w:r>
        <w:rPr>
          <w:rFonts w:ascii="Arial" w:eastAsia="Arial" w:hAnsi="Arial" w:cs="Arial"/>
        </w:rPr>
        <w:t xml:space="preserve">sagregación posible y razonable, deben resultar compatibles con las normas establecidas en este Real Decreto, de manera que: </w:t>
      </w:r>
    </w:p>
    <w:p w:rsidR="00FF384B" w:rsidRDefault="003E3BA9">
      <w:pPr>
        <w:spacing w:after="0"/>
        <w:ind w:left="283"/>
      </w:pPr>
      <w:r>
        <w:rPr>
          <w:rFonts w:ascii="Arial" w:eastAsia="Arial" w:hAnsi="Arial" w:cs="Arial"/>
        </w:rPr>
        <w:t xml:space="preserve"> </w:t>
      </w:r>
    </w:p>
    <w:p w:rsidR="00FF384B" w:rsidRDefault="003E3BA9">
      <w:pPr>
        <w:numPr>
          <w:ilvl w:val="0"/>
          <w:numId w:val="267"/>
        </w:numPr>
        <w:spacing w:after="5" w:line="247" w:lineRule="auto"/>
        <w:ind w:right="244" w:hanging="360"/>
        <w:jc w:val="both"/>
      </w:pPr>
      <w:r>
        <w:rPr>
          <w:noProof/>
        </w:rPr>
        <mc:AlternateContent>
          <mc:Choice Requires="wpg">
            <w:drawing>
              <wp:anchor distT="0" distB="0" distL="114300" distR="114300" simplePos="0" relativeHeight="2518784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07007" name="Group 50700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616" name="Picture 39616"/>
                          <pic:cNvPicPr/>
                        </pic:nvPicPr>
                        <pic:blipFill>
                          <a:blip r:embed="rId62"/>
                          <a:stretch>
                            <a:fillRect/>
                          </a:stretch>
                        </pic:blipFill>
                        <pic:spPr>
                          <a:xfrm rot="-5399999">
                            <a:off x="-1720849" y="1720849"/>
                            <a:ext cx="3797300" cy="355601"/>
                          </a:xfrm>
                          <a:prstGeom prst="rect">
                            <a:avLst/>
                          </a:prstGeom>
                        </pic:spPr>
                      </pic:pic>
                      <wps:wsp>
                        <wps:cNvPr id="39617" name="Rectangle 3961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9618" name="Rectangle 3961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w:t>
                              </w:r>
                              <w:r>
                                <w:rPr>
                                  <w:rFonts w:ascii="Arial" w:eastAsia="Arial" w:hAnsi="Arial" w:cs="Arial"/>
                                  <w:sz w:val="12"/>
                                </w:rPr>
                                <w:t xml:space="preserve">nicamente desde la plataforma esPublico Gestiona | Página 214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7007" style="width:41.2715pt;height:299pt;position:absolute;mso-position-horizontal-relative:page;mso-position-horizontal:absolute;margin-left:653.71pt;mso-position-vertical-relative:page;margin-top:512.92pt;" coordsize="5241,37973">
                <v:shape id="Picture 39616" style="position:absolute;width:37973;height:3556;left:-17208;top:17208;rotation:-89;" filled="f">
                  <v:imagedata r:id="rId63"/>
                </v:shape>
                <v:rect id="Rectangle 3961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61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214 de 353 </w:t>
                        </w:r>
                      </w:p>
                    </w:txbxContent>
                  </v:textbox>
                </v:rect>
                <w10:wrap type="square"/>
              </v:group>
            </w:pict>
          </mc:Fallback>
        </mc:AlternateContent>
      </w:r>
      <w:r>
        <w:rPr>
          <w:rFonts w:ascii="Arial" w:eastAsia="Arial" w:hAnsi="Arial" w:cs="Arial"/>
        </w:rPr>
        <w:t xml:space="preserve">Sólo podrán ser revisados los componentes que supongan, al menos, el 1 por 100 de valor íntegro de la actividad y no estar sometidos al control del contratista. </w:t>
      </w:r>
    </w:p>
    <w:p w:rsidR="00FF384B" w:rsidRDefault="003E3BA9">
      <w:pPr>
        <w:numPr>
          <w:ilvl w:val="0"/>
          <w:numId w:val="267"/>
        </w:numPr>
        <w:spacing w:after="5" w:line="247" w:lineRule="auto"/>
        <w:ind w:right="244" w:hanging="360"/>
        <w:jc w:val="both"/>
      </w:pPr>
      <w:r>
        <w:rPr>
          <w:rFonts w:ascii="Arial" w:eastAsia="Arial" w:hAnsi="Arial" w:cs="Arial"/>
        </w:rPr>
        <w:t>No son revisables los co</w:t>
      </w:r>
      <w:r>
        <w:rPr>
          <w:rFonts w:ascii="Arial" w:eastAsia="Arial" w:hAnsi="Arial" w:cs="Arial"/>
        </w:rPr>
        <w:t xml:space="preserve">stes asociados a las amortizaciones, los costes financieros, los gastos generales o de estructura, ni el beneficio industrial. </w:t>
      </w:r>
    </w:p>
    <w:p w:rsidR="00FF384B" w:rsidRDefault="003E3BA9">
      <w:pPr>
        <w:numPr>
          <w:ilvl w:val="0"/>
          <w:numId w:val="267"/>
        </w:numPr>
        <w:spacing w:after="5" w:line="247" w:lineRule="auto"/>
        <w:ind w:right="244" w:hanging="360"/>
        <w:jc w:val="both"/>
      </w:pPr>
      <w:r>
        <w:rPr>
          <w:rFonts w:ascii="Arial" w:eastAsia="Arial" w:hAnsi="Arial" w:cs="Arial"/>
        </w:rPr>
        <w:t>Cada componente de coste a incorporar en la fórmula tendrá un precio individual o índice específico que permita reflejar su evol</w:t>
      </w:r>
      <w:r>
        <w:rPr>
          <w:rFonts w:ascii="Arial" w:eastAsia="Arial" w:hAnsi="Arial" w:cs="Arial"/>
        </w:rPr>
        <w:t xml:space="preserve">ución.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 xml:space="preserve">De este modo se proponen, por su carácter indispensable para la realización del servicio y por poder sufrir desviaciones significativas, los siguientes: </w:t>
      </w:r>
    </w:p>
    <w:p w:rsidR="00FF384B" w:rsidRDefault="003E3BA9">
      <w:pPr>
        <w:spacing w:after="0"/>
        <w:ind w:left="283"/>
      </w:pPr>
      <w:r>
        <w:rPr>
          <w:rFonts w:ascii="Times New Roman" w:eastAsia="Times New Roman" w:hAnsi="Times New Roman" w:cs="Times New Roman"/>
          <w:sz w:val="24"/>
        </w:rPr>
        <w:t xml:space="preserve"> </w:t>
      </w:r>
    </w:p>
    <w:tbl>
      <w:tblPr>
        <w:tblStyle w:val="TableGrid"/>
        <w:tblW w:w="5869" w:type="dxa"/>
        <w:tblInd w:w="1597" w:type="dxa"/>
        <w:tblCellMar>
          <w:top w:w="24" w:type="dxa"/>
          <w:left w:w="32" w:type="dxa"/>
          <w:bottom w:w="0" w:type="dxa"/>
          <w:right w:w="69" w:type="dxa"/>
        </w:tblCellMar>
        <w:tblLook w:val="04A0" w:firstRow="1" w:lastRow="0" w:firstColumn="1" w:lastColumn="0" w:noHBand="0" w:noVBand="1"/>
      </w:tblPr>
      <w:tblGrid>
        <w:gridCol w:w="542"/>
        <w:gridCol w:w="5326"/>
      </w:tblGrid>
      <w:tr w:rsidR="00FF384B">
        <w:trPr>
          <w:trHeight w:val="279"/>
        </w:trPr>
        <w:tc>
          <w:tcPr>
            <w:tcW w:w="5869" w:type="dxa"/>
            <w:gridSpan w:val="2"/>
            <w:tcBorders>
              <w:top w:val="single" w:sz="5" w:space="0" w:color="000000"/>
              <w:left w:val="single" w:sz="5" w:space="0" w:color="000000"/>
              <w:bottom w:val="single" w:sz="11" w:space="0" w:color="000000"/>
              <w:right w:val="single" w:sz="11" w:space="0" w:color="000000"/>
            </w:tcBorders>
            <w:shd w:val="clear" w:color="auto" w:fill="990033"/>
          </w:tcPr>
          <w:p w:rsidR="00FF384B" w:rsidRDefault="003E3BA9">
            <w:pPr>
              <w:spacing w:after="0"/>
              <w:ind w:left="25"/>
              <w:jc w:val="center"/>
            </w:pPr>
            <w:r>
              <w:rPr>
                <w:rFonts w:ascii="Arial" w:eastAsia="Arial" w:hAnsi="Arial" w:cs="Arial"/>
                <w:b/>
                <w:color w:val="FFFFFF"/>
                <w:sz w:val="20"/>
              </w:rPr>
              <w:t>COMPONENTE</w:t>
            </w:r>
          </w:p>
        </w:tc>
      </w:tr>
      <w:tr w:rsidR="00FF384B">
        <w:trPr>
          <w:trHeight w:val="262"/>
        </w:trPr>
        <w:tc>
          <w:tcPr>
            <w:tcW w:w="542" w:type="dxa"/>
            <w:tcBorders>
              <w:top w:val="single" w:sz="11" w:space="0" w:color="000000"/>
              <w:left w:val="single" w:sz="5" w:space="0" w:color="000000"/>
              <w:bottom w:val="single" w:sz="6" w:space="0" w:color="000000"/>
              <w:right w:val="single" w:sz="5" w:space="0" w:color="000000"/>
            </w:tcBorders>
            <w:shd w:val="clear" w:color="auto" w:fill="BFBFBF"/>
          </w:tcPr>
          <w:p w:rsidR="00FF384B" w:rsidRDefault="003E3BA9">
            <w:pPr>
              <w:spacing w:after="0"/>
            </w:pPr>
            <w:r>
              <w:rPr>
                <w:rFonts w:ascii="Arial" w:eastAsia="Arial" w:hAnsi="Arial" w:cs="Arial"/>
                <w:sz w:val="20"/>
              </w:rPr>
              <w:t>1</w:t>
            </w:r>
          </w:p>
        </w:tc>
        <w:tc>
          <w:tcPr>
            <w:tcW w:w="5326" w:type="dxa"/>
            <w:tcBorders>
              <w:top w:val="single" w:sz="11" w:space="0" w:color="000000"/>
              <w:left w:val="single" w:sz="5" w:space="0" w:color="000000"/>
              <w:bottom w:val="single" w:sz="6"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Gastos de personal</w:t>
            </w:r>
          </w:p>
        </w:tc>
      </w:tr>
      <w:tr w:rsidR="00FF384B">
        <w:trPr>
          <w:trHeight w:val="255"/>
        </w:trPr>
        <w:tc>
          <w:tcPr>
            <w:tcW w:w="542" w:type="dxa"/>
            <w:tcBorders>
              <w:top w:val="single" w:sz="6" w:space="0" w:color="000000"/>
              <w:left w:val="single" w:sz="5" w:space="0" w:color="000000"/>
              <w:bottom w:val="single" w:sz="6" w:space="0" w:color="000000"/>
              <w:right w:val="single" w:sz="5" w:space="0" w:color="000000"/>
            </w:tcBorders>
          </w:tcPr>
          <w:p w:rsidR="00FF384B" w:rsidRDefault="003E3BA9">
            <w:pPr>
              <w:spacing w:after="0"/>
            </w:pPr>
            <w:r>
              <w:rPr>
                <w:rFonts w:ascii="Arial" w:eastAsia="Arial" w:hAnsi="Arial" w:cs="Arial"/>
                <w:sz w:val="20"/>
              </w:rPr>
              <w:t>2</w:t>
            </w:r>
          </w:p>
        </w:tc>
        <w:tc>
          <w:tcPr>
            <w:tcW w:w="5326" w:type="dxa"/>
            <w:tcBorders>
              <w:top w:val="single" w:sz="6" w:space="0" w:color="000000"/>
              <w:left w:val="single" w:sz="5" w:space="0" w:color="000000"/>
              <w:bottom w:val="single" w:sz="6" w:space="0" w:color="000000"/>
              <w:right w:val="single" w:sz="11" w:space="0" w:color="000000"/>
            </w:tcBorders>
          </w:tcPr>
          <w:p w:rsidR="00FF384B" w:rsidRDefault="003E3BA9">
            <w:pPr>
              <w:spacing w:after="0"/>
              <w:ind w:left="2"/>
            </w:pPr>
            <w:r>
              <w:rPr>
                <w:rFonts w:ascii="Arial" w:eastAsia="Arial" w:hAnsi="Arial" w:cs="Arial"/>
                <w:sz w:val="20"/>
              </w:rPr>
              <w:t>Gastos de bienes corrientes y servicios</w:t>
            </w:r>
          </w:p>
        </w:tc>
      </w:tr>
      <w:tr w:rsidR="00FF384B">
        <w:trPr>
          <w:trHeight w:val="255"/>
        </w:trPr>
        <w:tc>
          <w:tcPr>
            <w:tcW w:w="542" w:type="dxa"/>
            <w:tcBorders>
              <w:top w:val="single" w:sz="6" w:space="0" w:color="000000"/>
              <w:left w:val="single" w:sz="5" w:space="0" w:color="000000"/>
              <w:bottom w:val="single" w:sz="5" w:space="0" w:color="000000"/>
              <w:right w:val="single" w:sz="5" w:space="0" w:color="000000"/>
            </w:tcBorders>
          </w:tcPr>
          <w:p w:rsidR="00FF384B" w:rsidRDefault="003E3BA9">
            <w:pPr>
              <w:spacing w:after="0"/>
            </w:pPr>
            <w:r>
              <w:rPr>
                <w:rFonts w:ascii="Arial" w:eastAsia="Arial" w:hAnsi="Arial" w:cs="Arial"/>
                <w:sz w:val="20"/>
              </w:rPr>
              <w:t>2.1</w:t>
            </w:r>
          </w:p>
        </w:tc>
        <w:tc>
          <w:tcPr>
            <w:tcW w:w="5326" w:type="dxa"/>
            <w:tcBorders>
              <w:top w:val="single" w:sz="6" w:space="0" w:color="000000"/>
              <w:left w:val="single" w:sz="5" w:space="0" w:color="000000"/>
              <w:bottom w:val="single" w:sz="5" w:space="0" w:color="000000"/>
              <w:right w:val="single" w:sz="11" w:space="0" w:color="000000"/>
            </w:tcBorders>
          </w:tcPr>
          <w:p w:rsidR="00FF384B" w:rsidRDefault="003E3BA9">
            <w:pPr>
              <w:spacing w:after="0"/>
              <w:ind w:left="2"/>
            </w:pPr>
            <w:r>
              <w:rPr>
                <w:rFonts w:ascii="Arial" w:eastAsia="Arial" w:hAnsi="Arial" w:cs="Arial"/>
                <w:sz w:val="20"/>
              </w:rPr>
              <w:t>Costes variables maquinaria y equipos</w:t>
            </w:r>
          </w:p>
        </w:tc>
      </w:tr>
      <w:tr w:rsidR="00FF384B">
        <w:trPr>
          <w:trHeight w:val="258"/>
        </w:trPr>
        <w:tc>
          <w:tcPr>
            <w:tcW w:w="542" w:type="dxa"/>
            <w:tcBorders>
              <w:top w:val="single" w:sz="5" w:space="0" w:color="000000"/>
              <w:left w:val="single" w:sz="5" w:space="0" w:color="000000"/>
              <w:bottom w:val="single" w:sz="5"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2.1.1</w:t>
            </w:r>
          </w:p>
        </w:tc>
        <w:tc>
          <w:tcPr>
            <w:tcW w:w="5326" w:type="dxa"/>
            <w:tcBorders>
              <w:top w:val="single" w:sz="5" w:space="0" w:color="000000"/>
              <w:left w:val="single" w:sz="5" w:space="0" w:color="000000"/>
              <w:bottom w:val="single" w:sz="5"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Carburantes y lubricantes</w:t>
            </w:r>
          </w:p>
        </w:tc>
      </w:tr>
      <w:tr w:rsidR="00FF384B">
        <w:trPr>
          <w:trHeight w:val="267"/>
        </w:trPr>
        <w:tc>
          <w:tcPr>
            <w:tcW w:w="542" w:type="dxa"/>
            <w:tcBorders>
              <w:top w:val="single" w:sz="5" w:space="0" w:color="000000"/>
              <w:left w:val="single" w:sz="5" w:space="0" w:color="000000"/>
              <w:bottom w:val="single" w:sz="11"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2.1.2</w:t>
            </w:r>
          </w:p>
        </w:tc>
        <w:tc>
          <w:tcPr>
            <w:tcW w:w="5326" w:type="dxa"/>
            <w:tcBorders>
              <w:top w:val="single" w:sz="5" w:space="0" w:color="000000"/>
              <w:left w:val="single" w:sz="5" w:space="0" w:color="000000"/>
              <w:bottom w:val="single" w:sz="11"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Mantenimiento y reparaciones de maquinaria y equipos</w:t>
            </w:r>
          </w:p>
        </w:tc>
      </w:tr>
    </w:tbl>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 xml:space="preserve">Por tanto, los costes de amortización y financiación de la inversión no son revisables. </w:t>
      </w:r>
      <w:r>
        <w:rPr>
          <w:rFonts w:ascii="Arial" w:eastAsia="Arial" w:hAnsi="Arial" w:cs="Arial"/>
        </w:rPr>
        <w:t xml:space="preserve">Tampoco son revisables aquellos costes que componen la partida de otros costes directos, pues incorporan gastos generales o de estructura.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Por tanto, los costes a incorporar en la fórmula de revisión de precios cumplen con lo definido en el artículo 3 del Real Decreto 55/2017, que observa el principio de referenciación a costes, según el cual la revisión del precio que remunera una actividad </w:t>
      </w:r>
      <w:r>
        <w:rPr>
          <w:rFonts w:ascii="Arial" w:eastAsia="Arial" w:hAnsi="Arial" w:cs="Arial"/>
        </w:rPr>
        <w:t xml:space="preserve">reflejará la evolución de los costes incurridos para realizar dicha actividad.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 la vez, cumple con las dos reglas que se establecen para admitir la inclusión de costes en los regímenes de revisión: </w:t>
      </w:r>
    </w:p>
    <w:p w:rsidR="00FF384B" w:rsidRDefault="003E3BA9">
      <w:pPr>
        <w:spacing w:after="0"/>
        <w:ind w:left="283"/>
      </w:pPr>
      <w:r>
        <w:rPr>
          <w:rFonts w:ascii="Arial" w:eastAsia="Arial" w:hAnsi="Arial" w:cs="Arial"/>
        </w:rPr>
        <w:t xml:space="preserve"> </w:t>
      </w:r>
    </w:p>
    <w:p w:rsidR="00FF384B" w:rsidRDefault="003E3BA9">
      <w:pPr>
        <w:numPr>
          <w:ilvl w:val="0"/>
          <w:numId w:val="268"/>
        </w:numPr>
        <w:spacing w:after="5" w:line="247" w:lineRule="auto"/>
        <w:ind w:right="244" w:hanging="360"/>
        <w:jc w:val="both"/>
      </w:pPr>
      <w:r>
        <w:rPr>
          <w:rFonts w:ascii="Arial" w:eastAsia="Arial" w:hAnsi="Arial" w:cs="Arial"/>
        </w:rPr>
        <w:t>En primer lugar, la regla de la relación directa. S</w:t>
      </w:r>
      <w:r>
        <w:rPr>
          <w:rFonts w:ascii="Arial" w:eastAsia="Arial" w:hAnsi="Arial" w:cs="Arial"/>
        </w:rPr>
        <w:t xml:space="preserve">ólo se han tenido en cuenta los costes directamente asociados a la actividad. </w:t>
      </w:r>
    </w:p>
    <w:p w:rsidR="00FF384B" w:rsidRDefault="003E3BA9">
      <w:pPr>
        <w:spacing w:after="0"/>
        <w:ind w:left="1003"/>
      </w:pPr>
      <w:r>
        <w:rPr>
          <w:rFonts w:ascii="Arial" w:eastAsia="Arial" w:hAnsi="Arial" w:cs="Arial"/>
        </w:rPr>
        <w:t xml:space="preserve"> </w:t>
      </w:r>
    </w:p>
    <w:p w:rsidR="00FF384B" w:rsidRDefault="003E3BA9">
      <w:pPr>
        <w:numPr>
          <w:ilvl w:val="0"/>
          <w:numId w:val="268"/>
        </w:numPr>
        <w:spacing w:after="5" w:line="247" w:lineRule="auto"/>
        <w:ind w:right="244" w:hanging="360"/>
        <w:jc w:val="both"/>
      </w:pPr>
      <w:r>
        <w:rPr>
          <w:rFonts w:ascii="Arial" w:eastAsia="Arial" w:hAnsi="Arial" w:cs="Arial"/>
        </w:rPr>
        <w:t xml:space="preserve">En segundo lugar, la regla de la indispensabilidad. Sólo se han tenido en cuenta los costes indispensables para la realización de la actividad.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hd w:val="clear" w:color="auto" w:fill="E0E0E0"/>
        <w:spacing w:after="233" w:line="249" w:lineRule="auto"/>
        <w:ind w:left="197" w:right="163" w:hanging="10"/>
        <w:jc w:val="center"/>
      </w:pPr>
      <w:r>
        <w:rPr>
          <w:rFonts w:ascii="Arial" w:eastAsia="Arial" w:hAnsi="Arial" w:cs="Arial"/>
          <w:b/>
        </w:rPr>
        <w:t xml:space="preserve">JUSTIFICACIÓN DE LOS COSTES REVISABLES ELEGIDOS. </w:t>
      </w:r>
    </w:p>
    <w:p w:rsidR="00FF384B" w:rsidRDefault="003E3BA9">
      <w:pPr>
        <w:spacing w:after="5" w:line="247" w:lineRule="auto"/>
        <w:ind w:left="278" w:right="244" w:hanging="10"/>
        <w:jc w:val="both"/>
      </w:pPr>
      <w:r>
        <w:rPr>
          <w:rFonts w:ascii="Arial" w:eastAsia="Arial" w:hAnsi="Arial" w:cs="Arial"/>
        </w:rPr>
        <w:t>Tal y como se ha indicado, los costes a incorporar para la determinación de la fórmula de revisión de precios se corresponden con los costes de mano de obra, de carburante y lubricantes y de servicios de ma</w:t>
      </w:r>
      <w:r>
        <w:rPr>
          <w:rFonts w:ascii="Arial" w:eastAsia="Arial" w:hAnsi="Arial" w:cs="Arial"/>
        </w:rPr>
        <w:t xml:space="preserve">ntenimiento y reparación.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JUSTIFICACIÓN DE LA EVOLUCIÓN DE LOS COSTES DE MANO DE OBRA</w:t>
      </w: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coste de personal es el componente más relevante de la estructura de costes para esta actividad, tal y como se ha podido comprobar anteriormente.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8794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5374" name="Group 48537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716" name="Picture 39716"/>
                          <pic:cNvPicPr/>
                        </pic:nvPicPr>
                        <pic:blipFill>
                          <a:blip r:embed="rId62"/>
                          <a:stretch>
                            <a:fillRect/>
                          </a:stretch>
                        </pic:blipFill>
                        <pic:spPr>
                          <a:xfrm rot="-5399999">
                            <a:off x="-1720849" y="1720849"/>
                            <a:ext cx="3797300" cy="355601"/>
                          </a:xfrm>
                          <a:prstGeom prst="rect">
                            <a:avLst/>
                          </a:prstGeom>
                        </pic:spPr>
                      </pic:pic>
                      <wps:wsp>
                        <wps:cNvPr id="39717" name="Rectangle 3971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w:t>
                              </w:r>
                              <w:r>
                                <w:rPr>
                                  <w:rFonts w:ascii="Arial" w:eastAsia="Arial" w:hAnsi="Arial" w:cs="Arial"/>
                                  <w:sz w:val="12"/>
                                </w:rPr>
                                <w:t xml:space="preserve">lidación: 9792ADAG9QWZ53RMHD5RCHL7K | Verificación: https://candelaria.sedelectronica.es/ </w:t>
                              </w:r>
                            </w:p>
                          </w:txbxContent>
                        </wps:txbx>
                        <wps:bodyPr horzOverflow="overflow" vert="horz" lIns="0" tIns="0" rIns="0" bIns="0" rtlCol="0">
                          <a:noAutofit/>
                        </wps:bodyPr>
                      </wps:wsp>
                      <wps:wsp>
                        <wps:cNvPr id="39718" name="Rectangle 3971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5374" style="width:41.2715pt;height:299pt;position:absolute;mso-position-horizontal-relative:page;mso-position-horizontal:absolute;margin-left:653.71pt;mso-position-vertical-relative:page;margin-top:512.92pt;" coordsize="5241,37973">
                <v:shape id="Picture 39716" style="position:absolute;width:37973;height:3556;left:-17208;top:17208;rotation:-89;" filled="f">
                  <v:imagedata r:id="rId63"/>
                </v:shape>
                <v:rect id="Rectangle 3971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71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215 de 353 </w:t>
                        </w:r>
                      </w:p>
                    </w:txbxContent>
                  </v:textbox>
                </v:rect>
                <w10:wrap type="square"/>
              </v:group>
            </w:pict>
          </mc:Fallback>
        </mc:AlternateContent>
      </w:r>
      <w:r>
        <w:rPr>
          <w:rFonts w:ascii="Arial" w:eastAsia="Arial" w:hAnsi="Arial" w:cs="Arial"/>
        </w:rPr>
        <w:t>Incorpora el coste total de un trabajador, tanto sus retribuciones (</w:t>
      </w:r>
      <w:r>
        <w:rPr>
          <w:rFonts w:ascii="Arial" w:eastAsia="Arial" w:hAnsi="Arial" w:cs="Arial"/>
        </w:rPr>
        <w:t>salario base, antigüedad, diferentes pluses, complementos, etc.), y todas aquellas cotizaciones a la Seguridad Social por los conceptos de contingencias comunes, contingencias profesionales, desempleo, formación profesional, plus transporte y Fondo de Gara</w:t>
      </w:r>
      <w:r>
        <w:rPr>
          <w:rFonts w:ascii="Arial" w:eastAsia="Arial" w:hAnsi="Arial" w:cs="Arial"/>
        </w:rPr>
        <w:t xml:space="preserve">ntía Salarial.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Todos estos elementos se encuentran claramente especificados en los correspondientes convenios colectivos, pero cuya evolución a nivel global no es siempre inmediata de calcular al depender de la composición de la plantilla según categorí</w:t>
      </w:r>
      <w:r>
        <w:rPr>
          <w:rFonts w:ascii="Arial" w:eastAsia="Arial" w:hAnsi="Arial" w:cs="Arial"/>
        </w:rPr>
        <w:t xml:space="preserve">as profesionales, antigüedad, tipologías contractuales, número de empleados, etc. en cada momento del contrato. </w:t>
      </w:r>
    </w:p>
    <w:p w:rsidR="00FF384B" w:rsidRDefault="003E3BA9">
      <w:pPr>
        <w:spacing w:after="5" w:line="247" w:lineRule="auto"/>
        <w:ind w:left="278" w:right="244" w:hanging="10"/>
        <w:jc w:val="both"/>
      </w:pPr>
      <w:r>
        <w:rPr>
          <w:rFonts w:ascii="Arial" w:eastAsia="Arial" w:hAnsi="Arial" w:cs="Arial"/>
        </w:rPr>
        <w:t>El coste salarial viene determinado por el Convenio Colectivo del de la empresa Urbaser, S.A. con código 385004451012008, publicado en el Bolet</w:t>
      </w:r>
      <w:r>
        <w:rPr>
          <w:rFonts w:ascii="Arial" w:eastAsia="Arial" w:hAnsi="Arial" w:cs="Arial"/>
        </w:rPr>
        <w:t xml:space="preserve">ín oficial de la Provincia de Santa Cruz de Tenerife núm. 96, 9 de agosto de 2019 y se establece igualmente la subrogación del personal cuando se efectúe un cambio de entidad prestataria del servicio.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Mediante la negociación colectiva, las organizaciones empresariales y sindicales acuerdan las condiciones de trabajo y los modelos de producción para aumentar el empleo, mejorar la eficiencia del trabajo y las condiciones laborales, de forma que los salari</w:t>
      </w:r>
      <w:r>
        <w:rPr>
          <w:rFonts w:ascii="Arial" w:eastAsia="Arial" w:hAnsi="Arial" w:cs="Arial"/>
        </w:rPr>
        <w:t xml:space="preserve">os evolucionen de forma paralela a la coyuntura económica y otros convenios del sector.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Esta evolución, dependiente a su vez de circunstancias y factores económicos y políticos sociales, les confiere un alto grado de incertidumbre y del todo fuera del á</w:t>
      </w:r>
      <w:r>
        <w:rPr>
          <w:rFonts w:ascii="Arial" w:eastAsia="Arial" w:hAnsi="Arial" w:cs="Arial"/>
        </w:rPr>
        <w:t xml:space="preserve">mbito de influencia de los operadores del sector.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Los costes de la mano de obra son fundamentales e indispensables, su variación es frecuente y fundamentalmente al alza, y debe ser trasladada a la fórmula de revisión a emplear, si bien, como determina e</w:t>
      </w:r>
      <w:r>
        <w:rPr>
          <w:rFonts w:ascii="Arial" w:eastAsia="Arial" w:hAnsi="Arial" w:cs="Arial"/>
        </w:rPr>
        <w:t xml:space="preserve">l Real Decreto 55/2017, dicho traslado tendrá como límite máximo el incremento experimentado por la retribución del personal al servicio del sector público, conforme a las Leyes de Presupuestos Generales del Estado.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9" w:lineRule="auto"/>
        <w:ind w:left="278" w:hanging="10"/>
        <w:jc w:val="both"/>
      </w:pPr>
      <w:r>
        <w:rPr>
          <w:rFonts w:ascii="Arial" w:eastAsia="Arial" w:hAnsi="Arial" w:cs="Arial"/>
          <w:b/>
          <w:u w:val="single" w:color="000000"/>
        </w:rPr>
        <w:t>JUSTIFICACIÓN DE LA EVOLUCIÓN DE LO</w:t>
      </w:r>
      <w:r>
        <w:rPr>
          <w:rFonts w:ascii="Arial" w:eastAsia="Arial" w:hAnsi="Arial" w:cs="Arial"/>
          <w:b/>
          <w:u w:val="single" w:color="000000"/>
        </w:rPr>
        <w:t>S COSTES DE FUNCIONAMIENTO DE</w:t>
      </w:r>
      <w:r>
        <w:rPr>
          <w:rFonts w:ascii="Arial" w:eastAsia="Arial" w:hAnsi="Arial" w:cs="Arial"/>
          <w:b/>
        </w:rPr>
        <w:t xml:space="preserve"> </w:t>
      </w:r>
    </w:p>
    <w:p w:rsidR="00FF384B" w:rsidRDefault="003E3BA9">
      <w:pPr>
        <w:spacing w:after="5" w:line="249" w:lineRule="auto"/>
        <w:ind w:left="278" w:hanging="10"/>
        <w:jc w:val="both"/>
      </w:pPr>
      <w:r>
        <w:rPr>
          <w:rFonts w:ascii="Arial" w:eastAsia="Arial" w:hAnsi="Arial" w:cs="Arial"/>
          <w:b/>
          <w:u w:val="single" w:color="000000"/>
        </w:rPr>
        <w:t>LA MAQUINARIA Y EQUIPOS</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COSTES DE CARBURANTE Y LUBRICANTES.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Depende de su consumo y de su precio.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noProof/>
        </w:rPr>
        <mc:AlternateContent>
          <mc:Choice Requires="wpg">
            <w:drawing>
              <wp:anchor distT="0" distB="0" distL="114300" distR="114300" simplePos="0" relativeHeight="2518804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5206" name="Group 48520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798" name="Picture 39798"/>
                          <pic:cNvPicPr/>
                        </pic:nvPicPr>
                        <pic:blipFill>
                          <a:blip r:embed="rId62"/>
                          <a:stretch>
                            <a:fillRect/>
                          </a:stretch>
                        </pic:blipFill>
                        <pic:spPr>
                          <a:xfrm rot="-5399999">
                            <a:off x="-1720849" y="1720849"/>
                            <a:ext cx="3797300" cy="355601"/>
                          </a:xfrm>
                          <a:prstGeom prst="rect">
                            <a:avLst/>
                          </a:prstGeom>
                        </pic:spPr>
                      </pic:pic>
                      <wps:wsp>
                        <wps:cNvPr id="39799" name="Rectangle 3979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39800" name="Rectangle 3980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5206" style="width:41.2715pt;height:299pt;position:absolute;mso-position-horizontal-relative:page;mso-position-horizontal:absolute;margin-left:653.71pt;mso-position-vertical-relative:page;margin-top:512.92pt;" coordsize="5241,37973">
                <v:shape id="Picture 39798" style="position:absolute;width:37973;height:3556;left:-17208;top:17208;rotation:-89;" filled="f">
                  <v:imagedata r:id="rId63"/>
                </v:shape>
                <v:rect id="Rectangle 3979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80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216 de 353 </w:t>
                        </w:r>
                      </w:p>
                    </w:txbxContent>
                  </v:textbox>
                </v:rect>
                <w10:wrap type="square"/>
              </v:group>
            </w:pict>
          </mc:Fallback>
        </mc:AlternateContent>
      </w:r>
      <w:r>
        <w:rPr>
          <w:rFonts w:ascii="Arial" w:eastAsia="Arial" w:hAnsi="Arial" w:cs="Arial"/>
        </w:rPr>
        <w:t>Sobre el consumo existe cierta capacidad de influencia por parte del adjudicatario, a través del buen uso y mantenimiento de la maquinaria y de la utilización de</w:t>
      </w:r>
      <w:r>
        <w:rPr>
          <w:rFonts w:ascii="Arial" w:eastAsia="Arial" w:hAnsi="Arial" w:cs="Arial"/>
        </w:rPr>
        <w:t xml:space="preserve"> tecnologías eficientes.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Sin embargo, el hecho de que en un contrato de servicios las actuaciones a realizar, su frecuencia e incluso el tipo de tecnologías a emplear vengan tasados en los pliegos, hace que, en el grueso de este concepto, la intensidad </w:t>
      </w:r>
      <w:r>
        <w:rPr>
          <w:rFonts w:ascii="Arial" w:eastAsia="Arial" w:hAnsi="Arial" w:cs="Arial"/>
        </w:rPr>
        <w:t xml:space="preserve">de uso, el contratista no tenga capacidad de influencia.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Respecto al precio, la evolución depende de diferentes factores políticos y económicos que quedan claramente fuera del ámbito de influencia del contratista.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Además del precio del petróleo, hay </w:t>
      </w:r>
      <w:r>
        <w:rPr>
          <w:rFonts w:ascii="Arial" w:eastAsia="Arial" w:hAnsi="Arial" w:cs="Arial"/>
        </w:rPr>
        <w:t>otros factores clave que influyen en el precio de los carburantes, como la tributación, que puede variar en función de las circunstancias económicas del país, o diferentes aspectos normativos a través de diferentes administraciones y en materias varias, co</w:t>
      </w:r>
      <w:r>
        <w:rPr>
          <w:rFonts w:ascii="Arial" w:eastAsia="Arial" w:hAnsi="Arial" w:cs="Arial"/>
        </w:rPr>
        <w:t xml:space="preserve">mo puede ser la legislación medioambiental.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En el gráfico siguiente se muestra la evolución del precio de carburantes y lubricantes.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Puede observarse claramente su gran variabilidad. </w:t>
      </w:r>
    </w:p>
    <w:p w:rsidR="00FF384B" w:rsidRDefault="003E3BA9">
      <w:pPr>
        <w:spacing w:after="0"/>
        <w:ind w:left="86"/>
        <w:jc w:val="center"/>
      </w:pPr>
      <w:r>
        <w:rPr>
          <w:rFonts w:ascii="Times New Roman" w:eastAsia="Times New Roman" w:hAnsi="Times New Roman" w:cs="Times New Roman"/>
          <w:sz w:val="24"/>
        </w:rPr>
        <w:t xml:space="preserve"> </w:t>
      </w:r>
    </w:p>
    <w:p w:rsidR="00FF384B" w:rsidRDefault="003E3BA9">
      <w:pPr>
        <w:spacing w:after="106" w:line="216" w:lineRule="auto"/>
        <w:ind w:left="1925" w:hanging="1621"/>
      </w:pPr>
      <w:r>
        <w:rPr>
          <w:noProof/>
        </w:rPr>
        <w:drawing>
          <wp:inline distT="0" distB="0" distL="0" distR="0">
            <wp:extent cx="5372100" cy="2004060"/>
            <wp:effectExtent l="0" t="0" r="0" b="0"/>
            <wp:docPr id="39861" name="Picture 39861"/>
            <wp:cNvGraphicFramePr/>
            <a:graphic xmlns:a="http://schemas.openxmlformats.org/drawingml/2006/main">
              <a:graphicData uri="http://schemas.openxmlformats.org/drawingml/2006/picture">
                <pic:pic xmlns:pic="http://schemas.openxmlformats.org/drawingml/2006/picture">
                  <pic:nvPicPr>
                    <pic:cNvPr id="39861" name="Picture 39861"/>
                    <pic:cNvPicPr/>
                  </pic:nvPicPr>
                  <pic:blipFill>
                    <a:blip r:embed="rId68"/>
                    <a:stretch>
                      <a:fillRect/>
                    </a:stretch>
                  </pic:blipFill>
                  <pic:spPr>
                    <a:xfrm>
                      <a:off x="0" y="0"/>
                      <a:ext cx="5372100" cy="200406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14"/>
        </w:rPr>
        <w:t>Evolución IPC carburantes y lubricantes. Fuente Instituto Nac</w:t>
      </w:r>
      <w:r>
        <w:rPr>
          <w:rFonts w:ascii="Times New Roman" w:eastAsia="Times New Roman" w:hAnsi="Times New Roman" w:cs="Times New Roman"/>
          <w:sz w:val="14"/>
        </w:rPr>
        <w:t xml:space="preserve">ional de Estadística (INE) 2021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 xml:space="preserve">Por lo tanto, se considera que estos costes de carburantes y lubricantes deben ser trasladados a la fórmula de revisión.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COSTES DE MANTENIMIENTO Y REPARACIÓN DE MAQUINARIA Y EQUIPOS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Es otro elemento fundamental pa</w:t>
      </w:r>
      <w:r>
        <w:rPr>
          <w:rFonts w:ascii="Arial" w:eastAsia="Arial" w:hAnsi="Arial" w:cs="Arial"/>
        </w:rPr>
        <w:t xml:space="preserve">ra la prestación del servicio.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Para la prestación optima del servicio, será necesaria la utilización de maquinaria específica, siendo indispensable la realización de tareas de mantenimiento preventivo y correctivo frente averías que generan gastos proporcionales al uso que se realiza de</w:t>
      </w:r>
      <w:r>
        <w:rPr>
          <w:rFonts w:ascii="Arial" w:eastAsia="Arial" w:hAnsi="Arial" w:cs="Arial"/>
        </w:rPr>
        <w:t xml:space="preserve"> los equipos durante la prestación.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La utilización de vehículos muy específicos y con alta carga tecnológica hace que las averías tengan un importe relevante. </w:t>
      </w:r>
    </w:p>
    <w:p w:rsidR="00FF384B" w:rsidRDefault="003E3BA9">
      <w:pPr>
        <w:spacing w:after="0"/>
        <w:ind w:left="283"/>
      </w:pPr>
      <w:r>
        <w:rPr>
          <w:noProof/>
        </w:rPr>
        <mc:AlternateContent>
          <mc:Choice Requires="wpg">
            <w:drawing>
              <wp:anchor distT="0" distB="0" distL="114300" distR="114300" simplePos="0" relativeHeight="2518814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5373" name="Group 48537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865" name="Picture 39865"/>
                          <pic:cNvPicPr/>
                        </pic:nvPicPr>
                        <pic:blipFill>
                          <a:blip r:embed="rId62"/>
                          <a:stretch>
                            <a:fillRect/>
                          </a:stretch>
                        </pic:blipFill>
                        <pic:spPr>
                          <a:xfrm rot="-5399999">
                            <a:off x="-1720849" y="1720849"/>
                            <a:ext cx="3797300" cy="355601"/>
                          </a:xfrm>
                          <a:prstGeom prst="rect">
                            <a:avLst/>
                          </a:prstGeom>
                        </pic:spPr>
                      </pic:pic>
                      <wps:wsp>
                        <wps:cNvPr id="39866" name="Rectangle 3986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39867" name="Rectangle 3986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5373" style="width:41.2715pt;height:299pt;position:absolute;mso-position-horizontal-relative:page;mso-position-horizontal:absolute;margin-left:653.71pt;mso-position-vertical-relative:page;margin-top:512.92pt;" coordsize="5241,37973">
                <v:shape id="Picture 39865" style="position:absolute;width:37973;height:3556;left:-17208;top:17208;rotation:-89;" filled="f">
                  <v:imagedata r:id="rId63"/>
                </v:shape>
                <v:rect id="Rectangle 3986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86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217 de 353 </w:t>
                        </w:r>
                      </w:p>
                    </w:txbxContent>
                  </v:textbox>
                </v:rect>
                <w10:wrap type="square"/>
              </v:group>
            </w:pict>
          </mc:Fallback>
        </mc:AlternateContent>
      </w: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Aunque los factores de escala pueden hacer que los contratistas obtengan precios más ventajosos, éstos siempre van a enmarcarse en los de un sector externo a él y en cuyo comportamiento no va a poder influir.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siguiente gráfico muestra su evolución: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jc w:val="right"/>
      </w:pPr>
      <w:r>
        <w:rPr>
          <w:noProof/>
        </w:rPr>
        <w:drawing>
          <wp:inline distT="0" distB="0" distL="0" distR="0">
            <wp:extent cx="5515356" cy="1895856"/>
            <wp:effectExtent l="0" t="0" r="0" b="0"/>
            <wp:docPr id="39863" name="Picture 39863"/>
            <wp:cNvGraphicFramePr/>
            <a:graphic xmlns:a="http://schemas.openxmlformats.org/drawingml/2006/main">
              <a:graphicData uri="http://schemas.openxmlformats.org/drawingml/2006/picture">
                <pic:pic xmlns:pic="http://schemas.openxmlformats.org/drawingml/2006/picture">
                  <pic:nvPicPr>
                    <pic:cNvPr id="39863" name="Picture 39863"/>
                    <pic:cNvPicPr/>
                  </pic:nvPicPr>
                  <pic:blipFill>
                    <a:blip r:embed="rId69"/>
                    <a:stretch>
                      <a:fillRect/>
                    </a:stretch>
                  </pic:blipFill>
                  <pic:spPr>
                    <a:xfrm>
                      <a:off x="0" y="0"/>
                      <a:ext cx="5515356" cy="1895856"/>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106" w:line="216" w:lineRule="auto"/>
        <w:ind w:left="1459"/>
      </w:pPr>
      <w:r>
        <w:rPr>
          <w:rFonts w:ascii="Times New Roman" w:eastAsia="Times New Roman" w:hAnsi="Times New Roman" w:cs="Times New Roman"/>
          <w:sz w:val="14"/>
        </w:rPr>
        <w:t xml:space="preserve">Evolución IPC mantenimiento y reparación de vehículos. Fuente Instituto Nacional de Estadística (INE) 2021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Por tanto, estos costes son también imprescindibles y presentan una variación recurrente determinada por factores exógenos a las empresas. Se</w:t>
      </w:r>
      <w:r>
        <w:rPr>
          <w:rFonts w:ascii="Arial" w:eastAsia="Arial" w:hAnsi="Arial" w:cs="Arial"/>
        </w:rPr>
        <w:t xml:space="preserve"> considera que debe ser trasladada la fórmula de revisión. </w:t>
      </w:r>
    </w:p>
    <w:p w:rsidR="00FF384B" w:rsidRDefault="003E3BA9">
      <w:pPr>
        <w:spacing w:after="0"/>
        <w:ind w:left="283"/>
      </w:pPr>
      <w:r>
        <w:rPr>
          <w:rFonts w:ascii="Arial" w:eastAsia="Arial" w:hAnsi="Arial" w:cs="Arial"/>
        </w:rPr>
        <w:t xml:space="preserve"> </w:t>
      </w:r>
    </w:p>
    <w:p w:rsidR="00FF384B" w:rsidRDefault="003E3BA9">
      <w:pPr>
        <w:shd w:val="clear" w:color="auto" w:fill="E0E0E0"/>
        <w:spacing w:after="233" w:line="249" w:lineRule="auto"/>
        <w:ind w:left="197" w:right="102" w:hanging="10"/>
        <w:jc w:val="center"/>
      </w:pPr>
      <w:r>
        <w:rPr>
          <w:rFonts w:ascii="Arial" w:eastAsia="Arial" w:hAnsi="Arial" w:cs="Arial"/>
          <w:b/>
        </w:rPr>
        <w:t xml:space="preserve">IDENTIFICACIÓN Y DESCRIPCIÓN DE LOS ÍNDICES DE REVISIÓN ELEGIDOS PARA LOS COSTES INCLUIDOS EN LA FÓRMULA DE REVISIÓN. </w:t>
      </w:r>
    </w:p>
    <w:p w:rsidR="00FF384B" w:rsidRDefault="003E3BA9">
      <w:pPr>
        <w:spacing w:after="5" w:line="247" w:lineRule="auto"/>
        <w:ind w:left="278" w:right="244" w:hanging="10"/>
        <w:jc w:val="both"/>
      </w:pPr>
      <w:r>
        <w:rPr>
          <w:rFonts w:ascii="Arial" w:eastAsia="Arial" w:hAnsi="Arial" w:cs="Arial"/>
        </w:rPr>
        <w:t xml:space="preserve">El artículo 7 del El Real Decreto 55/2017 determina los principios para el establecimiento de fórmulas en las revisiones periódicas y predeterminadas, indicados anteriormente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En cumplimiento de dicho artículo, se han seleccionado índices procedentes de </w:t>
      </w:r>
      <w:r>
        <w:rPr>
          <w:rFonts w:ascii="Arial" w:eastAsia="Arial" w:hAnsi="Arial" w:cs="Arial"/>
        </w:rPr>
        <w:t>organismos especializados, en especial los del Instituto Nacional de Estadística y el Ministerio de Empleo y Seguridad Social, Subdirección General de Estadística, los cuales son de consulta pública y gratuita, y, por supuesto, no modificables por un opera</w:t>
      </w:r>
      <w:r>
        <w:rPr>
          <w:rFonts w:ascii="Arial" w:eastAsia="Arial" w:hAnsi="Arial" w:cs="Arial"/>
        </w:rPr>
        <w:t xml:space="preserve">dor económico.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Se considera una selección adecuada de dichos índices, justificada por desagregarse al máximo los costes a que se refieren, evitando así la indexación genérica a IPC, utilizándose índices específicos que son elaborados por entidades recon</w:t>
      </w:r>
      <w:r>
        <w:rPr>
          <w:rFonts w:ascii="Arial" w:eastAsia="Arial" w:hAnsi="Arial" w:cs="Arial"/>
        </w:rPr>
        <w:t xml:space="preserve">ocidas en base a la evolución real del mercado.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En base a estas consideraciones, los índices elegidos para la revisión de cada uno de los costes revisables se expresan en los siguientes puntos.  </w:t>
      </w:r>
    </w:p>
    <w:p w:rsidR="00FF384B" w:rsidRDefault="003E3BA9">
      <w:pPr>
        <w:spacing w:after="0"/>
        <w:ind w:left="283"/>
      </w:pPr>
      <w:r>
        <w:rPr>
          <w:noProof/>
        </w:rPr>
        <mc:AlternateContent>
          <mc:Choice Requires="wpg">
            <w:drawing>
              <wp:anchor distT="0" distB="0" distL="114300" distR="114300" simplePos="0" relativeHeight="2518824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6340" name="Group 48634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39985" name="Picture 39985"/>
                          <pic:cNvPicPr/>
                        </pic:nvPicPr>
                        <pic:blipFill>
                          <a:blip r:embed="rId62"/>
                          <a:stretch>
                            <a:fillRect/>
                          </a:stretch>
                        </pic:blipFill>
                        <pic:spPr>
                          <a:xfrm rot="-5399999">
                            <a:off x="-1720849" y="1720849"/>
                            <a:ext cx="3797300" cy="355601"/>
                          </a:xfrm>
                          <a:prstGeom prst="rect">
                            <a:avLst/>
                          </a:prstGeom>
                        </pic:spPr>
                      </pic:pic>
                      <wps:wsp>
                        <wps:cNvPr id="39986" name="Rectangle 3998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39987" name="Rectangle 3998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6340" style="width:41.2715pt;height:299pt;position:absolute;mso-position-horizontal-relative:page;mso-position-horizontal:absolute;margin-left:653.71pt;mso-position-vertical-relative:page;margin-top:512.92pt;" coordsize="5241,37973">
                <v:shape id="Picture 39985" style="position:absolute;width:37973;height:3556;left:-17208;top:17208;rotation:-89;" filled="f">
                  <v:imagedata r:id="rId63"/>
                </v:shape>
                <v:rect id="Rectangle 3998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3998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218 de 353 </w:t>
                        </w:r>
                      </w:p>
                    </w:txbxContent>
                  </v:textbox>
                </v:rect>
                <w10:wrap type="square"/>
              </v:group>
            </w:pict>
          </mc:Fallback>
        </mc:AlternateContent>
      </w: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INDICE DE REVISIÓN PARA LOS COSTES DE MANO DE OBRA.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 propone la variación salarial media pactada, a nivel </w:t>
      </w:r>
      <w:r>
        <w:rPr>
          <w:rFonts w:ascii="Arial" w:eastAsia="Arial" w:hAnsi="Arial" w:cs="Arial"/>
        </w:rPr>
        <w:t xml:space="preserve">estatal, publicada por el Ministerio de Trabajo, Migraciones y Seguridad Social en apartado Estadísticas – Condiciones de trabajo y relaciones laborales – Convenios Colectivos de trabajo.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En concreto se propone la división CNAE-</w:t>
      </w:r>
      <w:r>
        <w:rPr>
          <w:rFonts w:ascii="Arial" w:eastAsia="Arial" w:hAnsi="Arial" w:cs="Arial"/>
        </w:rPr>
        <w:t xml:space="preserve">2009 38. Recogida, tratamiento y eliminación de residuos; valorización.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origen del dato: </w:t>
      </w:r>
    </w:p>
    <w:p w:rsidR="00FF384B" w:rsidRDefault="003E3BA9">
      <w:pPr>
        <w:spacing w:after="0"/>
        <w:ind w:left="283"/>
      </w:pPr>
      <w:r>
        <w:rPr>
          <w:rFonts w:ascii="Arial" w:eastAsia="Arial" w:hAnsi="Arial" w:cs="Arial"/>
        </w:rPr>
        <w:t xml:space="preserve"> </w:t>
      </w:r>
    </w:p>
    <w:p w:rsidR="00FF384B" w:rsidRDefault="003E3BA9">
      <w:pPr>
        <w:spacing w:after="0"/>
        <w:ind w:left="986" w:hanging="10"/>
      </w:pPr>
      <w:r>
        <w:rPr>
          <w:rFonts w:ascii="Arial" w:eastAsia="Arial" w:hAnsi="Arial" w:cs="Arial"/>
        </w:rPr>
        <w:t xml:space="preserve">URL: </w:t>
      </w:r>
      <w:r>
        <w:rPr>
          <w:rFonts w:ascii="Arial" w:eastAsia="Arial" w:hAnsi="Arial" w:cs="Arial"/>
          <w:color w:val="0000FF"/>
          <w:u w:val="single" w:color="0000FF"/>
        </w:rPr>
        <w:t>https://expinterweb.mitramiss.gob.es/series/</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rPr>
        <w:t xml:space="preserve"> </w:t>
      </w:r>
    </w:p>
    <w:p w:rsidR="00FF384B" w:rsidRDefault="003E3BA9">
      <w:pPr>
        <w:numPr>
          <w:ilvl w:val="0"/>
          <w:numId w:val="269"/>
        </w:numPr>
        <w:spacing w:after="5" w:line="247" w:lineRule="auto"/>
        <w:ind w:right="244" w:hanging="360"/>
        <w:jc w:val="both"/>
      </w:pPr>
      <w:r>
        <w:rPr>
          <w:rFonts w:ascii="Arial" w:eastAsia="Arial" w:hAnsi="Arial" w:cs="Arial"/>
        </w:rPr>
        <w:t xml:space="preserve">Condiciones de trabajo y relaciones laborales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Convenios Colectivos de trabajo. </w:t>
      </w:r>
    </w:p>
    <w:p w:rsidR="00FF384B" w:rsidRDefault="003E3BA9">
      <w:pPr>
        <w:numPr>
          <w:ilvl w:val="0"/>
          <w:numId w:val="269"/>
        </w:numPr>
        <w:spacing w:after="5" w:line="247" w:lineRule="auto"/>
        <w:ind w:right="244" w:hanging="360"/>
        <w:jc w:val="both"/>
      </w:pPr>
      <w:r>
        <w:rPr>
          <w:rFonts w:ascii="Arial" w:eastAsia="Arial" w:hAnsi="Arial" w:cs="Arial"/>
        </w:rPr>
        <w:t xml:space="preserve">Variable de análisis: Variación salarial media pactada </w:t>
      </w:r>
    </w:p>
    <w:p w:rsidR="00FF384B" w:rsidRDefault="003E3BA9">
      <w:pPr>
        <w:numPr>
          <w:ilvl w:val="0"/>
          <w:numId w:val="269"/>
        </w:numPr>
        <w:spacing w:after="5" w:line="247" w:lineRule="auto"/>
        <w:ind w:right="244" w:hanging="360"/>
        <w:jc w:val="both"/>
      </w:pPr>
      <w:r>
        <w:rPr>
          <w:rFonts w:ascii="Arial" w:eastAsia="Arial" w:hAnsi="Arial" w:cs="Arial"/>
        </w:rPr>
        <w:t xml:space="preserve">Variable de clasificación: Ámbito y división de actividad </w:t>
      </w:r>
    </w:p>
    <w:p w:rsidR="00FF384B" w:rsidRDefault="003E3BA9">
      <w:pPr>
        <w:numPr>
          <w:ilvl w:val="0"/>
          <w:numId w:val="269"/>
        </w:numPr>
        <w:spacing w:after="5" w:line="247" w:lineRule="auto"/>
        <w:ind w:right="244" w:hanging="360"/>
        <w:jc w:val="both"/>
      </w:pPr>
      <w:r>
        <w:rPr>
          <w:rFonts w:ascii="Arial" w:eastAsia="Arial" w:hAnsi="Arial" w:cs="Arial"/>
        </w:rPr>
        <w:t xml:space="preserve">Ámbito o áreas. Ámbito superior a la empresa </w:t>
      </w:r>
    </w:p>
    <w:p w:rsidR="00FF384B" w:rsidRDefault="003E3BA9">
      <w:pPr>
        <w:numPr>
          <w:ilvl w:val="0"/>
          <w:numId w:val="269"/>
        </w:numPr>
        <w:spacing w:after="5" w:line="247" w:lineRule="auto"/>
        <w:ind w:right="244" w:hanging="360"/>
        <w:jc w:val="both"/>
      </w:pPr>
      <w:r>
        <w:rPr>
          <w:rFonts w:ascii="Arial" w:eastAsia="Arial" w:hAnsi="Arial" w:cs="Arial"/>
        </w:rPr>
        <w:t xml:space="preserve">División CNAE 2009: 38. Recogida, tratamiento y eliminación de residuos; valorización.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IND</w:t>
      </w:r>
      <w:r>
        <w:rPr>
          <w:rFonts w:ascii="Arial" w:eastAsia="Arial" w:hAnsi="Arial" w:cs="Arial"/>
          <w:b/>
        </w:rPr>
        <w:t xml:space="preserve">ICE DE REVISIÓN PARA LOS COSTES DE CARBURANTES Y LUBRICANTES. </w:t>
      </w:r>
    </w:p>
    <w:p w:rsidR="00FF384B" w:rsidRDefault="003E3BA9">
      <w:pPr>
        <w:spacing w:after="0"/>
        <w:ind w:left="283"/>
      </w:pPr>
      <w:r>
        <w:rPr>
          <w:rFonts w:ascii="Arial" w:eastAsia="Arial" w:hAnsi="Arial" w:cs="Arial"/>
          <w:b/>
        </w:rPr>
        <w:t xml:space="preserve"> </w:t>
      </w:r>
    </w:p>
    <w:p w:rsidR="00FF384B" w:rsidRDefault="003E3BA9">
      <w:pPr>
        <w:spacing w:after="5" w:line="247" w:lineRule="auto"/>
        <w:ind w:left="278" w:right="244" w:hanging="10"/>
        <w:jc w:val="both"/>
      </w:pPr>
      <w:r>
        <w:rPr>
          <w:rFonts w:ascii="Arial" w:eastAsia="Arial" w:hAnsi="Arial" w:cs="Arial"/>
        </w:rPr>
        <w:t xml:space="preserve">Se propone la variación anual a nivel estatal del índice nacional de la clase "Carburantes y lubricantes para vehículos personales" publicado por el Instituto Nacional de Estadística (INE).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origen del dato: </w:t>
      </w:r>
    </w:p>
    <w:p w:rsidR="00FF384B" w:rsidRDefault="003E3BA9">
      <w:pPr>
        <w:spacing w:after="0"/>
        <w:ind w:left="283"/>
      </w:pPr>
      <w:r>
        <w:rPr>
          <w:rFonts w:ascii="Arial" w:eastAsia="Arial" w:hAnsi="Arial" w:cs="Arial"/>
        </w:rPr>
        <w:t xml:space="preserve"> </w:t>
      </w:r>
    </w:p>
    <w:p w:rsidR="00FF384B" w:rsidRDefault="003E3BA9">
      <w:pPr>
        <w:spacing w:after="0"/>
        <w:ind w:left="986" w:hanging="10"/>
      </w:pPr>
      <w:r>
        <w:rPr>
          <w:rFonts w:ascii="Arial" w:eastAsia="Arial" w:hAnsi="Arial" w:cs="Arial"/>
        </w:rPr>
        <w:t xml:space="preserve">URL: </w:t>
      </w:r>
      <w:r>
        <w:rPr>
          <w:rFonts w:ascii="Arial" w:eastAsia="Arial" w:hAnsi="Arial" w:cs="Arial"/>
          <w:color w:val="0000FF"/>
          <w:u w:val="single" w:color="0000FF"/>
        </w:rPr>
        <w:t>https://www.ine.es/jaxiT3/Tabla.htm?t=23714</w:t>
      </w:r>
      <w:r>
        <w:rPr>
          <w:rFonts w:ascii="Times New Roman" w:eastAsia="Times New Roman" w:hAnsi="Times New Roman" w:cs="Times New Roman"/>
          <w:sz w:val="24"/>
        </w:rPr>
        <w:t xml:space="preserve"> </w:t>
      </w:r>
    </w:p>
    <w:p w:rsidR="00FF384B" w:rsidRDefault="003E3BA9">
      <w:pPr>
        <w:numPr>
          <w:ilvl w:val="0"/>
          <w:numId w:val="269"/>
        </w:numPr>
        <w:spacing w:after="5" w:line="247" w:lineRule="auto"/>
        <w:ind w:right="244" w:hanging="360"/>
        <w:jc w:val="both"/>
      </w:pPr>
      <w:r>
        <w:rPr>
          <w:rFonts w:ascii="Arial" w:eastAsia="Arial" w:hAnsi="Arial" w:cs="Arial"/>
        </w:rPr>
        <w:t xml:space="preserve">Clase 0722. Carburantes y lubricantes para vehículos personales. </w:t>
      </w:r>
    </w:p>
    <w:p w:rsidR="00FF384B" w:rsidRDefault="003E3BA9">
      <w:pPr>
        <w:numPr>
          <w:ilvl w:val="0"/>
          <w:numId w:val="269"/>
        </w:numPr>
        <w:spacing w:after="5" w:line="247" w:lineRule="auto"/>
        <w:ind w:right="244" w:hanging="360"/>
        <w:jc w:val="both"/>
      </w:pPr>
      <w:r>
        <w:rPr>
          <w:rFonts w:ascii="Arial" w:eastAsia="Arial" w:hAnsi="Arial" w:cs="Arial"/>
        </w:rPr>
        <w:t xml:space="preserve">Tipo de dato: Variación anual.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INDICE DE REVISIÓN PARA LOS COSTES DE SERVICIOS DE MANTENIEMIENTO Y REPARACIÓN.</w:t>
      </w:r>
      <w:r>
        <w:rPr>
          <w:rFonts w:ascii="Arial" w:eastAsia="Arial" w:hAnsi="Arial" w:cs="Arial"/>
          <w:b/>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 propone como índice la variación anual a nivel estatal del índice nacional de la clase "Mantenimiento y reparación de vehículos personales", publicado por el Instituto Nacional de Estadística (INE).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origen del dato: </w:t>
      </w:r>
    </w:p>
    <w:p w:rsidR="00FF384B" w:rsidRDefault="003E3BA9">
      <w:pPr>
        <w:spacing w:after="0"/>
        <w:ind w:left="283"/>
      </w:pPr>
      <w:r>
        <w:rPr>
          <w:rFonts w:ascii="Arial" w:eastAsia="Arial" w:hAnsi="Arial" w:cs="Arial"/>
        </w:rPr>
        <w:t xml:space="preserve"> </w:t>
      </w:r>
    </w:p>
    <w:p w:rsidR="00FF384B" w:rsidRDefault="003E3BA9">
      <w:pPr>
        <w:spacing w:after="0"/>
        <w:ind w:left="986" w:hanging="10"/>
      </w:pPr>
      <w:r>
        <w:rPr>
          <w:rFonts w:ascii="Arial" w:eastAsia="Arial" w:hAnsi="Arial" w:cs="Arial"/>
        </w:rPr>
        <w:t xml:space="preserve">URL: </w:t>
      </w:r>
      <w:r>
        <w:rPr>
          <w:rFonts w:ascii="Arial" w:eastAsia="Arial" w:hAnsi="Arial" w:cs="Arial"/>
          <w:color w:val="0000FF"/>
          <w:u w:val="single" w:color="0000FF"/>
        </w:rPr>
        <w:t>https://www.ine.es/</w:t>
      </w:r>
      <w:r>
        <w:rPr>
          <w:rFonts w:ascii="Arial" w:eastAsia="Arial" w:hAnsi="Arial" w:cs="Arial"/>
          <w:color w:val="0000FF"/>
          <w:u w:val="single" w:color="0000FF"/>
        </w:rPr>
        <w:t>jaxiT3/Tabla.htm?t=23714</w:t>
      </w:r>
      <w:r>
        <w:rPr>
          <w:rFonts w:ascii="Times New Roman" w:eastAsia="Times New Roman" w:hAnsi="Times New Roman" w:cs="Times New Roman"/>
          <w:sz w:val="24"/>
        </w:rPr>
        <w:t xml:space="preserve"> </w:t>
      </w:r>
    </w:p>
    <w:p w:rsidR="00FF384B" w:rsidRDefault="003E3BA9">
      <w:pPr>
        <w:spacing w:after="0"/>
        <w:ind w:left="991"/>
      </w:pPr>
      <w:r>
        <w:rPr>
          <w:rFonts w:ascii="Arial" w:eastAsia="Arial" w:hAnsi="Arial" w:cs="Arial"/>
        </w:rPr>
        <w:t xml:space="preserve"> </w:t>
      </w:r>
    </w:p>
    <w:p w:rsidR="00FF384B" w:rsidRDefault="003E3BA9">
      <w:pPr>
        <w:numPr>
          <w:ilvl w:val="0"/>
          <w:numId w:val="269"/>
        </w:numPr>
        <w:spacing w:after="5" w:line="247" w:lineRule="auto"/>
        <w:ind w:right="244" w:hanging="360"/>
        <w:jc w:val="both"/>
      </w:pPr>
      <w:r>
        <w:rPr>
          <w:noProof/>
        </w:rPr>
        <mc:AlternateContent>
          <mc:Choice Requires="wpg">
            <w:drawing>
              <wp:anchor distT="0" distB="0" distL="114300" distR="114300" simplePos="0" relativeHeight="2518835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0826" name="Group 51082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0128" name="Picture 40128"/>
                          <pic:cNvPicPr/>
                        </pic:nvPicPr>
                        <pic:blipFill>
                          <a:blip r:embed="rId62"/>
                          <a:stretch>
                            <a:fillRect/>
                          </a:stretch>
                        </pic:blipFill>
                        <pic:spPr>
                          <a:xfrm rot="-5399999">
                            <a:off x="-1720849" y="1720849"/>
                            <a:ext cx="3797300" cy="355601"/>
                          </a:xfrm>
                          <a:prstGeom prst="rect">
                            <a:avLst/>
                          </a:prstGeom>
                        </pic:spPr>
                      </pic:pic>
                      <wps:wsp>
                        <wps:cNvPr id="40129" name="Rectangle 4012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0130" name="Rectangle 4013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219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0826" style="width:41.2715pt;height:299pt;position:absolute;mso-position-horizontal-relative:page;mso-position-horizontal:absolute;margin-left:653.71pt;mso-position-vertical-relative:page;margin-top:512.92pt;" coordsize="5241,37973">
                <v:shape id="Picture 40128" style="position:absolute;width:37973;height:3556;left:-17208;top:17208;rotation:-89;" filled="f">
                  <v:imagedata r:id="rId63"/>
                </v:shape>
                <v:rect id="Rectangle 401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013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219 de 353 </w:t>
                        </w:r>
                      </w:p>
                    </w:txbxContent>
                  </v:textbox>
                </v:rect>
                <w10:wrap type="square"/>
              </v:group>
            </w:pict>
          </mc:Fallback>
        </mc:AlternateContent>
      </w:r>
      <w:r>
        <w:rPr>
          <w:rFonts w:ascii="Arial" w:eastAsia="Arial" w:hAnsi="Arial" w:cs="Arial"/>
        </w:rPr>
        <w:t xml:space="preserve">Clase 0723. Mantenimiento y reparación para vehículos personales. </w:t>
      </w:r>
    </w:p>
    <w:p w:rsidR="00FF384B" w:rsidRDefault="003E3BA9">
      <w:pPr>
        <w:numPr>
          <w:ilvl w:val="0"/>
          <w:numId w:val="269"/>
        </w:numPr>
        <w:spacing w:after="5" w:line="247" w:lineRule="auto"/>
        <w:ind w:right="244" w:hanging="360"/>
        <w:jc w:val="both"/>
      </w:pPr>
      <w:r>
        <w:rPr>
          <w:rFonts w:ascii="Arial" w:eastAsia="Arial" w:hAnsi="Arial" w:cs="Arial"/>
        </w:rPr>
        <w:t xml:space="preserve">Tipo de dato: Variación anual.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hd w:val="clear" w:color="auto" w:fill="E0E0E0"/>
        <w:spacing w:after="233" w:line="249" w:lineRule="auto"/>
        <w:ind w:left="197" w:right="163" w:hanging="10"/>
        <w:jc w:val="center"/>
      </w:pPr>
      <w:r>
        <w:rPr>
          <w:rFonts w:ascii="Arial" w:eastAsia="Arial" w:hAnsi="Arial" w:cs="Arial"/>
          <w:b/>
        </w:rPr>
        <w:t xml:space="preserve">PROPUESTA DE FÓRMULA DE REVISIÓN DE PRECIOS. </w:t>
      </w:r>
    </w:p>
    <w:p w:rsidR="00FF384B" w:rsidRDefault="003E3BA9">
      <w:pPr>
        <w:spacing w:after="5" w:line="247" w:lineRule="auto"/>
        <w:ind w:left="278" w:right="244" w:hanging="10"/>
        <w:jc w:val="both"/>
      </w:pPr>
      <w:r>
        <w:rPr>
          <w:rFonts w:ascii="Arial" w:eastAsia="Arial" w:hAnsi="Arial" w:cs="Arial"/>
        </w:rPr>
        <w:t>La fórmula de revisión de precios, que a continuación se propone será aplicable exclusivamente bajo los req</w:t>
      </w:r>
      <w:r>
        <w:rPr>
          <w:rFonts w:ascii="Arial" w:eastAsia="Arial" w:hAnsi="Arial" w:cs="Arial"/>
        </w:rPr>
        <w:t xml:space="preserve">uisitos establecidos en el artículo 8 del Real Decreto 55/2017: </w:t>
      </w:r>
    </w:p>
    <w:p w:rsidR="00FF384B" w:rsidRDefault="003E3BA9">
      <w:pPr>
        <w:spacing w:after="0"/>
        <w:ind w:left="283"/>
      </w:pPr>
      <w:r>
        <w:rPr>
          <w:rFonts w:ascii="Arial" w:eastAsia="Arial" w:hAnsi="Arial" w:cs="Arial"/>
        </w:rPr>
        <w:t xml:space="preserve"> </w:t>
      </w:r>
    </w:p>
    <w:p w:rsidR="00FF384B" w:rsidRDefault="003E3BA9">
      <w:pPr>
        <w:numPr>
          <w:ilvl w:val="0"/>
          <w:numId w:val="270"/>
        </w:numPr>
        <w:spacing w:after="5" w:line="247" w:lineRule="auto"/>
        <w:ind w:right="244" w:hanging="360"/>
        <w:jc w:val="both"/>
      </w:pPr>
      <w:r>
        <w:rPr>
          <w:rFonts w:ascii="Arial" w:eastAsia="Arial" w:hAnsi="Arial" w:cs="Arial"/>
        </w:rPr>
        <w:t xml:space="preserve">Deben haber transcurrido dos años desde la formalización del contrato. </w:t>
      </w:r>
    </w:p>
    <w:p w:rsidR="00FF384B" w:rsidRDefault="003E3BA9">
      <w:pPr>
        <w:numPr>
          <w:ilvl w:val="0"/>
          <w:numId w:val="270"/>
        </w:numPr>
        <w:spacing w:after="5" w:line="247" w:lineRule="auto"/>
        <w:ind w:right="244" w:hanging="360"/>
        <w:jc w:val="both"/>
      </w:pPr>
      <w:r>
        <w:rPr>
          <w:rFonts w:ascii="Arial" w:eastAsia="Arial" w:hAnsi="Arial" w:cs="Arial"/>
        </w:rPr>
        <w:t xml:space="preserve">Debe haberse ejecutado al menos el 20% de su importe. </w:t>
      </w:r>
    </w:p>
    <w:p w:rsidR="00FF384B" w:rsidRDefault="003E3BA9">
      <w:pPr>
        <w:numPr>
          <w:ilvl w:val="0"/>
          <w:numId w:val="270"/>
        </w:numPr>
        <w:spacing w:after="5" w:line="247" w:lineRule="auto"/>
        <w:ind w:right="244" w:hanging="360"/>
        <w:jc w:val="both"/>
      </w:pPr>
      <w:r>
        <w:rPr>
          <w:rFonts w:ascii="Arial" w:eastAsia="Arial" w:hAnsi="Arial" w:cs="Arial"/>
        </w:rPr>
        <w:t>La revisión no podrá tener lugar transcurrido el período de re</w:t>
      </w:r>
      <w:r>
        <w:rPr>
          <w:rFonts w:ascii="Arial" w:eastAsia="Arial" w:hAnsi="Arial" w:cs="Arial"/>
        </w:rPr>
        <w:t xml:space="preserve">cuperación de la inversión del contrato.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La fórmula que se propone incorpora exclusivamente los componentes identificados y justificados anteriormente, que son: </w:t>
      </w:r>
    </w:p>
    <w:p w:rsidR="00FF384B" w:rsidRDefault="003E3BA9">
      <w:pPr>
        <w:spacing w:after="0"/>
        <w:ind w:left="283"/>
      </w:pPr>
      <w:r>
        <w:rPr>
          <w:rFonts w:ascii="Times New Roman" w:eastAsia="Times New Roman" w:hAnsi="Times New Roman" w:cs="Times New Roman"/>
          <w:sz w:val="24"/>
        </w:rPr>
        <w:t xml:space="preserve"> </w:t>
      </w:r>
    </w:p>
    <w:tbl>
      <w:tblPr>
        <w:tblStyle w:val="TableGrid"/>
        <w:tblW w:w="6481" w:type="dxa"/>
        <w:tblInd w:w="1288" w:type="dxa"/>
        <w:tblCellMar>
          <w:top w:w="27" w:type="dxa"/>
          <w:left w:w="36" w:type="dxa"/>
          <w:bottom w:w="0" w:type="dxa"/>
          <w:right w:w="77" w:type="dxa"/>
        </w:tblCellMar>
        <w:tblLook w:val="04A0" w:firstRow="1" w:lastRow="0" w:firstColumn="1" w:lastColumn="0" w:noHBand="0" w:noVBand="1"/>
      </w:tblPr>
      <w:tblGrid>
        <w:gridCol w:w="599"/>
        <w:gridCol w:w="5882"/>
      </w:tblGrid>
      <w:tr w:rsidR="00FF384B">
        <w:trPr>
          <w:trHeight w:val="308"/>
        </w:trPr>
        <w:tc>
          <w:tcPr>
            <w:tcW w:w="6481" w:type="dxa"/>
            <w:gridSpan w:val="2"/>
            <w:tcBorders>
              <w:top w:val="single" w:sz="6" w:space="0" w:color="000000"/>
              <w:left w:val="single" w:sz="6" w:space="0" w:color="000000"/>
              <w:bottom w:val="single" w:sz="12" w:space="0" w:color="000000"/>
              <w:right w:val="single" w:sz="12" w:space="0" w:color="000000"/>
            </w:tcBorders>
            <w:shd w:val="clear" w:color="auto" w:fill="990033"/>
          </w:tcPr>
          <w:p w:rsidR="00FF384B" w:rsidRDefault="003E3BA9">
            <w:pPr>
              <w:spacing w:after="0"/>
              <w:ind w:left="28"/>
              <w:jc w:val="center"/>
            </w:pPr>
            <w:r>
              <w:rPr>
                <w:rFonts w:ascii="Arial" w:eastAsia="Arial" w:hAnsi="Arial" w:cs="Arial"/>
                <w:b/>
                <w:color w:val="FFFFFF"/>
              </w:rPr>
              <w:t>COMPONENTE</w:t>
            </w:r>
          </w:p>
        </w:tc>
      </w:tr>
      <w:tr w:rsidR="00FF384B">
        <w:trPr>
          <w:trHeight w:val="289"/>
        </w:trPr>
        <w:tc>
          <w:tcPr>
            <w:tcW w:w="599" w:type="dxa"/>
            <w:tcBorders>
              <w:top w:val="single" w:sz="12" w:space="0" w:color="000000"/>
              <w:left w:val="single" w:sz="6" w:space="0" w:color="000000"/>
              <w:bottom w:val="single" w:sz="6" w:space="0" w:color="000000"/>
              <w:right w:val="single" w:sz="6" w:space="0" w:color="000000"/>
            </w:tcBorders>
            <w:shd w:val="clear" w:color="auto" w:fill="BFBFBF"/>
          </w:tcPr>
          <w:p w:rsidR="00FF384B" w:rsidRDefault="003E3BA9">
            <w:pPr>
              <w:spacing w:after="0"/>
            </w:pPr>
            <w:r>
              <w:rPr>
                <w:rFonts w:ascii="Arial" w:eastAsia="Arial" w:hAnsi="Arial" w:cs="Arial"/>
              </w:rPr>
              <w:t>1</w:t>
            </w:r>
          </w:p>
        </w:tc>
        <w:tc>
          <w:tcPr>
            <w:tcW w:w="5882" w:type="dxa"/>
            <w:tcBorders>
              <w:top w:val="single" w:sz="12"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Gastos de personal</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Gastos de bienes corrientes y servicios</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2.1</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Costes variables maquinaria y equipos</w:t>
            </w:r>
          </w:p>
        </w:tc>
      </w:tr>
      <w:tr w:rsidR="00FF384B">
        <w:trPr>
          <w:trHeight w:val="286"/>
        </w:trPr>
        <w:tc>
          <w:tcPr>
            <w:tcW w:w="599" w:type="dxa"/>
            <w:tcBorders>
              <w:top w:val="single" w:sz="6" w:space="0" w:color="000000"/>
              <w:left w:val="single" w:sz="6" w:space="0" w:color="000000"/>
              <w:bottom w:val="single" w:sz="6" w:space="0" w:color="000000"/>
              <w:right w:val="single" w:sz="6" w:space="0" w:color="000000"/>
            </w:tcBorders>
            <w:shd w:val="clear" w:color="auto" w:fill="BFBFBF"/>
          </w:tcPr>
          <w:p w:rsidR="00FF384B" w:rsidRDefault="003E3BA9">
            <w:pPr>
              <w:spacing w:after="0"/>
              <w:jc w:val="both"/>
            </w:pPr>
            <w:r>
              <w:rPr>
                <w:rFonts w:ascii="Arial" w:eastAsia="Arial" w:hAnsi="Arial" w:cs="Arial"/>
              </w:rPr>
              <w:t>2.1.1</w:t>
            </w:r>
          </w:p>
        </w:tc>
        <w:tc>
          <w:tcPr>
            <w:tcW w:w="5882" w:type="dxa"/>
            <w:tcBorders>
              <w:top w:val="single" w:sz="6"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Carburantes y lubricantes</w:t>
            </w:r>
          </w:p>
        </w:tc>
      </w:tr>
      <w:tr w:rsidR="00FF384B">
        <w:trPr>
          <w:trHeight w:val="295"/>
        </w:trPr>
        <w:tc>
          <w:tcPr>
            <w:tcW w:w="599" w:type="dxa"/>
            <w:tcBorders>
              <w:top w:val="single" w:sz="6" w:space="0" w:color="000000"/>
              <w:left w:val="single" w:sz="6" w:space="0" w:color="000000"/>
              <w:bottom w:val="single" w:sz="12" w:space="0" w:color="000000"/>
              <w:right w:val="single" w:sz="6" w:space="0" w:color="000000"/>
            </w:tcBorders>
            <w:shd w:val="clear" w:color="auto" w:fill="BFBFBF"/>
          </w:tcPr>
          <w:p w:rsidR="00FF384B" w:rsidRDefault="003E3BA9">
            <w:pPr>
              <w:spacing w:after="0"/>
              <w:jc w:val="both"/>
            </w:pPr>
            <w:r>
              <w:rPr>
                <w:rFonts w:ascii="Arial" w:eastAsia="Arial" w:hAnsi="Arial" w:cs="Arial"/>
              </w:rPr>
              <w:t>2.1.2</w:t>
            </w:r>
          </w:p>
        </w:tc>
        <w:tc>
          <w:tcPr>
            <w:tcW w:w="5882" w:type="dxa"/>
            <w:tcBorders>
              <w:top w:val="single" w:sz="6" w:space="0" w:color="000000"/>
              <w:left w:val="single" w:sz="6" w:space="0" w:color="000000"/>
              <w:bottom w:val="single" w:sz="12" w:space="0" w:color="000000"/>
              <w:right w:val="single" w:sz="12" w:space="0" w:color="000000"/>
            </w:tcBorders>
            <w:shd w:val="clear" w:color="auto" w:fill="BFBFBF"/>
          </w:tcPr>
          <w:p w:rsidR="00FF384B" w:rsidRDefault="003E3BA9">
            <w:pPr>
              <w:spacing w:after="0"/>
              <w:ind w:left="2"/>
            </w:pPr>
            <w:r>
              <w:rPr>
                <w:rFonts w:ascii="Arial" w:eastAsia="Arial" w:hAnsi="Arial" w:cs="Arial"/>
              </w:rPr>
              <w:t>Mantenimiento y reparaciones de maquinaria y equipos</w:t>
            </w:r>
          </w:p>
        </w:tc>
      </w:tr>
    </w:tbl>
    <w:p w:rsidR="00FF384B" w:rsidRDefault="003E3BA9">
      <w:pPr>
        <w:spacing w:after="0" w:line="250" w:lineRule="auto"/>
        <w:ind w:left="283" w:right="8698"/>
      </w:pPr>
      <w:r>
        <w:rPr>
          <w:rFonts w:ascii="Times New Roman" w:eastAsia="Times New Roman" w:hAnsi="Times New Roman" w:cs="Times New Roman"/>
          <w:sz w:val="24"/>
        </w:rPr>
        <w:t xml:space="preserve"> </w:t>
      </w: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Para cada uno de estos componentes se representa con el subíndice t los valores de los índices de precios en la fecha de aplicación de la revisión del precio del contrato, y con el subíndice 0 los valores de dichos índices en la fecha de origen a considera</w:t>
      </w:r>
      <w:r>
        <w:rPr>
          <w:rFonts w:ascii="Arial" w:eastAsia="Arial" w:hAnsi="Arial" w:cs="Arial"/>
        </w:rPr>
        <w:t xml:space="preserve">r para la revisión de precios del contrato.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Así, el valor del K</w:t>
      </w:r>
      <w:r>
        <w:rPr>
          <w:rFonts w:ascii="Arial" w:eastAsia="Arial" w:hAnsi="Arial" w:cs="Arial"/>
          <w:vertAlign w:val="subscript"/>
        </w:rPr>
        <w:t>t</w:t>
      </w:r>
      <w:r>
        <w:rPr>
          <w:rFonts w:ascii="Arial" w:eastAsia="Arial" w:hAnsi="Arial" w:cs="Arial"/>
        </w:rPr>
        <w:t xml:space="preserve"> es el coeficiente de revisión resultante de la aplicación de la fórmula entre el momento de revisión y el momento considerado origen a efectos de revisión del contrato.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Por tanto, la fó</w:t>
      </w:r>
      <w:r>
        <w:rPr>
          <w:rFonts w:ascii="Arial" w:eastAsia="Arial" w:hAnsi="Arial" w:cs="Arial"/>
        </w:rPr>
        <w:t xml:space="preserve">rmula de revisión de precios toma la siguiente forma: </w:t>
      </w:r>
    </w:p>
    <w:p w:rsidR="00FF384B" w:rsidRDefault="003E3BA9">
      <w:pPr>
        <w:spacing w:after="0"/>
        <w:ind w:left="254"/>
      </w:pPr>
      <w:r>
        <w:rPr>
          <w:noProof/>
        </w:rPr>
        <mc:AlternateContent>
          <mc:Choice Requires="wpg">
            <w:drawing>
              <wp:inline distT="0" distB="0" distL="0" distR="0">
                <wp:extent cx="5436997" cy="394372"/>
                <wp:effectExtent l="0" t="0" r="0" b="0"/>
                <wp:docPr id="487392" name="Group 487392"/>
                <wp:cNvGraphicFramePr/>
                <a:graphic xmlns:a="http://schemas.openxmlformats.org/drawingml/2006/main">
                  <a:graphicData uri="http://schemas.microsoft.com/office/word/2010/wordprocessingGroup">
                    <wpg:wgp>
                      <wpg:cNvGrpSpPr/>
                      <wpg:grpSpPr>
                        <a:xfrm>
                          <a:off x="0" y="0"/>
                          <a:ext cx="5436997" cy="394372"/>
                          <a:chOff x="0" y="0"/>
                          <a:chExt cx="5436997" cy="394372"/>
                        </a:xfrm>
                      </wpg:grpSpPr>
                      <wps:wsp>
                        <wps:cNvPr id="567098" name="Shape 567098"/>
                        <wps:cNvSpPr/>
                        <wps:spPr>
                          <a:xfrm>
                            <a:off x="0" y="0"/>
                            <a:ext cx="5436997" cy="373380"/>
                          </a:xfrm>
                          <a:custGeom>
                            <a:avLst/>
                            <a:gdLst/>
                            <a:ahLst/>
                            <a:cxnLst/>
                            <a:rect l="0" t="0" r="0" b="0"/>
                            <a:pathLst>
                              <a:path w="5436997" h="373380">
                                <a:moveTo>
                                  <a:pt x="0" y="0"/>
                                </a:moveTo>
                                <a:lnTo>
                                  <a:pt x="5436997" y="0"/>
                                </a:lnTo>
                                <a:lnTo>
                                  <a:pt x="5436997" y="373380"/>
                                </a:lnTo>
                                <a:lnTo>
                                  <a:pt x="0" y="373380"/>
                                </a:lnTo>
                                <a:lnTo>
                                  <a:pt x="0" y="0"/>
                                </a:lnTo>
                              </a:path>
                            </a:pathLst>
                          </a:custGeom>
                          <a:ln w="0" cap="sq">
                            <a:miter lim="127000"/>
                          </a:ln>
                        </wps:spPr>
                        <wps:style>
                          <a:lnRef idx="0">
                            <a:srgbClr val="000000">
                              <a:alpha val="0"/>
                            </a:srgbClr>
                          </a:lnRef>
                          <a:fillRef idx="1">
                            <a:srgbClr val="F2F2F2"/>
                          </a:fillRef>
                          <a:effectRef idx="0">
                            <a:scrgbClr r="0" g="0" b="0"/>
                          </a:effectRef>
                          <a:fontRef idx="none"/>
                        </wps:style>
                        <wps:bodyPr/>
                      </wps:wsp>
                      <wps:wsp>
                        <wps:cNvPr id="40171" name="Rectangle 40171"/>
                        <wps:cNvSpPr/>
                        <wps:spPr>
                          <a:xfrm>
                            <a:off x="1366977" y="119203"/>
                            <a:ext cx="155465" cy="202692"/>
                          </a:xfrm>
                          <a:prstGeom prst="rect">
                            <a:avLst/>
                          </a:prstGeom>
                          <a:ln>
                            <a:noFill/>
                          </a:ln>
                        </wps:spPr>
                        <wps:txbx>
                          <w:txbxContent>
                            <w:p w:rsidR="00FF384B" w:rsidRDefault="003E3BA9">
                              <w:r>
                                <w:rPr>
                                  <w:rFonts w:ascii="Cambria Math" w:eastAsia="Cambria Math" w:hAnsi="Cambria Math" w:cs="Cambria Math"/>
                                  <w:sz w:val="24"/>
                                </w:rPr>
                                <w:t>𝑲</w:t>
                              </w:r>
                            </w:p>
                          </w:txbxContent>
                        </wps:txbx>
                        <wps:bodyPr horzOverflow="overflow" vert="horz" lIns="0" tIns="0" rIns="0" bIns="0" rtlCol="0">
                          <a:noAutofit/>
                        </wps:bodyPr>
                      </wps:wsp>
                      <wps:wsp>
                        <wps:cNvPr id="40172" name="Rectangle 40172"/>
                        <wps:cNvSpPr/>
                        <wps:spPr>
                          <a:xfrm>
                            <a:off x="1484706" y="184059"/>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173" name="Rectangle 40173"/>
                        <wps:cNvSpPr/>
                        <wps:spPr>
                          <a:xfrm>
                            <a:off x="1579194"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74" name="Rectangle 40174"/>
                        <wps:cNvSpPr/>
                        <wps:spPr>
                          <a:xfrm>
                            <a:off x="1734642" y="119203"/>
                            <a:ext cx="134182" cy="202692"/>
                          </a:xfrm>
                          <a:prstGeom prst="rect">
                            <a:avLst/>
                          </a:prstGeom>
                          <a:ln>
                            <a:noFill/>
                          </a:ln>
                        </wps:spPr>
                        <wps:txbx>
                          <w:txbxContent>
                            <w:p w:rsidR="00FF384B" w:rsidRDefault="003E3BA9">
                              <w:r>
                                <w:rPr>
                                  <w:rFonts w:ascii="Cambria Math" w:eastAsia="Cambria Math" w:hAnsi="Cambria Math" w:cs="Cambria Math"/>
                                  <w:sz w:val="24"/>
                                </w:rPr>
                                <w:t>𝑨</w:t>
                              </w:r>
                            </w:p>
                          </w:txbxContent>
                        </wps:txbx>
                        <wps:bodyPr horzOverflow="overflow" vert="horz" lIns="0" tIns="0" rIns="0" bIns="0" rtlCol="0">
                          <a:noAutofit/>
                        </wps:bodyPr>
                      </wps:wsp>
                      <wps:wsp>
                        <wps:cNvPr id="40175" name="Rectangle 40175"/>
                        <wps:cNvSpPr/>
                        <wps:spPr>
                          <a:xfrm>
                            <a:off x="1870278"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76" name="Rectangle 40176"/>
                        <wps:cNvSpPr/>
                        <wps:spPr>
                          <a:xfrm>
                            <a:off x="1976958"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77" name="Rectangle 40177"/>
                        <wps:cNvSpPr/>
                        <wps:spPr>
                          <a:xfrm>
                            <a:off x="2060778" y="3379"/>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40178" name="Rectangle 40178"/>
                        <wps:cNvSpPr/>
                        <wps:spPr>
                          <a:xfrm>
                            <a:off x="2181174"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179" name="Rectangle 40179"/>
                        <wps:cNvSpPr/>
                        <wps:spPr>
                          <a:xfrm>
                            <a:off x="2053158" y="221311"/>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40180" name="Rectangle 40180"/>
                        <wps:cNvSpPr/>
                        <wps:spPr>
                          <a:xfrm>
                            <a:off x="2173554"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099" name="Shape 567099"/>
                        <wps:cNvSpPr/>
                        <wps:spPr>
                          <a:xfrm>
                            <a:off x="2053158" y="188976"/>
                            <a:ext cx="188976" cy="10668"/>
                          </a:xfrm>
                          <a:custGeom>
                            <a:avLst/>
                            <a:gdLst/>
                            <a:ahLst/>
                            <a:cxnLst/>
                            <a:rect l="0" t="0" r="0" b="0"/>
                            <a:pathLst>
                              <a:path w="188976" h="10668">
                                <a:moveTo>
                                  <a:pt x="0" y="0"/>
                                </a:moveTo>
                                <a:lnTo>
                                  <a:pt x="188976" y="0"/>
                                </a:lnTo>
                                <a:lnTo>
                                  <a:pt x="188976" y="10668"/>
                                </a:lnTo>
                                <a:lnTo>
                                  <a:pt x="0" y="106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0182" name="Rectangle 40182"/>
                        <wps:cNvSpPr/>
                        <wps:spPr>
                          <a:xfrm>
                            <a:off x="2242134"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83" name="Rectangle 40183"/>
                        <wps:cNvSpPr/>
                        <wps:spPr>
                          <a:xfrm>
                            <a:off x="2350338"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84" name="Rectangle 40184"/>
                        <wps:cNvSpPr/>
                        <wps:spPr>
                          <a:xfrm>
                            <a:off x="2498166" y="119203"/>
                            <a:ext cx="146546" cy="202692"/>
                          </a:xfrm>
                          <a:prstGeom prst="rect">
                            <a:avLst/>
                          </a:prstGeom>
                          <a:ln>
                            <a:noFill/>
                          </a:ln>
                        </wps:spPr>
                        <wps:txbx>
                          <w:txbxContent>
                            <w:p w:rsidR="00FF384B" w:rsidRDefault="003E3BA9">
                              <w:r>
                                <w:rPr>
                                  <w:rFonts w:ascii="Cambria Math" w:eastAsia="Cambria Math" w:hAnsi="Cambria Math" w:cs="Cambria Math"/>
                                  <w:sz w:val="24"/>
                                </w:rPr>
                                <w:t>𝑩</w:t>
                              </w:r>
                            </w:p>
                          </w:txbxContent>
                        </wps:txbx>
                        <wps:bodyPr horzOverflow="overflow" vert="horz" lIns="0" tIns="0" rIns="0" bIns="0" rtlCol="0">
                          <a:noAutofit/>
                        </wps:bodyPr>
                      </wps:wsp>
                      <wps:wsp>
                        <wps:cNvPr id="40185" name="Rectangle 40185"/>
                        <wps:cNvSpPr/>
                        <wps:spPr>
                          <a:xfrm>
                            <a:off x="2642946"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86" name="Rectangle 40186"/>
                        <wps:cNvSpPr/>
                        <wps:spPr>
                          <a:xfrm>
                            <a:off x="274962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87" name="Rectangle 40187"/>
                        <wps:cNvSpPr/>
                        <wps:spPr>
                          <a:xfrm>
                            <a:off x="2833446" y="3379"/>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40188" name="Rectangle 40188"/>
                        <wps:cNvSpPr/>
                        <wps:spPr>
                          <a:xfrm>
                            <a:off x="2934030"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189" name="Rectangle 40189"/>
                        <wps:cNvSpPr/>
                        <wps:spPr>
                          <a:xfrm>
                            <a:off x="2824302" y="221311"/>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40190" name="Rectangle 40190"/>
                        <wps:cNvSpPr/>
                        <wps:spPr>
                          <a:xfrm>
                            <a:off x="2924886"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100" name="Shape 567100"/>
                        <wps:cNvSpPr/>
                        <wps:spPr>
                          <a:xfrm>
                            <a:off x="2824302" y="188976"/>
                            <a:ext cx="169164" cy="10668"/>
                          </a:xfrm>
                          <a:custGeom>
                            <a:avLst/>
                            <a:gdLst/>
                            <a:ahLst/>
                            <a:cxnLst/>
                            <a:rect l="0" t="0" r="0" b="0"/>
                            <a:pathLst>
                              <a:path w="169164" h="10668">
                                <a:moveTo>
                                  <a:pt x="0" y="0"/>
                                </a:moveTo>
                                <a:lnTo>
                                  <a:pt x="169164" y="0"/>
                                </a:lnTo>
                                <a:lnTo>
                                  <a:pt x="169164" y="10668"/>
                                </a:lnTo>
                                <a:lnTo>
                                  <a:pt x="0" y="106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0192" name="Rectangle 40192"/>
                        <wps:cNvSpPr/>
                        <wps:spPr>
                          <a:xfrm>
                            <a:off x="299346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93" name="Rectangle 40193"/>
                        <wps:cNvSpPr/>
                        <wps:spPr>
                          <a:xfrm>
                            <a:off x="3103194"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94" name="Rectangle 40194"/>
                        <wps:cNvSpPr/>
                        <wps:spPr>
                          <a:xfrm>
                            <a:off x="3251276" y="119203"/>
                            <a:ext cx="127088" cy="202692"/>
                          </a:xfrm>
                          <a:prstGeom prst="rect">
                            <a:avLst/>
                          </a:prstGeom>
                          <a:ln>
                            <a:noFill/>
                          </a:ln>
                        </wps:spPr>
                        <wps:txbx>
                          <w:txbxContent>
                            <w:p w:rsidR="00FF384B" w:rsidRDefault="003E3BA9">
                              <w:r>
                                <w:rPr>
                                  <w:rFonts w:ascii="Cambria Math" w:eastAsia="Cambria Math" w:hAnsi="Cambria Math" w:cs="Cambria Math"/>
                                  <w:sz w:val="24"/>
                                </w:rPr>
                                <w:t>𝑪</w:t>
                              </w:r>
                            </w:p>
                          </w:txbxContent>
                        </wps:txbx>
                        <wps:bodyPr horzOverflow="overflow" vert="horz" lIns="0" tIns="0" rIns="0" bIns="0" rtlCol="0">
                          <a:noAutofit/>
                        </wps:bodyPr>
                      </wps:wsp>
                      <wps:wsp>
                        <wps:cNvPr id="40195" name="Rectangle 40195"/>
                        <wps:cNvSpPr/>
                        <wps:spPr>
                          <a:xfrm>
                            <a:off x="3380816"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96" name="Rectangle 40196"/>
                        <wps:cNvSpPr/>
                        <wps:spPr>
                          <a:xfrm>
                            <a:off x="348749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197" name="Rectangle 40197"/>
                        <wps:cNvSpPr/>
                        <wps:spPr>
                          <a:xfrm>
                            <a:off x="3572840" y="3379"/>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40198" name="Rectangle 40198"/>
                        <wps:cNvSpPr/>
                        <wps:spPr>
                          <a:xfrm>
                            <a:off x="3639896"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199" name="Rectangle 40199"/>
                        <wps:cNvSpPr/>
                        <wps:spPr>
                          <a:xfrm>
                            <a:off x="3563696" y="221311"/>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40200" name="Rectangle 40200"/>
                        <wps:cNvSpPr/>
                        <wps:spPr>
                          <a:xfrm>
                            <a:off x="3630752"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101" name="Shape 567101"/>
                        <wps:cNvSpPr/>
                        <wps:spPr>
                          <a:xfrm>
                            <a:off x="3563696" y="188976"/>
                            <a:ext cx="135636" cy="10668"/>
                          </a:xfrm>
                          <a:custGeom>
                            <a:avLst/>
                            <a:gdLst/>
                            <a:ahLst/>
                            <a:cxnLst/>
                            <a:rect l="0" t="0" r="0" b="0"/>
                            <a:pathLst>
                              <a:path w="135636" h="10668">
                                <a:moveTo>
                                  <a:pt x="0" y="0"/>
                                </a:moveTo>
                                <a:lnTo>
                                  <a:pt x="135636" y="0"/>
                                </a:lnTo>
                                <a:lnTo>
                                  <a:pt x="135636" y="10668"/>
                                </a:lnTo>
                                <a:lnTo>
                                  <a:pt x="0" y="106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0202" name="Rectangle 40202"/>
                        <wps:cNvSpPr/>
                        <wps:spPr>
                          <a:xfrm>
                            <a:off x="3699332"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203" name="Rectangle 40203"/>
                        <wps:cNvSpPr/>
                        <wps:spPr>
                          <a:xfrm>
                            <a:off x="3807536"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204" name="Rectangle 40204"/>
                        <wps:cNvSpPr/>
                        <wps:spPr>
                          <a:xfrm>
                            <a:off x="3955364" y="119203"/>
                            <a:ext cx="152019" cy="202692"/>
                          </a:xfrm>
                          <a:prstGeom prst="rect">
                            <a:avLst/>
                          </a:prstGeom>
                          <a:ln>
                            <a:noFill/>
                          </a:ln>
                        </wps:spPr>
                        <wps:txbx>
                          <w:txbxContent>
                            <w:p w:rsidR="00FF384B" w:rsidRDefault="003E3BA9">
                              <w:r>
                                <w:rPr>
                                  <w:rFonts w:ascii="Cambria Math" w:eastAsia="Cambria Math" w:hAnsi="Cambria Math" w:cs="Cambria Math"/>
                                  <w:sz w:val="24"/>
                                </w:rPr>
                                <w:t>𝑫</w:t>
                              </w:r>
                            </w:p>
                          </w:txbxContent>
                        </wps:txbx>
                        <wps:bodyPr horzOverflow="overflow" vert="horz" lIns="0" tIns="0" rIns="0" bIns="0" rtlCol="0">
                          <a:noAutofit/>
                        </wps:bodyPr>
                      </wps:wsp>
                      <wps:wsp>
                        <wps:cNvPr id="40205" name="Rectangle 40205"/>
                        <wps:cNvSpPr/>
                        <wps:spPr>
                          <a:xfrm>
                            <a:off x="4069664" y="101956"/>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7392" style="width:428.11pt;height:31.0529pt;mso-position-horizontal-relative:char;mso-position-vertical-relative:line" coordsize="54369,3943">
                <v:shape id="Shape 567102" style="position:absolute;width:54369;height:3733;left:0;top:0;" coordsize="5436997,373380" path="m0,0l5436997,0l5436997,373380l0,373380l0,0">
                  <v:stroke weight="0pt" endcap="square" joinstyle="miter" miterlimit="10" on="false" color="#000000" opacity="0"/>
                  <v:fill on="true" color="#f2f2f2"/>
                </v:shape>
                <v:rect id="Rectangle 40171" style="position:absolute;width:1554;height:2026;left:13669;top:1192;" filled="f" stroked="f">
                  <v:textbox inset="0,0,0,0">
                    <w:txbxContent>
                      <w:p>
                        <w:pPr>
                          <w:spacing w:before="0" w:after="160" w:line="259" w:lineRule="auto"/>
                        </w:pPr>
                        <w:r>
                          <w:rPr>
                            <w:rFonts w:cs="Cambria Math" w:hAnsi="Cambria Math" w:eastAsia="Cambria Math" w:ascii="Cambria Math"/>
                            <w:sz w:val="24"/>
                          </w:rPr>
                          <w:t xml:space="preserve">𝑲</w:t>
                        </w:r>
                      </w:p>
                    </w:txbxContent>
                  </v:textbox>
                </v:rect>
                <v:rect id="Rectangle 40172" style="position:absolute;width:602;height:1439;left:14847;top:1840;"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173" style="position:absolute;width:1514;height:2026;left:1579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74" style="position:absolute;width:1341;height:2026;left:17346;top:1192;" filled="f" stroked="f">
                  <v:textbox inset="0,0,0,0">
                    <w:txbxContent>
                      <w:p>
                        <w:pPr>
                          <w:spacing w:before="0" w:after="160" w:line="259" w:lineRule="auto"/>
                        </w:pPr>
                        <w:r>
                          <w:rPr>
                            <w:rFonts w:cs="Cambria Math" w:hAnsi="Cambria Math" w:eastAsia="Cambria Math" w:ascii="Cambria Math"/>
                            <w:sz w:val="24"/>
                          </w:rPr>
                          <w:t xml:space="preserve">𝑨</w:t>
                        </w:r>
                      </w:p>
                    </w:txbxContent>
                  </v:textbox>
                </v:rect>
                <v:rect id="Rectangle 40175" style="position:absolute;width:979;height:2026;left:18702;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76" style="position:absolute;width:1001;height:2026;left:1976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77" style="position:absolute;width:1597;height:2026;left:20607;top:3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40178" style="position:absolute;width:602;height:1439;left:21811;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179" style="position:absolute;width:1597;height:2026;left:20531;top:221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40180" style="position:absolute;width:833;height:1439;left:21735;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03" style="position:absolute;width:1889;height:106;left:20531;top:1889;" coordsize="188976,10668" path="m0,0l188976,0l188976,10668l0,10668l0,0">
                  <v:stroke weight="0pt" endcap="square" joinstyle="miter" miterlimit="10" on="false" color="#000000" opacity="0"/>
                  <v:fill on="true" color="#000000"/>
                </v:shape>
                <v:rect id="Rectangle 40182" style="position:absolute;width:1001;height:2026;left:2242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83" style="position:absolute;width:1514;height:2026;left:2350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84" style="position:absolute;width:1465;height:2026;left:24981;top:1192;" filled="f" stroked="f">
                  <v:textbox inset="0,0,0,0">
                    <w:txbxContent>
                      <w:p>
                        <w:pPr>
                          <w:spacing w:before="0" w:after="160" w:line="259" w:lineRule="auto"/>
                        </w:pPr>
                        <w:r>
                          <w:rPr>
                            <w:rFonts w:cs="Cambria Math" w:hAnsi="Cambria Math" w:eastAsia="Cambria Math" w:ascii="Cambria Math"/>
                            <w:sz w:val="24"/>
                          </w:rPr>
                          <w:t xml:space="preserve">𝑩</w:t>
                        </w:r>
                      </w:p>
                    </w:txbxContent>
                  </v:textbox>
                </v:rect>
                <v:rect id="Rectangle 40185" style="position:absolute;width:979;height:2026;left:2642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86" style="position:absolute;width:1001;height:2026;left:27496;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87" style="position:absolute;width:1329;height:2026;left:28334;top:3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40188" style="position:absolute;width:602;height:1439;left:29340;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189" style="position:absolute;width:1329;height:2026;left:28243;top:221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40190" style="position:absolute;width:833;height:1439;left:29248;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04" style="position:absolute;width:1691;height:106;left:28243;top:1889;" coordsize="169164,10668" path="m0,0l169164,0l169164,10668l0,10668l0,0">
                  <v:stroke weight="0pt" endcap="square" joinstyle="miter" miterlimit="10" on="false" color="#000000" opacity="0"/>
                  <v:fill on="true" color="#000000"/>
                </v:shape>
                <v:rect id="Rectangle 40192" style="position:absolute;width:1001;height:2026;left:2993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93" style="position:absolute;width:1514;height:2026;left:3103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94" style="position:absolute;width:1270;height:2026;left:32512;top:1192;" filled="f" stroked="f">
                  <v:textbox inset="0,0,0,0">
                    <w:txbxContent>
                      <w:p>
                        <w:pPr>
                          <w:spacing w:before="0" w:after="160" w:line="259" w:lineRule="auto"/>
                        </w:pPr>
                        <w:r>
                          <w:rPr>
                            <w:rFonts w:cs="Cambria Math" w:hAnsi="Cambria Math" w:eastAsia="Cambria Math" w:ascii="Cambria Math"/>
                            <w:sz w:val="24"/>
                          </w:rPr>
                          <w:t xml:space="preserve">𝑪</w:t>
                        </w:r>
                      </w:p>
                    </w:txbxContent>
                  </v:textbox>
                </v:rect>
                <v:rect id="Rectangle 40195" style="position:absolute;width:979;height:2026;left:33808;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96" style="position:absolute;width:1001;height:2026;left:3487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197" style="position:absolute;width:883;height:2026;left:35728;top:3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40198" style="position:absolute;width:602;height:1439;left:36398;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199" style="position:absolute;width:883;height:2026;left:35636;top:221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40200" style="position:absolute;width:833;height:1439;left:36307;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05" style="position:absolute;width:1356;height:106;left:35636;top:1889;" coordsize="135636,10668" path="m0,0l135636,0l135636,10668l0,10668l0,0">
                  <v:stroke weight="0pt" endcap="square" joinstyle="miter" miterlimit="10" on="false" color="#000000" opacity="0"/>
                  <v:fill on="true" color="#000000"/>
                </v:shape>
                <v:rect id="Rectangle 40202" style="position:absolute;width:1001;height:2026;left:3699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203" style="position:absolute;width:1514;height:2026;left:38075;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204" style="position:absolute;width:1520;height:2026;left:39553;top:1192;" filled="f" stroked="f">
                  <v:textbox inset="0,0,0,0">
                    <w:txbxContent>
                      <w:p>
                        <w:pPr>
                          <w:spacing w:before="0" w:after="160" w:line="259" w:lineRule="auto"/>
                        </w:pPr>
                        <w:r>
                          <w:rPr>
                            <w:rFonts w:cs="Cambria Math" w:hAnsi="Cambria Math" w:eastAsia="Cambria Math" w:ascii="Cambria Math"/>
                            <w:sz w:val="24"/>
                          </w:rPr>
                          <w:t xml:space="preserve">𝑫</w:t>
                        </w:r>
                      </w:p>
                    </w:txbxContent>
                  </v:textbox>
                </v:rect>
                <v:rect id="Rectangle 40205" style="position:absolute;width:506;height:2243;left:40696;top:10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A: </w:t>
      </w:r>
      <w:r>
        <w:rPr>
          <w:rFonts w:ascii="Arial" w:eastAsia="Arial" w:hAnsi="Arial" w:cs="Arial"/>
          <w:b/>
        </w:rPr>
        <w:t xml:space="preserve">Peso del coste de la mano de obra en tanto por uno (0,7287) </w:t>
      </w:r>
    </w:p>
    <w:p w:rsidR="00FF384B" w:rsidRDefault="003E3BA9">
      <w:pPr>
        <w:spacing w:after="30"/>
        <w:ind w:left="283"/>
      </w:pPr>
      <w:r>
        <w:rPr>
          <w:rFonts w:ascii="Arial" w:eastAsia="Arial" w:hAnsi="Arial" w:cs="Arial"/>
        </w:rPr>
        <w:t xml:space="preserve"> </w:t>
      </w:r>
    </w:p>
    <w:p w:rsidR="00FF384B" w:rsidRDefault="003E3BA9">
      <w:pPr>
        <w:numPr>
          <w:ilvl w:val="0"/>
          <w:numId w:val="271"/>
        </w:numPr>
        <w:spacing w:after="5" w:line="247" w:lineRule="auto"/>
        <w:ind w:right="244" w:hanging="360"/>
        <w:jc w:val="both"/>
      </w:pPr>
      <w:r>
        <w:rPr>
          <w:rFonts w:ascii="Arial" w:eastAsia="Arial" w:hAnsi="Arial" w:cs="Arial"/>
          <w:b/>
        </w:rPr>
        <w:t>H</w:t>
      </w:r>
      <w:r>
        <w:rPr>
          <w:rFonts w:ascii="Arial" w:eastAsia="Arial" w:hAnsi="Arial" w:cs="Arial"/>
          <w:b/>
          <w:vertAlign w:val="subscript"/>
        </w:rPr>
        <w:t>t</w:t>
      </w:r>
      <w:r>
        <w:rPr>
          <w:rFonts w:ascii="Arial" w:eastAsia="Arial" w:hAnsi="Arial" w:cs="Arial"/>
          <w:b/>
        </w:rPr>
        <w:t>:</w:t>
      </w:r>
      <w:r>
        <w:rPr>
          <w:rFonts w:ascii="Arial" w:eastAsia="Arial" w:hAnsi="Arial" w:cs="Arial"/>
        </w:rPr>
        <w:t xml:space="preserve"> Variación salarial media pactada a nivel estatal por el sector, y publicada por el Ministerio de Empleo y Seguridad Social, Subdirección General de Estadística, para la "Actividad 38. Recog</w:t>
      </w:r>
      <w:r>
        <w:rPr>
          <w:rFonts w:ascii="Arial" w:eastAsia="Arial" w:hAnsi="Arial" w:cs="Arial"/>
        </w:rPr>
        <w:t>ida, tratamiento y eliminación de residuos; valorización" según la nomenclatura CNAE2009 en el momento de la revisión del precio del contrato.</w:t>
      </w:r>
      <w:r>
        <w:rPr>
          <w:rFonts w:ascii="Times New Roman" w:eastAsia="Times New Roman" w:hAnsi="Times New Roman" w:cs="Times New Roman"/>
          <w:sz w:val="24"/>
        </w:rPr>
        <w:t xml:space="preserve"> </w:t>
      </w:r>
    </w:p>
    <w:p w:rsidR="00FF384B" w:rsidRDefault="003E3BA9">
      <w:pPr>
        <w:spacing w:after="30"/>
        <w:ind w:left="283"/>
      </w:pPr>
      <w:r>
        <w:rPr>
          <w:rFonts w:ascii="Arial" w:eastAsia="Arial" w:hAnsi="Arial" w:cs="Arial"/>
        </w:rPr>
        <w:t xml:space="preserve"> </w:t>
      </w:r>
    </w:p>
    <w:p w:rsidR="00FF384B" w:rsidRDefault="003E3BA9">
      <w:pPr>
        <w:numPr>
          <w:ilvl w:val="0"/>
          <w:numId w:val="271"/>
        </w:numPr>
        <w:spacing w:after="5" w:line="247" w:lineRule="auto"/>
        <w:ind w:right="244" w:hanging="360"/>
        <w:jc w:val="both"/>
      </w:pPr>
      <w:r>
        <w:rPr>
          <w:noProof/>
        </w:rPr>
        <mc:AlternateContent>
          <mc:Choice Requires="wpg">
            <w:drawing>
              <wp:anchor distT="0" distB="0" distL="114300" distR="114300" simplePos="0" relativeHeight="2518845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7393" name="Group 48739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0282" name="Picture 40282"/>
                          <pic:cNvPicPr/>
                        </pic:nvPicPr>
                        <pic:blipFill>
                          <a:blip r:embed="rId62"/>
                          <a:stretch>
                            <a:fillRect/>
                          </a:stretch>
                        </pic:blipFill>
                        <pic:spPr>
                          <a:xfrm rot="-5399999">
                            <a:off x="-1720849" y="1720849"/>
                            <a:ext cx="3797300" cy="355601"/>
                          </a:xfrm>
                          <a:prstGeom prst="rect">
                            <a:avLst/>
                          </a:prstGeom>
                        </pic:spPr>
                      </pic:pic>
                      <wps:wsp>
                        <wps:cNvPr id="40283" name="Rectangle 4028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0284" name="Rectangle 4028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w:t>
                              </w:r>
                              <w:r>
                                <w:rPr>
                                  <w:rFonts w:ascii="Arial" w:eastAsia="Arial" w:hAnsi="Arial" w:cs="Arial"/>
                                  <w:sz w:val="12"/>
                                </w:rPr>
                                <w:t xml:space="preserve">to firmado electrónicamente desde la plataforma esPublico Gestiona | Página 220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7393" style="width:41.2715pt;height:299pt;position:absolute;mso-position-horizontal-relative:page;mso-position-horizontal:absolute;margin-left:653.71pt;mso-position-vertical-relative:page;margin-top:512.92pt;" coordsize="5241,37973">
                <v:shape id="Picture 40282" style="position:absolute;width:37973;height:3556;left:-17208;top:17208;rotation:-89;" filled="f">
                  <v:imagedata r:id="rId63"/>
                </v:shape>
                <v:rect id="Rectangle 4028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028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220 de 353 </w:t>
                        </w:r>
                      </w:p>
                    </w:txbxContent>
                  </v:textbox>
                </v:rect>
                <w10:wrap type="square"/>
              </v:group>
            </w:pict>
          </mc:Fallback>
        </mc:AlternateContent>
      </w:r>
      <w:r>
        <w:rPr>
          <w:rFonts w:ascii="Arial" w:eastAsia="Arial" w:hAnsi="Arial" w:cs="Arial"/>
          <w:b/>
        </w:rPr>
        <w:t>H</w:t>
      </w:r>
      <w:r>
        <w:rPr>
          <w:rFonts w:ascii="Arial" w:eastAsia="Arial" w:hAnsi="Arial" w:cs="Arial"/>
          <w:b/>
          <w:vertAlign w:val="subscript"/>
        </w:rPr>
        <w:t>0</w:t>
      </w:r>
      <w:r>
        <w:rPr>
          <w:rFonts w:ascii="Arial" w:eastAsia="Arial" w:hAnsi="Arial" w:cs="Arial"/>
          <w:b/>
        </w:rPr>
        <w:t>:</w:t>
      </w:r>
      <w:r>
        <w:rPr>
          <w:rFonts w:ascii="Arial" w:eastAsia="Arial" w:hAnsi="Arial" w:cs="Arial"/>
        </w:rPr>
        <w:t xml:space="preserve"> Variación salarial media pactada a nivel estatal por el sector, y publicada por el Ministerio de Empleo y Seguridad Social, Subdirección General de Estadística, par</w:t>
      </w:r>
      <w:r>
        <w:rPr>
          <w:rFonts w:ascii="Arial" w:eastAsia="Arial" w:hAnsi="Arial" w:cs="Arial"/>
        </w:rPr>
        <w:t>a la "Actividad 38. Recogida, tratamiento y eliminación de residuos; valorización" según la nomenclatura CNAE2009 en el momento de la formalización del contrato.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B: Peso del coste de servicios de mantenimiento y reparación en tanto por uno (0,0519) </w:t>
      </w:r>
    </w:p>
    <w:p w:rsidR="00FF384B" w:rsidRDefault="003E3BA9">
      <w:pPr>
        <w:spacing w:after="33"/>
        <w:ind w:left="283"/>
      </w:pPr>
      <w:r>
        <w:rPr>
          <w:rFonts w:ascii="Arial" w:eastAsia="Arial" w:hAnsi="Arial" w:cs="Arial"/>
        </w:rPr>
        <w:t xml:space="preserve"> </w:t>
      </w:r>
    </w:p>
    <w:p w:rsidR="00FF384B" w:rsidRDefault="003E3BA9">
      <w:pPr>
        <w:numPr>
          <w:ilvl w:val="0"/>
          <w:numId w:val="271"/>
        </w:numPr>
        <w:spacing w:after="5" w:line="247" w:lineRule="auto"/>
        <w:ind w:right="244" w:hanging="360"/>
        <w:jc w:val="both"/>
      </w:pPr>
      <w:r>
        <w:rPr>
          <w:rFonts w:ascii="Arial" w:eastAsia="Arial" w:hAnsi="Arial" w:cs="Arial"/>
          <w:b/>
        </w:rPr>
        <w:t>E</w:t>
      </w:r>
      <w:r>
        <w:rPr>
          <w:rFonts w:ascii="Arial" w:eastAsia="Arial" w:hAnsi="Arial" w:cs="Arial"/>
          <w:b/>
          <w:vertAlign w:val="subscript"/>
        </w:rPr>
        <w:t>t</w:t>
      </w:r>
      <w:r>
        <w:rPr>
          <w:rFonts w:ascii="Arial" w:eastAsia="Arial" w:hAnsi="Arial" w:cs="Arial"/>
        </w:rPr>
        <w:t>: variación a nivel estatal del índice de precios de consumo (IPC) de la clase "Servicios de Mantenimiento y reparaciones", publicado por el Instituto Nacional de Estadística (INE) en el momento de la revisión del precio del contrato.</w:t>
      </w:r>
      <w:r>
        <w:rPr>
          <w:rFonts w:ascii="Times New Roman" w:eastAsia="Times New Roman" w:hAnsi="Times New Roman" w:cs="Times New Roman"/>
          <w:sz w:val="24"/>
        </w:rPr>
        <w:t xml:space="preserve"> </w:t>
      </w:r>
    </w:p>
    <w:p w:rsidR="00FF384B" w:rsidRDefault="003E3BA9">
      <w:pPr>
        <w:spacing w:after="33"/>
        <w:ind w:left="1003"/>
      </w:pPr>
      <w:r>
        <w:rPr>
          <w:rFonts w:ascii="Arial" w:eastAsia="Arial" w:hAnsi="Arial" w:cs="Arial"/>
        </w:rPr>
        <w:t xml:space="preserve"> </w:t>
      </w:r>
    </w:p>
    <w:p w:rsidR="00FF384B" w:rsidRDefault="003E3BA9">
      <w:pPr>
        <w:numPr>
          <w:ilvl w:val="0"/>
          <w:numId w:val="271"/>
        </w:numPr>
        <w:spacing w:after="5" w:line="247" w:lineRule="auto"/>
        <w:ind w:right="244" w:hanging="360"/>
        <w:jc w:val="both"/>
      </w:pPr>
      <w:r>
        <w:rPr>
          <w:rFonts w:ascii="Arial" w:eastAsia="Arial" w:hAnsi="Arial" w:cs="Arial"/>
          <w:b/>
        </w:rPr>
        <w:t>E</w:t>
      </w:r>
      <w:r>
        <w:rPr>
          <w:rFonts w:ascii="Arial" w:eastAsia="Arial" w:hAnsi="Arial" w:cs="Arial"/>
          <w:b/>
          <w:vertAlign w:val="subscript"/>
        </w:rPr>
        <w:t>o</w:t>
      </w:r>
      <w:r>
        <w:rPr>
          <w:rFonts w:ascii="Arial" w:eastAsia="Arial" w:hAnsi="Arial" w:cs="Arial"/>
        </w:rPr>
        <w:t>: variación a nivel estatal del índice de precios de consumo (IPC) de la clase "Servicios de Mantenimiento y reparaciones", publicado por el Instituto Nacional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C: Peso del coste del </w:t>
      </w:r>
      <w:r>
        <w:rPr>
          <w:rFonts w:ascii="Arial" w:eastAsia="Arial" w:hAnsi="Arial" w:cs="Arial"/>
          <w:b/>
        </w:rPr>
        <w:t xml:space="preserve">combustible/lubricantes en tanto por uno (0,0570) </w:t>
      </w:r>
    </w:p>
    <w:p w:rsidR="00FF384B" w:rsidRDefault="003E3BA9">
      <w:pPr>
        <w:spacing w:after="32"/>
        <w:ind w:left="283"/>
      </w:pPr>
      <w:r>
        <w:rPr>
          <w:rFonts w:ascii="Arial" w:eastAsia="Arial" w:hAnsi="Arial" w:cs="Arial"/>
          <w:b/>
        </w:rPr>
        <w:t xml:space="preserve"> </w:t>
      </w:r>
    </w:p>
    <w:p w:rsidR="00FF384B" w:rsidRDefault="003E3BA9">
      <w:pPr>
        <w:numPr>
          <w:ilvl w:val="0"/>
          <w:numId w:val="271"/>
        </w:numPr>
        <w:spacing w:after="5" w:line="247" w:lineRule="auto"/>
        <w:ind w:right="244" w:hanging="360"/>
        <w:jc w:val="both"/>
      </w:pPr>
      <w:r>
        <w:rPr>
          <w:rFonts w:ascii="Arial" w:eastAsia="Arial" w:hAnsi="Arial" w:cs="Arial"/>
          <w:b/>
        </w:rPr>
        <w:t>I</w:t>
      </w:r>
      <w:r>
        <w:rPr>
          <w:rFonts w:ascii="Arial" w:eastAsia="Arial" w:hAnsi="Arial" w:cs="Arial"/>
          <w:b/>
          <w:vertAlign w:val="subscript"/>
        </w:rPr>
        <w:t>t</w:t>
      </w:r>
      <w:r>
        <w:rPr>
          <w:rFonts w:ascii="Arial" w:eastAsia="Arial" w:hAnsi="Arial" w:cs="Arial"/>
          <w:b/>
        </w:rPr>
        <w:t>:</w:t>
      </w:r>
      <w:r>
        <w:rPr>
          <w:rFonts w:ascii="Arial" w:eastAsia="Arial" w:hAnsi="Arial" w:cs="Arial"/>
        </w:rPr>
        <w:t xml:space="preserve"> variación a nivel estatal del índice de precios de consumo (IPC) de la clase "Carburantes y lubricantes" publicado por el Instituto Nacional de Estadística (INE) en el momento de la revisión del prec</w:t>
      </w:r>
      <w:r>
        <w:rPr>
          <w:rFonts w:ascii="Arial" w:eastAsia="Arial" w:hAnsi="Arial" w:cs="Arial"/>
        </w:rPr>
        <w:t>io del contrato.</w:t>
      </w:r>
      <w:r>
        <w:rPr>
          <w:rFonts w:ascii="Times New Roman" w:eastAsia="Times New Roman" w:hAnsi="Times New Roman" w:cs="Times New Roman"/>
          <w:sz w:val="24"/>
        </w:rPr>
        <w:t xml:space="preserve"> </w:t>
      </w:r>
    </w:p>
    <w:p w:rsidR="00FF384B" w:rsidRDefault="003E3BA9">
      <w:pPr>
        <w:numPr>
          <w:ilvl w:val="0"/>
          <w:numId w:val="271"/>
        </w:numPr>
        <w:spacing w:after="5" w:line="247" w:lineRule="auto"/>
        <w:ind w:right="244" w:hanging="360"/>
        <w:jc w:val="both"/>
      </w:pPr>
      <w:r>
        <w:rPr>
          <w:rFonts w:ascii="Arial" w:eastAsia="Arial" w:hAnsi="Arial" w:cs="Arial"/>
          <w:b/>
        </w:rPr>
        <w:t>I</w:t>
      </w:r>
      <w:r>
        <w:rPr>
          <w:rFonts w:ascii="Arial" w:eastAsia="Arial" w:hAnsi="Arial" w:cs="Arial"/>
          <w:b/>
          <w:vertAlign w:val="subscript"/>
        </w:rPr>
        <w:t>0</w:t>
      </w:r>
      <w:r>
        <w:rPr>
          <w:rFonts w:ascii="Arial" w:eastAsia="Arial" w:hAnsi="Arial" w:cs="Arial"/>
        </w:rPr>
        <w:t>: variación a nivel estatal del índice de precios de consumo (IPC) de la clase "Carburantes y lubricantes" publicado por el Instituto Nacional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b/>
        </w:rPr>
        <w:t xml:space="preserve">D: Amortización/financiación y otros costes no revisables (0,1625) </w:t>
      </w:r>
    </w:p>
    <w:p w:rsidR="00FF384B" w:rsidRDefault="003E3BA9">
      <w:pPr>
        <w:spacing w:after="0"/>
        <w:ind w:left="283"/>
      </w:pPr>
      <w:r>
        <w:rPr>
          <w:rFonts w:ascii="Arial" w:eastAsia="Arial" w:hAnsi="Arial" w:cs="Arial"/>
        </w:rPr>
        <w:t xml:space="preserve"> </w:t>
      </w:r>
    </w:p>
    <w:p w:rsidR="00FF384B" w:rsidRDefault="003E3BA9">
      <w:pPr>
        <w:spacing w:after="15" w:line="247" w:lineRule="auto"/>
        <w:ind w:left="286" w:hanging="3"/>
        <w:jc w:val="both"/>
      </w:pPr>
      <w:r>
        <w:rPr>
          <w:rFonts w:ascii="Arial" w:eastAsia="Arial" w:hAnsi="Arial" w:cs="Arial"/>
        </w:rPr>
        <w:t xml:space="preserve">Por lo tanto, se verifica que: </w:t>
      </w:r>
      <w:r>
        <w:rPr>
          <w:rFonts w:ascii="Arial" w:eastAsia="Arial" w:hAnsi="Arial" w:cs="Arial"/>
          <w:b/>
        </w:rPr>
        <w:t>A+B+C+D= 0,7287+0,0519+0,0570+0,1625= 1</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De este modo, la revisión de precios se llevará a cabo a través de este coeficiente K</w:t>
      </w:r>
      <w:r>
        <w:rPr>
          <w:rFonts w:ascii="Arial" w:eastAsia="Arial" w:hAnsi="Arial" w:cs="Arial"/>
          <w:vertAlign w:val="subscript"/>
        </w:rPr>
        <w:t>t</w:t>
      </w:r>
      <w:r>
        <w:rPr>
          <w:rFonts w:ascii="Arial" w:eastAsia="Arial" w:hAnsi="Arial" w:cs="Arial"/>
        </w:rPr>
        <w:t>, que establecerá la evo</w:t>
      </w:r>
      <w:r>
        <w:rPr>
          <w:rFonts w:ascii="Arial" w:eastAsia="Arial" w:hAnsi="Arial" w:cs="Arial"/>
        </w:rPr>
        <w:t>lución del total del presupuesto de ejecución material del servicio a lo largo del periodo revisable, del modo siguiente:</w:t>
      </w:r>
      <w:r>
        <w:rPr>
          <w:rFonts w:ascii="Times New Roman" w:eastAsia="Times New Roman" w:hAnsi="Times New Roman" w:cs="Times New Roman"/>
          <w:sz w:val="24"/>
        </w:rPr>
        <w:t xml:space="preserve"> </w:t>
      </w:r>
    </w:p>
    <w:p w:rsidR="00FF384B" w:rsidRDefault="003E3BA9">
      <w:pPr>
        <w:spacing w:after="83"/>
        <w:ind w:left="283"/>
      </w:pPr>
      <w:r>
        <w:rPr>
          <w:rFonts w:ascii="Arial" w:eastAsia="Arial" w:hAnsi="Arial" w:cs="Arial"/>
        </w:rPr>
        <w:t xml:space="preserve"> </w:t>
      </w:r>
    </w:p>
    <w:p w:rsidR="00FF384B" w:rsidRDefault="003E3BA9">
      <w:pPr>
        <w:pStyle w:val="Ttulo1"/>
        <w:shd w:val="clear" w:color="auto" w:fill="F2F2F2"/>
        <w:spacing w:after="3" w:line="259" w:lineRule="auto"/>
        <w:ind w:left="31"/>
      </w:pPr>
      <w:r>
        <w:rPr>
          <w:rFonts w:ascii="Cambria Math" w:eastAsia="Cambria Math" w:hAnsi="Cambria Math" w:cs="Cambria Math"/>
          <w:b w:val="0"/>
          <w:sz w:val="24"/>
        </w:rPr>
        <w:t>𝑪</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𝑲</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𝑪</w:t>
      </w:r>
      <w:r>
        <w:rPr>
          <w:rFonts w:ascii="Cambria Math" w:eastAsia="Cambria Math" w:hAnsi="Cambria Math" w:cs="Cambria Math"/>
          <w:b w:val="0"/>
          <w:sz w:val="24"/>
          <w:vertAlign w:val="subscript"/>
        </w:rPr>
        <w:t>0</w:t>
      </w:r>
      <w:r>
        <w:rPr>
          <w:rFonts w:ascii="Times New Roman" w:eastAsia="Times New Roman" w:hAnsi="Times New Roman" w:cs="Times New Roman"/>
          <w:b w:val="0"/>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Siendo: </w:t>
      </w:r>
    </w:p>
    <w:p w:rsidR="00FF384B" w:rsidRDefault="003E3BA9">
      <w:pPr>
        <w:spacing w:after="30"/>
        <w:ind w:left="283"/>
      </w:pPr>
      <w:r>
        <w:rPr>
          <w:rFonts w:ascii="Arial" w:eastAsia="Arial" w:hAnsi="Arial" w:cs="Arial"/>
        </w:rPr>
        <w:t xml:space="preserve"> </w:t>
      </w:r>
    </w:p>
    <w:p w:rsidR="00FF384B" w:rsidRDefault="003E3BA9">
      <w:pPr>
        <w:numPr>
          <w:ilvl w:val="0"/>
          <w:numId w:val="272"/>
        </w:numPr>
        <w:spacing w:after="26" w:line="247" w:lineRule="auto"/>
        <w:ind w:right="244" w:hanging="360"/>
        <w:jc w:val="both"/>
      </w:pPr>
      <w:r>
        <w:rPr>
          <w:rFonts w:ascii="Arial" w:eastAsia="Arial" w:hAnsi="Arial" w:cs="Arial"/>
          <w:b/>
        </w:rPr>
        <w:t>C</w:t>
      </w:r>
      <w:r>
        <w:rPr>
          <w:rFonts w:ascii="Arial" w:eastAsia="Arial" w:hAnsi="Arial" w:cs="Arial"/>
          <w:b/>
          <w:vertAlign w:val="subscript"/>
        </w:rPr>
        <w:t>t</w:t>
      </w:r>
      <w:r>
        <w:rPr>
          <w:rFonts w:ascii="Arial" w:eastAsia="Arial" w:hAnsi="Arial" w:cs="Arial"/>
        </w:rPr>
        <w:t>: Presupuesto de ejecución material en el momento de la revisión del precio del contrato.</w:t>
      </w:r>
      <w:r>
        <w:rPr>
          <w:rFonts w:ascii="Times New Roman" w:eastAsia="Times New Roman" w:hAnsi="Times New Roman" w:cs="Times New Roman"/>
          <w:sz w:val="24"/>
        </w:rPr>
        <w:t xml:space="preserve"> </w:t>
      </w:r>
    </w:p>
    <w:p w:rsidR="00FF384B" w:rsidRDefault="003E3BA9">
      <w:pPr>
        <w:numPr>
          <w:ilvl w:val="0"/>
          <w:numId w:val="272"/>
        </w:numPr>
        <w:spacing w:after="5" w:line="247" w:lineRule="auto"/>
        <w:ind w:right="244" w:hanging="360"/>
        <w:jc w:val="both"/>
      </w:pPr>
      <w:r>
        <w:rPr>
          <w:rFonts w:ascii="Arial" w:eastAsia="Arial" w:hAnsi="Arial" w:cs="Arial"/>
          <w:b/>
        </w:rPr>
        <w:t>C</w:t>
      </w:r>
      <w:r>
        <w:rPr>
          <w:rFonts w:ascii="Arial" w:eastAsia="Arial" w:hAnsi="Arial" w:cs="Arial"/>
          <w:b/>
          <w:vertAlign w:val="subscript"/>
        </w:rPr>
        <w:t>0</w:t>
      </w:r>
      <w:r>
        <w:rPr>
          <w:rFonts w:ascii="Arial" w:eastAsia="Arial" w:hAnsi="Arial" w:cs="Arial"/>
        </w:rPr>
        <w:t>: Presupuesto de ejecución material en el momento de formalización del contrato.</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0"/>
        <w:ind w:left="283"/>
      </w:pPr>
      <w:r>
        <w:rPr>
          <w:noProof/>
        </w:rPr>
        <mc:AlternateContent>
          <mc:Choice Requires="wpg">
            <w:drawing>
              <wp:anchor distT="0" distB="0" distL="114300" distR="114300" simplePos="0" relativeHeight="2518855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7255" name="Group 4872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0425" name="Picture 40425"/>
                          <pic:cNvPicPr/>
                        </pic:nvPicPr>
                        <pic:blipFill>
                          <a:blip r:embed="rId62"/>
                          <a:stretch>
                            <a:fillRect/>
                          </a:stretch>
                        </pic:blipFill>
                        <pic:spPr>
                          <a:xfrm rot="-5399999">
                            <a:off x="-1720849" y="1720849"/>
                            <a:ext cx="3797300" cy="355601"/>
                          </a:xfrm>
                          <a:prstGeom prst="rect">
                            <a:avLst/>
                          </a:prstGeom>
                        </pic:spPr>
                      </pic:pic>
                      <wps:wsp>
                        <wps:cNvPr id="40426" name="Rectangle 4042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0427" name="Rectangle 4042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7255" style="width:41.2715pt;height:299pt;position:absolute;mso-position-horizontal-relative:page;mso-position-horizontal:absolute;margin-left:653.71pt;mso-position-vertical-relative:page;margin-top:512.92pt;" coordsize="5241,37973">
                <v:shape id="Picture 40425" style="position:absolute;width:37973;height:3556;left:-17208;top:17208;rotation:-89;" filled="f">
                  <v:imagedata r:id="rId63"/>
                </v:shape>
                <v:rect id="Rectangle 404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04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221 de 353 </w:t>
                        </w:r>
                      </w:p>
                    </w:txbxContent>
                  </v:textbox>
                </v:rect>
                <w10:wrap type="square"/>
              </v:group>
            </w:pict>
          </mc:Fallback>
        </mc:AlternateContent>
      </w:r>
      <w:r>
        <w:rPr>
          <w:rFonts w:ascii="Arial" w:eastAsia="Arial" w:hAnsi="Arial" w:cs="Arial"/>
        </w:rPr>
        <w:t xml:space="preserve"> </w:t>
      </w:r>
    </w:p>
    <w:p w:rsidR="00FF384B" w:rsidRDefault="003E3BA9">
      <w:pPr>
        <w:shd w:val="clear" w:color="auto" w:fill="E0E0E0"/>
        <w:spacing w:after="233" w:line="249" w:lineRule="auto"/>
        <w:ind w:left="197" w:right="163" w:hanging="10"/>
        <w:jc w:val="center"/>
      </w:pPr>
      <w:r>
        <w:rPr>
          <w:rFonts w:ascii="Arial" w:eastAsia="Arial" w:hAnsi="Arial" w:cs="Arial"/>
          <w:b/>
        </w:rPr>
        <w:t xml:space="preserve">INVERSIÓN: PERIODO DE RECUPERACIÓN. </w:t>
      </w:r>
    </w:p>
    <w:p w:rsidR="00FF384B" w:rsidRDefault="003E3BA9">
      <w:pPr>
        <w:spacing w:after="5" w:line="247" w:lineRule="auto"/>
        <w:ind w:left="278" w:right="244" w:hanging="10"/>
        <w:jc w:val="both"/>
      </w:pPr>
      <w:r>
        <w:rPr>
          <w:rFonts w:ascii="Arial" w:eastAsia="Arial" w:hAnsi="Arial" w:cs="Arial"/>
        </w:rPr>
        <w:t xml:space="preserve">El plazo de duración de los contratos lo establece la normativa vigente, tal como se indica a continuación:  </w:t>
      </w:r>
    </w:p>
    <w:p w:rsidR="00FF384B" w:rsidRDefault="003E3BA9">
      <w:pPr>
        <w:spacing w:after="27"/>
        <w:ind w:left="283"/>
      </w:pPr>
      <w:r>
        <w:rPr>
          <w:rFonts w:ascii="Arial" w:eastAsia="Arial" w:hAnsi="Arial" w:cs="Arial"/>
        </w:rPr>
        <w:t xml:space="preserve"> </w:t>
      </w:r>
    </w:p>
    <w:p w:rsidR="00FF384B" w:rsidRDefault="003E3BA9">
      <w:pPr>
        <w:numPr>
          <w:ilvl w:val="0"/>
          <w:numId w:val="272"/>
        </w:numPr>
        <w:spacing w:after="13" w:line="247" w:lineRule="auto"/>
        <w:ind w:right="244" w:hanging="360"/>
        <w:jc w:val="both"/>
      </w:pPr>
      <w:r>
        <w:rPr>
          <w:rFonts w:ascii="Arial" w:eastAsia="Arial" w:hAnsi="Arial" w:cs="Arial"/>
        </w:rPr>
        <w:t xml:space="preserve">La </w:t>
      </w:r>
      <w:r>
        <w:rPr>
          <w:rFonts w:ascii="Arial" w:eastAsia="Arial" w:hAnsi="Arial" w:cs="Arial"/>
          <w:b/>
        </w:rPr>
        <w:t xml:space="preserve">Ley 9/2017 de Contratos del Sector Público </w:t>
      </w:r>
      <w:r>
        <w:rPr>
          <w:rFonts w:ascii="Arial" w:eastAsia="Arial" w:hAnsi="Arial" w:cs="Arial"/>
        </w:rPr>
        <w:t xml:space="preserve">en su </w:t>
      </w:r>
      <w:r>
        <w:rPr>
          <w:rFonts w:ascii="Arial" w:eastAsia="Arial" w:hAnsi="Arial" w:cs="Arial"/>
          <w:b/>
        </w:rPr>
        <w:t xml:space="preserve">Artículo 29 </w:t>
      </w:r>
      <w:r>
        <w:rPr>
          <w:rFonts w:ascii="Arial" w:eastAsia="Arial" w:hAnsi="Arial" w:cs="Arial"/>
        </w:rPr>
        <w:t xml:space="preserve">establece el </w:t>
      </w:r>
      <w:r>
        <w:rPr>
          <w:rFonts w:ascii="Arial" w:eastAsia="Arial" w:hAnsi="Arial" w:cs="Arial"/>
          <w:b/>
          <w:i/>
        </w:rPr>
        <w:t xml:space="preserve">Plazo de duración de los contratos y de ejecución de la prestación.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w:t>
      </w:r>
      <w:r>
        <w:rPr>
          <w:rFonts w:ascii="Arial" w:eastAsia="Arial" w:hAnsi="Arial" w:cs="Arial"/>
          <w:b/>
        </w:rPr>
        <w:t xml:space="preserve">Artículo 29.4 </w:t>
      </w:r>
      <w:r>
        <w:rPr>
          <w:rFonts w:ascii="Arial" w:eastAsia="Arial" w:hAnsi="Arial" w:cs="Arial"/>
        </w:rPr>
        <w:t xml:space="preserve">establece un plazo máximo de duración de los contratos de </w:t>
      </w:r>
      <w:r>
        <w:rPr>
          <w:rFonts w:ascii="Arial" w:eastAsia="Arial" w:hAnsi="Arial" w:cs="Arial"/>
          <w:b/>
        </w:rPr>
        <w:t>cinco años</w:t>
      </w:r>
      <w:r>
        <w:rPr>
          <w:rFonts w:ascii="Arial" w:eastAsia="Arial" w:hAnsi="Arial" w:cs="Arial"/>
        </w:rPr>
        <w:t>, a excepción de los cont</w:t>
      </w:r>
      <w:r>
        <w:rPr>
          <w:rFonts w:ascii="Arial" w:eastAsia="Arial" w:hAnsi="Arial" w:cs="Arial"/>
        </w:rPr>
        <w:t>ratos de suministros y servicios, en los que se podrá establecer un plazo de duración superior cuando lo exija el período de recuperación de las inversiones directamente relacionadas con el contrato y estas no sean susceptibles de utilizarse en el resto de</w:t>
      </w:r>
      <w:r>
        <w:rPr>
          <w:rFonts w:ascii="Arial" w:eastAsia="Arial" w:hAnsi="Arial" w:cs="Arial"/>
        </w:rPr>
        <w:t xml:space="preserve"> la actividad productiva del contratista o su utilización fuera antieconómica, siempre que la amortización de dichas inversiones sea un coste relevante en la prestación del suministro o servicio, circunstancias que deberán ser justificadas en el expediente</w:t>
      </w:r>
      <w:r>
        <w:rPr>
          <w:rFonts w:ascii="Arial" w:eastAsia="Arial" w:hAnsi="Arial" w:cs="Arial"/>
        </w:rPr>
        <w:t xml:space="preserve"> de</w:t>
      </w:r>
      <w:r>
        <w:rPr>
          <w:rFonts w:ascii="Times New Roman" w:eastAsia="Times New Roman" w:hAnsi="Times New Roman" w:cs="Times New Roman"/>
          <w:sz w:val="24"/>
        </w:rPr>
        <w:t xml:space="preserve"> </w:t>
      </w:r>
      <w:r>
        <w:rPr>
          <w:rFonts w:ascii="Arial" w:eastAsia="Arial" w:hAnsi="Arial" w:cs="Arial"/>
        </w:rPr>
        <w:t>contratación con indicación de las inversiones a las que se refiera y de su período de recuperación.</w:t>
      </w:r>
      <w:r>
        <w:rPr>
          <w:rFonts w:ascii="Times New Roman" w:eastAsia="Times New Roman" w:hAnsi="Times New Roman" w:cs="Times New Roman"/>
          <w:sz w:val="24"/>
        </w:rPr>
        <w:t xml:space="preserve"> </w:t>
      </w:r>
    </w:p>
    <w:p w:rsidR="00FF384B" w:rsidRDefault="003E3BA9">
      <w:pPr>
        <w:spacing w:after="27"/>
        <w:ind w:left="283"/>
      </w:pPr>
      <w:r>
        <w:rPr>
          <w:rFonts w:ascii="Arial" w:eastAsia="Arial" w:hAnsi="Arial" w:cs="Arial"/>
        </w:rPr>
        <w:t xml:space="preserve"> </w:t>
      </w:r>
    </w:p>
    <w:p w:rsidR="00FF384B" w:rsidRDefault="003E3BA9">
      <w:pPr>
        <w:numPr>
          <w:ilvl w:val="0"/>
          <w:numId w:val="272"/>
        </w:numPr>
        <w:spacing w:after="5" w:line="247" w:lineRule="auto"/>
        <w:ind w:right="244" w:hanging="360"/>
        <w:jc w:val="both"/>
      </w:pPr>
      <w:r>
        <w:rPr>
          <w:rFonts w:ascii="Arial" w:eastAsia="Arial" w:hAnsi="Arial" w:cs="Arial"/>
        </w:rPr>
        <w:t xml:space="preserve">El </w:t>
      </w:r>
      <w:r>
        <w:rPr>
          <w:rFonts w:ascii="Arial" w:eastAsia="Arial" w:hAnsi="Arial" w:cs="Arial"/>
          <w:b/>
        </w:rPr>
        <w:t>Real Decreto 55/2017</w:t>
      </w:r>
      <w:r>
        <w:rPr>
          <w:rFonts w:ascii="Arial" w:eastAsia="Arial" w:hAnsi="Arial" w:cs="Arial"/>
        </w:rPr>
        <w:t xml:space="preserve">, que desarrolla la Ley 2/2015, de 30 de marzo, de desindexación de la economía española, establece en su </w:t>
      </w:r>
      <w:r>
        <w:rPr>
          <w:rFonts w:ascii="Arial" w:eastAsia="Arial" w:hAnsi="Arial" w:cs="Arial"/>
          <w:b/>
        </w:rPr>
        <w:t xml:space="preserve">Artículo 10 </w:t>
      </w:r>
      <w:r>
        <w:rPr>
          <w:rFonts w:ascii="Arial" w:eastAsia="Arial" w:hAnsi="Arial" w:cs="Arial"/>
        </w:rPr>
        <w:t xml:space="preserve">el </w:t>
      </w:r>
      <w:r>
        <w:rPr>
          <w:rFonts w:ascii="Arial" w:eastAsia="Arial" w:hAnsi="Arial" w:cs="Arial"/>
          <w:b/>
          <w:i/>
        </w:rPr>
        <w:t>Perí</w:t>
      </w:r>
      <w:r>
        <w:rPr>
          <w:rFonts w:ascii="Arial" w:eastAsia="Arial" w:hAnsi="Arial" w:cs="Arial"/>
          <w:b/>
          <w:i/>
        </w:rPr>
        <w:t>odo de recuperación de la inversión de los contratos</w:t>
      </w:r>
      <w:r>
        <w:rPr>
          <w:rFonts w:ascii="Arial" w:eastAsia="Arial" w:hAnsi="Arial" w:cs="Arial"/>
        </w:rPr>
        <w:t xml:space="preserve">.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w:t>
      </w:r>
      <w:r>
        <w:rPr>
          <w:rFonts w:ascii="Arial" w:eastAsia="Arial" w:hAnsi="Arial" w:cs="Arial"/>
          <w:b/>
        </w:rPr>
        <w:t xml:space="preserve">Artículo 10.1 </w:t>
      </w:r>
      <w:r>
        <w:rPr>
          <w:rFonts w:ascii="Arial" w:eastAsia="Arial" w:hAnsi="Arial" w:cs="Arial"/>
        </w:rPr>
        <w:t>define el período de recuperación de la inversión del contrato como aquél en el que previsiblemente puedan recuperarse las inversiones realizadas para la correcta ejecución de las o</w:t>
      </w:r>
      <w:r>
        <w:rPr>
          <w:rFonts w:ascii="Arial" w:eastAsia="Arial" w:hAnsi="Arial" w:cs="Arial"/>
        </w:rPr>
        <w:t>bligaciones previstas en el contrato y se permita al contratista la obtención de un beneficio sobre el capital invertido en condiciones normales de explotación.</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El </w:t>
      </w:r>
      <w:r>
        <w:rPr>
          <w:rFonts w:ascii="Arial" w:eastAsia="Arial" w:hAnsi="Arial" w:cs="Arial"/>
          <w:b/>
        </w:rPr>
        <w:t xml:space="preserve">Artículo 10.2 </w:t>
      </w:r>
      <w:r>
        <w:rPr>
          <w:rFonts w:ascii="Arial" w:eastAsia="Arial" w:hAnsi="Arial" w:cs="Arial"/>
        </w:rPr>
        <w:t xml:space="preserve">establece una fórmula matemática para calcular el plazo de recuperación de </w:t>
      </w:r>
      <w:r>
        <w:rPr>
          <w:rFonts w:ascii="Arial" w:eastAsia="Arial" w:hAnsi="Arial" w:cs="Arial"/>
        </w:rPr>
        <w:t xml:space="preserve">las inversiones que determinará el plazo de duración del contrato. </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 xml:space="preserve">Según la fórmula, el período de recuperación de la inversión del contrato será el mínimo valor de </w:t>
      </w:r>
      <w:r>
        <w:rPr>
          <w:rFonts w:ascii="Arial" w:eastAsia="Arial" w:hAnsi="Arial" w:cs="Arial"/>
          <w:b/>
          <w:i/>
        </w:rPr>
        <w:t xml:space="preserve">n </w:t>
      </w:r>
      <w:r>
        <w:rPr>
          <w:rFonts w:ascii="Arial" w:eastAsia="Arial" w:hAnsi="Arial" w:cs="Arial"/>
        </w:rPr>
        <w:t>para el que se cumple la siguiente desigualdad, habiéndose realizado todas las invers</w:t>
      </w:r>
      <w:r>
        <w:rPr>
          <w:rFonts w:ascii="Arial" w:eastAsia="Arial" w:hAnsi="Arial" w:cs="Arial"/>
        </w:rPr>
        <w:t>iones para la correcta ejecución de las obligaciones previstas en el contrato:</w:t>
      </w: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ind w:left="254"/>
      </w:pPr>
      <w:r>
        <w:rPr>
          <w:noProof/>
        </w:rPr>
        <mc:AlternateContent>
          <mc:Choice Requires="wpg">
            <w:drawing>
              <wp:inline distT="0" distB="0" distL="0" distR="0">
                <wp:extent cx="5436997" cy="530352"/>
                <wp:effectExtent l="0" t="0" r="0" b="0"/>
                <wp:docPr id="516307" name="Group 516307"/>
                <wp:cNvGraphicFramePr/>
                <a:graphic xmlns:a="http://schemas.openxmlformats.org/drawingml/2006/main">
                  <a:graphicData uri="http://schemas.microsoft.com/office/word/2010/wordprocessingGroup">
                    <wpg:wgp>
                      <wpg:cNvGrpSpPr/>
                      <wpg:grpSpPr>
                        <a:xfrm>
                          <a:off x="0" y="0"/>
                          <a:ext cx="5436997" cy="530352"/>
                          <a:chOff x="0" y="0"/>
                          <a:chExt cx="5436997" cy="530352"/>
                        </a:xfrm>
                      </wpg:grpSpPr>
                      <wps:wsp>
                        <wps:cNvPr id="567106" name="Shape 567106"/>
                        <wps:cNvSpPr/>
                        <wps:spPr>
                          <a:xfrm>
                            <a:off x="0" y="11013"/>
                            <a:ext cx="5436997" cy="498348"/>
                          </a:xfrm>
                          <a:custGeom>
                            <a:avLst/>
                            <a:gdLst/>
                            <a:ahLst/>
                            <a:cxnLst/>
                            <a:rect l="0" t="0" r="0" b="0"/>
                            <a:pathLst>
                              <a:path w="5436997" h="498348">
                                <a:moveTo>
                                  <a:pt x="0" y="0"/>
                                </a:moveTo>
                                <a:lnTo>
                                  <a:pt x="5436997" y="0"/>
                                </a:lnTo>
                                <a:lnTo>
                                  <a:pt x="5436997" y="498348"/>
                                </a:lnTo>
                                <a:lnTo>
                                  <a:pt x="0" y="498348"/>
                                </a:lnTo>
                                <a:lnTo>
                                  <a:pt x="0" y="0"/>
                                </a:lnTo>
                              </a:path>
                            </a:pathLst>
                          </a:custGeom>
                          <a:ln w="0" cap="sq">
                            <a:miter lim="127000"/>
                          </a:ln>
                        </wps:spPr>
                        <wps:style>
                          <a:lnRef idx="0">
                            <a:srgbClr val="000000">
                              <a:alpha val="0"/>
                            </a:srgbClr>
                          </a:lnRef>
                          <a:fillRef idx="1">
                            <a:srgbClr val="F2F2F2"/>
                          </a:fillRef>
                          <a:effectRef idx="0">
                            <a:scrgbClr r="0" g="0" b="0"/>
                          </a:effectRef>
                          <a:fontRef idx="none"/>
                        </wps:style>
                        <wps:bodyPr/>
                      </wps:wsp>
                      <wps:wsp>
                        <wps:cNvPr id="40477" name="Rectangle 40477"/>
                        <wps:cNvSpPr/>
                        <wps:spPr>
                          <a:xfrm>
                            <a:off x="2194890" y="192699"/>
                            <a:ext cx="268769"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478" name="Rectangle 40478"/>
                        <wps:cNvSpPr/>
                        <wps:spPr>
                          <a:xfrm>
                            <a:off x="2568270" y="76875"/>
                            <a:ext cx="256811" cy="202692"/>
                          </a:xfrm>
                          <a:prstGeom prst="rect">
                            <a:avLst/>
                          </a:prstGeom>
                          <a:ln>
                            <a:noFill/>
                          </a:ln>
                        </wps:spPr>
                        <wps:txbx>
                          <w:txbxContent>
                            <w:p w:rsidR="00FF384B" w:rsidRDefault="003E3BA9">
                              <w:r>
                                <w:rPr>
                                  <w:rFonts w:ascii="Cambria Math" w:eastAsia="Cambria Math" w:hAnsi="Cambria Math" w:cs="Cambria Math"/>
                                  <w:sz w:val="24"/>
                                </w:rPr>
                                <w:t>𝑭𝑪</w:t>
                              </w:r>
                            </w:p>
                          </w:txbxContent>
                        </wps:txbx>
                        <wps:bodyPr horzOverflow="overflow" vert="horz" lIns="0" tIns="0" rIns="0" bIns="0" rtlCol="0">
                          <a:noAutofit/>
                        </wps:bodyPr>
                      </wps:wsp>
                      <wps:wsp>
                        <wps:cNvPr id="40479" name="Rectangle 40479"/>
                        <wps:cNvSpPr/>
                        <wps:spPr>
                          <a:xfrm>
                            <a:off x="2761818" y="141732"/>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480" name="Rectangle 40480"/>
                        <wps:cNvSpPr/>
                        <wps:spPr>
                          <a:xfrm>
                            <a:off x="2421966"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481" name="Rectangle 40481"/>
                        <wps:cNvSpPr/>
                        <wps:spPr>
                          <a:xfrm>
                            <a:off x="2485974" y="294807"/>
                            <a:ext cx="112292" cy="202692"/>
                          </a:xfrm>
                          <a:prstGeom prst="rect">
                            <a:avLst/>
                          </a:prstGeom>
                          <a:ln>
                            <a:noFill/>
                          </a:ln>
                        </wps:spPr>
                        <wps:txbx>
                          <w:txbxContent>
                            <w:p w:rsidR="00FF384B" w:rsidRDefault="003E3BA9">
                              <w:r>
                                <w:rPr>
                                  <w:rFonts w:ascii="Cambria Math" w:eastAsia="Cambria Math" w:hAnsi="Cambria Math" w:cs="Cambria Math"/>
                                  <w:sz w:val="24"/>
                                </w:rPr>
                                <w:t>1</w:t>
                              </w:r>
                            </w:p>
                          </w:txbxContent>
                        </wps:txbx>
                        <wps:bodyPr horzOverflow="overflow" vert="horz" lIns="0" tIns="0" rIns="0" bIns="0" rtlCol="0">
                          <a:noAutofit/>
                        </wps:bodyPr>
                      </wps:wsp>
                      <wps:wsp>
                        <wps:cNvPr id="40482" name="Rectangle 40482"/>
                        <wps:cNvSpPr/>
                        <wps:spPr>
                          <a:xfrm>
                            <a:off x="2603322" y="294807"/>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483" name="Rectangle 40483"/>
                        <wps:cNvSpPr/>
                        <wps:spPr>
                          <a:xfrm>
                            <a:off x="2751150" y="294807"/>
                            <a:ext cx="123034" cy="202692"/>
                          </a:xfrm>
                          <a:prstGeom prst="rect">
                            <a:avLst/>
                          </a:prstGeom>
                          <a:ln>
                            <a:noFill/>
                          </a:ln>
                        </wps:spPr>
                        <wps:txbx>
                          <w:txbxContent>
                            <w:p w:rsidR="00FF384B" w:rsidRDefault="003E3BA9">
                              <w:r>
                                <w:rPr>
                                  <w:rFonts w:ascii="Cambria Math" w:eastAsia="Cambria Math" w:hAnsi="Cambria Math" w:cs="Cambria Math"/>
                                  <w:sz w:val="24"/>
                                </w:rPr>
                                <w:t>𝒃</w:t>
                              </w:r>
                            </w:p>
                          </w:txbxContent>
                        </wps:txbx>
                        <wps:bodyPr horzOverflow="overflow" vert="horz" lIns="0" tIns="0" rIns="0" bIns="0" rtlCol="0">
                          <a:noAutofit/>
                        </wps:bodyPr>
                      </wps:wsp>
                      <wps:wsp>
                        <wps:cNvPr id="40484" name="Rectangle 40484"/>
                        <wps:cNvSpPr/>
                        <wps:spPr>
                          <a:xfrm>
                            <a:off x="2844114"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485" name="Rectangle 40485"/>
                        <wps:cNvSpPr/>
                        <wps:spPr>
                          <a:xfrm>
                            <a:off x="2908122" y="283464"/>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67107" name="Shape 567107"/>
                        <wps:cNvSpPr/>
                        <wps:spPr>
                          <a:xfrm>
                            <a:off x="2421966" y="262472"/>
                            <a:ext cx="536448" cy="10668"/>
                          </a:xfrm>
                          <a:custGeom>
                            <a:avLst/>
                            <a:gdLst/>
                            <a:ahLst/>
                            <a:cxnLst/>
                            <a:rect l="0" t="0" r="0" b="0"/>
                            <a:pathLst>
                              <a:path w="536448" h="10668">
                                <a:moveTo>
                                  <a:pt x="0" y="0"/>
                                </a:moveTo>
                                <a:lnTo>
                                  <a:pt x="536448" y="0"/>
                                </a:lnTo>
                                <a:lnTo>
                                  <a:pt x="536448" y="10668"/>
                                </a:lnTo>
                                <a:lnTo>
                                  <a:pt x="0" y="106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0487" name="Rectangle 40487"/>
                        <wps:cNvSpPr/>
                        <wps:spPr>
                          <a:xfrm>
                            <a:off x="2260422" y="0"/>
                            <a:ext cx="93111" cy="143912"/>
                          </a:xfrm>
                          <a:prstGeom prst="rect">
                            <a:avLst/>
                          </a:prstGeom>
                          <a:ln>
                            <a:noFill/>
                          </a:ln>
                        </wps:spPr>
                        <wps:txbx>
                          <w:txbxContent>
                            <w:p w:rsidR="00FF384B" w:rsidRDefault="003E3BA9">
                              <w:r>
                                <w:rPr>
                                  <w:rFonts w:ascii="Cambria Math" w:eastAsia="Cambria Math" w:hAnsi="Cambria Math" w:cs="Cambria Math"/>
                                  <w:sz w:val="17"/>
                                </w:rPr>
                                <w:t>𝒏</w:t>
                              </w:r>
                            </w:p>
                          </w:txbxContent>
                        </wps:txbx>
                        <wps:bodyPr horzOverflow="overflow" vert="horz" lIns="0" tIns="0" rIns="0" bIns="0" rtlCol="0">
                          <a:noAutofit/>
                        </wps:bodyPr>
                      </wps:wsp>
                      <wps:wsp>
                        <wps:cNvPr id="40488" name="Rectangle 40488"/>
                        <wps:cNvSpPr/>
                        <wps:spPr>
                          <a:xfrm>
                            <a:off x="2202510" y="422148"/>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0489" name="Rectangle 40489"/>
                        <wps:cNvSpPr/>
                        <wps:spPr>
                          <a:xfrm>
                            <a:off x="2248230" y="422148"/>
                            <a:ext cx="104768" cy="143912"/>
                          </a:xfrm>
                          <a:prstGeom prst="rect">
                            <a:avLst/>
                          </a:prstGeom>
                          <a:ln>
                            <a:noFill/>
                          </a:ln>
                        </wps:spPr>
                        <wps:txbx>
                          <w:txbxContent>
                            <w:p w:rsidR="00FF384B" w:rsidRDefault="003E3BA9">
                              <w:r>
                                <w:rPr>
                                  <w:rFonts w:ascii="Cambria Math" w:eastAsia="Cambria Math" w:hAnsi="Cambria Math" w:cs="Cambria Math"/>
                                  <w:sz w:val="17"/>
                                </w:rPr>
                                <w:t>=</w:t>
                              </w:r>
                            </w:p>
                          </w:txbxContent>
                        </wps:txbx>
                        <wps:bodyPr horzOverflow="overflow" vert="horz" lIns="0" tIns="0" rIns="0" bIns="0" rtlCol="0">
                          <a:noAutofit/>
                        </wps:bodyPr>
                      </wps:wsp>
                      <wps:wsp>
                        <wps:cNvPr id="40490" name="Rectangle 40490"/>
                        <wps:cNvSpPr/>
                        <wps:spPr>
                          <a:xfrm>
                            <a:off x="2327478" y="42214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40491" name="Rectangle 40491"/>
                        <wps:cNvSpPr/>
                        <wps:spPr>
                          <a:xfrm>
                            <a:off x="3001086" y="192699"/>
                            <a:ext cx="151816"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0492" name="Rectangle 40492"/>
                        <wps:cNvSpPr/>
                        <wps:spPr>
                          <a:xfrm>
                            <a:off x="3158058" y="192699"/>
                            <a:ext cx="112292" cy="202692"/>
                          </a:xfrm>
                          <a:prstGeom prst="rect">
                            <a:avLst/>
                          </a:prstGeom>
                          <a:ln>
                            <a:noFill/>
                          </a:ln>
                        </wps:spPr>
                        <wps:txbx>
                          <w:txbxContent>
                            <w:p w:rsidR="00FF384B" w:rsidRDefault="003E3BA9">
                              <w:r>
                                <w:rPr>
                                  <w:rFonts w:ascii="Cambria Math" w:eastAsia="Cambria Math" w:hAnsi="Cambria Math" w:cs="Cambria Math"/>
                                  <w:sz w:val="24"/>
                                </w:rPr>
                                <w:t>0</w:t>
                              </w:r>
                            </w:p>
                          </w:txbxContent>
                        </wps:txbx>
                        <wps:bodyPr horzOverflow="overflow" vert="horz" lIns="0" tIns="0" rIns="0" bIns="0" rtlCol="0">
                          <a:noAutofit/>
                        </wps:bodyPr>
                      </wps:wsp>
                      <wps:wsp>
                        <wps:cNvPr id="40493" name="Rectangle 40493"/>
                        <wps:cNvSpPr/>
                        <wps:spPr>
                          <a:xfrm>
                            <a:off x="3242132" y="175452"/>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16307" style="width:428.11pt;height:41.76pt;mso-position-horizontal-relative:char;mso-position-vertical-relative:line" coordsize="54369,5303">
                <v:shape id="Shape 567108" style="position:absolute;width:54369;height:4983;left:0;top:110;" coordsize="5436997,498348" path="m0,0l5436997,0l5436997,498348l0,498348l0,0">
                  <v:stroke weight="0pt" endcap="square" joinstyle="miter" miterlimit="10" on="false" color="#000000" opacity="0"/>
                  <v:fill on="true" color="#f2f2f2"/>
                </v:shape>
                <v:rect id="Rectangle 40477" style="position:absolute;width:2687;height:2026;left:21948;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478" style="position:absolute;width:2568;height:2026;left:25682;top:768;" filled="f" stroked="f">
                  <v:textbox inset="0,0,0,0">
                    <w:txbxContent>
                      <w:p>
                        <w:pPr>
                          <w:spacing w:before="0" w:after="160" w:line="259" w:lineRule="auto"/>
                        </w:pPr>
                        <w:r>
                          <w:rPr>
                            <w:rFonts w:cs="Cambria Math" w:hAnsi="Cambria Math" w:eastAsia="Cambria Math" w:ascii="Cambria Math"/>
                            <w:sz w:val="24"/>
                          </w:rPr>
                          <w:t xml:space="preserve">𝑭𝑪</w:t>
                        </w:r>
                      </w:p>
                    </w:txbxContent>
                  </v:textbox>
                </v:rect>
                <v:rect id="Rectangle 40479" style="position:absolute;width:602;height:1439;left:27618;top:1417;"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480" style="position:absolute;width:841;height:2026;left:24219;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481" style="position:absolute;width:1122;height:2026;left:24859;top:2948;" filled="f" stroked="f">
                  <v:textbox inset="0,0,0,0">
                    <w:txbxContent>
                      <w:p>
                        <w:pPr>
                          <w:spacing w:before="0" w:after="160" w:line="259" w:lineRule="auto"/>
                        </w:pPr>
                        <w:r>
                          <w:rPr>
                            <w:rFonts w:cs="Cambria Math" w:hAnsi="Cambria Math" w:eastAsia="Cambria Math" w:ascii="Cambria Math"/>
                            <w:sz w:val="24"/>
                          </w:rPr>
                          <w:t xml:space="preserve">1</w:t>
                        </w:r>
                      </w:p>
                    </w:txbxContent>
                  </v:textbox>
                </v:rect>
                <v:rect id="Rectangle 40482" style="position:absolute;width:1514;height:2026;left:26033;top:2948;"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483" style="position:absolute;width:1230;height:2026;left:27511;top:2948;" filled="f" stroked="f">
                  <v:textbox inset="0,0,0,0">
                    <w:txbxContent>
                      <w:p>
                        <w:pPr>
                          <w:spacing w:before="0" w:after="160" w:line="259" w:lineRule="auto"/>
                        </w:pPr>
                        <w:r>
                          <w:rPr>
                            <w:rFonts w:cs="Cambria Math" w:hAnsi="Cambria Math" w:eastAsia="Cambria Math" w:ascii="Cambria Math"/>
                            <w:sz w:val="24"/>
                          </w:rPr>
                          <w:t xml:space="preserve">𝒃</w:t>
                        </w:r>
                      </w:p>
                    </w:txbxContent>
                  </v:textbox>
                </v:rect>
                <v:rect id="Rectangle 40484" style="position:absolute;width:841;height:2026;left:28441;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485" style="position:absolute;width:602;height:1439;left:29081;top:2834;"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shape id="Shape 567109" style="position:absolute;width:5364;height:106;left:24219;top:2624;" coordsize="536448,10668" path="m0,0l536448,0l536448,10668l0,10668l0,0">
                  <v:stroke weight="0pt" endcap="square" joinstyle="miter" miterlimit="10" on="false" color="#000000" opacity="0"/>
                  <v:fill on="true" color="#000000"/>
                </v:shape>
                <v:rect id="Rectangle 40487" style="position:absolute;width:931;height:1439;left:22604;top:0;" filled="f" stroked="f">
                  <v:textbox inset="0,0,0,0">
                    <w:txbxContent>
                      <w:p>
                        <w:pPr>
                          <w:spacing w:before="0" w:after="160" w:line="259" w:lineRule="auto"/>
                        </w:pPr>
                        <w:r>
                          <w:rPr>
                            <w:rFonts w:cs="Cambria Math" w:hAnsi="Cambria Math" w:eastAsia="Cambria Math" w:ascii="Cambria Math"/>
                            <w:sz w:val="17"/>
                          </w:rPr>
                          <w:t xml:space="preserve">𝒏</w:t>
                        </w:r>
                      </w:p>
                    </w:txbxContent>
                  </v:textbox>
                </v:rect>
                <v:rect id="Rectangle 40488" style="position:absolute;width:602;height:1439;left:22025;top:4221;"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0489" style="position:absolute;width:1047;height:1439;left:22482;top:4221;" filled="f" stroked="f">
                  <v:textbox inset="0,0,0,0">
                    <w:txbxContent>
                      <w:p>
                        <w:pPr>
                          <w:spacing w:before="0" w:after="160" w:line="259" w:lineRule="auto"/>
                        </w:pPr>
                        <w:r>
                          <w:rPr>
                            <w:rFonts w:cs="Cambria Math" w:hAnsi="Cambria Math" w:eastAsia="Cambria Math" w:ascii="Cambria Math"/>
                            <w:sz w:val="17"/>
                          </w:rPr>
                          <w:t xml:space="preserve">=</w:t>
                        </w:r>
                      </w:p>
                    </w:txbxContent>
                  </v:textbox>
                </v:rect>
                <v:rect id="Rectangle 40490" style="position:absolute;width:833;height:1439;left:23274;top:422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rect id="Rectangle 40491" style="position:absolute;width:1518;height:2026;left:30010;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0492" style="position:absolute;width:1122;height:2026;left:31580;top:1926;" filled="f" stroked="f">
                  <v:textbox inset="0,0,0,0">
                    <w:txbxContent>
                      <w:p>
                        <w:pPr>
                          <w:spacing w:before="0" w:after="160" w:line="259" w:lineRule="auto"/>
                        </w:pPr>
                        <w:r>
                          <w:rPr>
                            <w:rFonts w:cs="Cambria Math" w:hAnsi="Cambria Math" w:eastAsia="Cambria Math" w:ascii="Cambria Math"/>
                            <w:sz w:val="24"/>
                          </w:rPr>
                          <w:t xml:space="preserve">0</w:t>
                        </w:r>
                      </w:p>
                    </w:txbxContent>
                  </v:textbox>
                </v:rect>
                <v:rect id="Rectangle 40493" style="position:absolute;width:506;height:2243;left:32421;top:17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line="249" w:lineRule="auto"/>
        <w:ind w:left="278" w:hanging="10"/>
        <w:jc w:val="both"/>
      </w:pPr>
      <w:r>
        <w:rPr>
          <w:rFonts w:ascii="Times New Roman" w:eastAsia="Times New Roman" w:hAnsi="Times New Roman" w:cs="Times New Roman"/>
          <w:sz w:val="24"/>
        </w:rPr>
        <w:t xml:space="preserve">Siendo </w:t>
      </w:r>
    </w:p>
    <w:p w:rsidR="00FF384B" w:rsidRDefault="003E3BA9">
      <w:pPr>
        <w:spacing w:after="13"/>
        <w:ind w:left="283"/>
      </w:pPr>
      <w:r>
        <w:rPr>
          <w:rFonts w:ascii="Times New Roman" w:eastAsia="Times New Roman" w:hAnsi="Times New Roman" w:cs="Times New Roman"/>
          <w:sz w:val="24"/>
        </w:rPr>
        <w:t xml:space="preserve"> </w:t>
      </w:r>
    </w:p>
    <w:p w:rsidR="00FF384B" w:rsidRDefault="003E3BA9">
      <w:pPr>
        <w:numPr>
          <w:ilvl w:val="0"/>
          <w:numId w:val="273"/>
        </w:numPr>
        <w:spacing w:after="5" w:line="247" w:lineRule="auto"/>
        <w:ind w:right="244" w:hanging="360"/>
        <w:jc w:val="both"/>
      </w:pPr>
      <w:r>
        <w:rPr>
          <w:rFonts w:ascii="Arial" w:eastAsia="Arial" w:hAnsi="Arial" w:cs="Arial"/>
          <w:b/>
        </w:rPr>
        <w:t>t</w:t>
      </w:r>
      <w:r>
        <w:rPr>
          <w:rFonts w:ascii="Arial" w:eastAsia="Arial" w:hAnsi="Arial" w:cs="Arial"/>
        </w:rPr>
        <w:t xml:space="preserve"> son los años medidos en números enteros. </w:t>
      </w:r>
      <w:r>
        <w:rPr>
          <w:rFonts w:ascii="Times New Roman" w:eastAsia="Times New Roman" w:hAnsi="Times New Roman" w:cs="Times New Roman"/>
          <w:sz w:val="24"/>
        </w:rPr>
        <w:t xml:space="preserve"> </w:t>
      </w:r>
    </w:p>
    <w:p w:rsidR="00FF384B" w:rsidRDefault="003E3BA9">
      <w:pPr>
        <w:numPr>
          <w:ilvl w:val="0"/>
          <w:numId w:val="273"/>
        </w:numPr>
        <w:spacing w:after="5" w:line="247" w:lineRule="auto"/>
        <w:ind w:right="244" w:hanging="360"/>
        <w:jc w:val="both"/>
      </w:pPr>
      <w:r>
        <w:rPr>
          <w:rFonts w:ascii="Arial" w:eastAsia="Arial" w:hAnsi="Arial" w:cs="Arial"/>
          <w:b/>
        </w:rPr>
        <w:t>FC</w:t>
      </w:r>
      <w:r>
        <w:rPr>
          <w:rFonts w:ascii="Arial" w:eastAsia="Arial" w:hAnsi="Arial" w:cs="Arial"/>
          <w:b/>
          <w:vertAlign w:val="subscript"/>
        </w:rPr>
        <w:t>t</w:t>
      </w:r>
      <w:r>
        <w:rPr>
          <w:rFonts w:ascii="Arial" w:eastAsia="Arial" w:hAnsi="Arial" w:cs="Arial"/>
          <w:b/>
        </w:rPr>
        <w:t xml:space="preserve"> </w:t>
      </w:r>
      <w:r>
        <w:rPr>
          <w:rFonts w:ascii="Arial" w:eastAsia="Arial" w:hAnsi="Arial" w:cs="Arial"/>
        </w:rPr>
        <w:t>es el flujo de caja esperado del año t.</w:t>
      </w:r>
      <w:r>
        <w:rPr>
          <w:rFonts w:ascii="Times New Roman" w:eastAsia="Times New Roman" w:hAnsi="Times New Roman" w:cs="Times New Roman"/>
          <w:sz w:val="24"/>
        </w:rPr>
        <w:t xml:space="preserve"> </w:t>
      </w:r>
    </w:p>
    <w:p w:rsidR="00FF384B" w:rsidRDefault="003E3BA9">
      <w:pPr>
        <w:numPr>
          <w:ilvl w:val="0"/>
          <w:numId w:val="273"/>
        </w:numPr>
        <w:spacing w:after="5" w:line="247" w:lineRule="auto"/>
        <w:ind w:right="244" w:hanging="360"/>
        <w:jc w:val="both"/>
      </w:pPr>
      <w:r>
        <w:rPr>
          <w:rFonts w:ascii="Arial" w:eastAsia="Arial" w:hAnsi="Arial" w:cs="Arial"/>
          <w:b/>
        </w:rPr>
        <w:t>b</w:t>
      </w:r>
      <w:r>
        <w:rPr>
          <w:rFonts w:ascii="Arial" w:eastAsia="Arial" w:hAnsi="Arial" w:cs="Arial"/>
          <w:b/>
          <w:i/>
        </w:rPr>
        <w:t xml:space="preserve"> </w:t>
      </w:r>
      <w:r>
        <w:rPr>
          <w:rFonts w:ascii="Arial" w:eastAsia="Arial" w:hAnsi="Arial" w:cs="Arial"/>
        </w:rPr>
        <w:t>es la tasa de descuento, cuyo valor será el rendimiento medio en el mercado secundario de la deuda del Estado a diez años en los últimos seis meses incrementado en un diferencial de 200 puntos básicos.</w:t>
      </w:r>
      <w:r>
        <w:rPr>
          <w:rFonts w:ascii="Times New Roman" w:eastAsia="Times New Roman" w:hAnsi="Times New Roman" w:cs="Times New Roman"/>
          <w:sz w:val="24"/>
        </w:rPr>
        <w:t xml:space="preserve">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line="249" w:lineRule="auto"/>
        <w:ind w:left="278" w:right="256" w:hanging="10"/>
        <w:jc w:val="both"/>
      </w:pPr>
      <w:r>
        <w:rPr>
          <w:noProof/>
        </w:rPr>
        <mc:AlternateContent>
          <mc:Choice Requires="wpg">
            <w:drawing>
              <wp:anchor distT="0" distB="0" distL="114300" distR="114300" simplePos="0" relativeHeight="2518865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6308" name="Group 51630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0691" name="Picture 40691"/>
                          <pic:cNvPicPr/>
                        </pic:nvPicPr>
                        <pic:blipFill>
                          <a:blip r:embed="rId62"/>
                          <a:stretch>
                            <a:fillRect/>
                          </a:stretch>
                        </pic:blipFill>
                        <pic:spPr>
                          <a:xfrm rot="-5399999">
                            <a:off x="-1720849" y="1720849"/>
                            <a:ext cx="3797300" cy="355601"/>
                          </a:xfrm>
                          <a:prstGeom prst="rect">
                            <a:avLst/>
                          </a:prstGeom>
                        </pic:spPr>
                      </pic:pic>
                      <wps:wsp>
                        <wps:cNvPr id="40692" name="Rectangle 406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0693" name="Rectangle 4069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6308" style="width:41.2715pt;height:299pt;position:absolute;mso-position-horizontal-relative:page;mso-position-horizontal:absolute;margin-left:653.71pt;mso-position-vertical-relative:page;margin-top:512.92pt;" coordsize="5241,37973">
                <v:shape id="Picture 40691" style="position:absolute;width:37973;height:3556;left:-17208;top:17208;rotation:-89;" filled="f">
                  <v:imagedata r:id="rId63"/>
                </v:shape>
                <v:rect id="Rectangle 406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06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222 de 353 </w:t>
                        </w:r>
                      </w:p>
                    </w:txbxContent>
                  </v:textbox>
                </v:rect>
                <w10:wrap type="square"/>
              </v:group>
            </w:pict>
          </mc:Fallback>
        </mc:AlternateContent>
      </w:r>
      <w:r>
        <w:rPr>
          <w:rFonts w:ascii="Times New Roman" w:eastAsia="Times New Roman" w:hAnsi="Times New Roman" w:cs="Times New Roman"/>
          <w:sz w:val="24"/>
        </w:rPr>
        <w:t>El Flujo de Caja procedente de las actividades de explotación</w:t>
      </w:r>
      <w:r>
        <w:rPr>
          <w:rFonts w:ascii="Times New Roman" w:eastAsia="Times New Roman" w:hAnsi="Times New Roman" w:cs="Times New Roman"/>
          <w:sz w:val="24"/>
        </w:rPr>
        <w:t>, que es la diferencia entre los cobros y los pagos ocasionados por las actividades que constituyen la principal fuente de ingresos del contrato, teniendo en cuenta tanto las contraprestaciones abonadas por los usuarios como por la Administración, así como</w:t>
      </w:r>
      <w:r>
        <w:rPr>
          <w:rFonts w:ascii="Times New Roman" w:eastAsia="Times New Roman" w:hAnsi="Times New Roman" w:cs="Times New Roman"/>
          <w:sz w:val="24"/>
        </w:rPr>
        <w:t xml:space="preserve"> por otras actividades que no pueden ser calificadas como de inversión y financiación. </w:t>
      </w:r>
    </w:p>
    <w:p w:rsidR="00FF384B" w:rsidRDefault="003E3BA9">
      <w:pPr>
        <w:spacing w:after="0"/>
        <w:ind w:left="283"/>
      </w:pPr>
      <w:r>
        <w:rPr>
          <w:rFonts w:ascii="Times New Roman" w:eastAsia="Times New Roman" w:hAnsi="Times New Roman" w:cs="Times New Roman"/>
          <w:sz w:val="24"/>
        </w:rPr>
        <w:t xml:space="preserve"> </w:t>
      </w:r>
    </w:p>
    <w:p w:rsidR="00FF384B" w:rsidRDefault="003E3BA9">
      <w:pPr>
        <w:pStyle w:val="Ttulo2"/>
        <w:shd w:val="clear" w:color="auto" w:fill="E0E0E0"/>
        <w:spacing w:after="233" w:line="249" w:lineRule="auto"/>
        <w:ind w:left="197" w:right="163"/>
      </w:pPr>
      <w:r>
        <w:t xml:space="preserve">PERIODO DE LA RECUPERACIÓN DE LA INVERSIÓN DEL CONTRATO </w:t>
      </w:r>
    </w:p>
    <w:p w:rsidR="00FF384B" w:rsidRDefault="003E3BA9">
      <w:pPr>
        <w:spacing w:after="5" w:line="247" w:lineRule="auto"/>
        <w:ind w:left="278" w:right="244" w:hanging="10"/>
        <w:jc w:val="both"/>
      </w:pPr>
      <w:r>
        <w:rPr>
          <w:rFonts w:ascii="Arial" w:eastAsia="Arial" w:hAnsi="Arial" w:cs="Arial"/>
        </w:rPr>
        <w:t>A continuación, se procede a determinar el periodo de recuperación de la inversión del contrato de gestión de</w:t>
      </w:r>
      <w:r>
        <w:rPr>
          <w:rFonts w:ascii="Arial" w:eastAsia="Arial" w:hAnsi="Arial" w:cs="Arial"/>
        </w:rPr>
        <w:t xml:space="preserve"> residuos, limpieza viaria y del litoral del municipio de Candelaria.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278" w:right="244" w:hanging="10"/>
        <w:jc w:val="both"/>
      </w:pPr>
      <w:r>
        <w:rPr>
          <w:rFonts w:ascii="Arial" w:eastAsia="Arial" w:hAnsi="Arial" w:cs="Arial"/>
        </w:rPr>
        <w:t>El estudio económico realizado, establece los siguientes costes del servicio para el año 2021:</w:t>
      </w:r>
      <w:r>
        <w:rPr>
          <w:rFonts w:ascii="Times New Roman" w:eastAsia="Times New Roman" w:hAnsi="Times New Roman" w:cs="Times New Roman"/>
          <w:sz w:val="24"/>
        </w:rPr>
        <w:t xml:space="preserve"> </w:t>
      </w:r>
    </w:p>
    <w:p w:rsidR="00FF384B" w:rsidRDefault="003E3BA9">
      <w:pPr>
        <w:spacing w:after="0"/>
        <w:ind w:left="283"/>
      </w:pPr>
      <w:r>
        <w:rPr>
          <w:rFonts w:ascii="Arial" w:eastAsia="Arial" w:hAnsi="Arial" w:cs="Arial"/>
          <w:sz w:val="18"/>
        </w:rPr>
        <w:t xml:space="preserve"> </w:t>
      </w:r>
    </w:p>
    <w:tbl>
      <w:tblPr>
        <w:tblStyle w:val="TableGrid"/>
        <w:tblW w:w="8500" w:type="dxa"/>
        <w:tblInd w:w="283" w:type="dxa"/>
        <w:tblCellMar>
          <w:top w:w="5" w:type="dxa"/>
          <w:left w:w="113" w:type="dxa"/>
          <w:bottom w:w="0" w:type="dxa"/>
          <w:right w:w="75" w:type="dxa"/>
        </w:tblCellMar>
        <w:tblLook w:val="04A0" w:firstRow="1" w:lastRow="0" w:firstColumn="1" w:lastColumn="0" w:noHBand="0" w:noVBand="1"/>
      </w:tblPr>
      <w:tblGrid>
        <w:gridCol w:w="960"/>
        <w:gridCol w:w="1037"/>
        <w:gridCol w:w="917"/>
        <w:gridCol w:w="845"/>
        <w:gridCol w:w="986"/>
        <w:gridCol w:w="855"/>
        <w:gridCol w:w="1058"/>
        <w:gridCol w:w="890"/>
        <w:gridCol w:w="951"/>
      </w:tblGrid>
      <w:tr w:rsidR="00FF384B">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center"/>
            </w:pPr>
            <w:r>
              <w:rPr>
                <w:rFonts w:ascii="Arial" w:eastAsia="Arial" w:hAnsi="Arial" w:cs="Arial"/>
                <w:b/>
                <w:sz w:val="18"/>
              </w:rPr>
              <w:t xml:space="preserve">PERSO NAL </w:t>
            </w:r>
          </w:p>
        </w:tc>
        <w:tc>
          <w:tcPr>
            <w:tcW w:w="1037"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50"/>
            </w:pPr>
            <w:r>
              <w:rPr>
                <w:rFonts w:ascii="Arial" w:eastAsia="Arial" w:hAnsi="Arial" w:cs="Arial"/>
                <w:b/>
                <w:sz w:val="18"/>
              </w:rPr>
              <w:t xml:space="preserve">MEDIOS </w:t>
            </w:r>
          </w:p>
          <w:p w:rsidR="00FF384B" w:rsidRDefault="003E3BA9">
            <w:pPr>
              <w:spacing w:after="0"/>
              <w:jc w:val="center"/>
            </w:pPr>
            <w:r>
              <w:rPr>
                <w:rFonts w:ascii="Arial" w:eastAsia="Arial" w:hAnsi="Arial" w:cs="Arial"/>
                <w:b/>
                <w:sz w:val="18"/>
              </w:rPr>
              <w:t xml:space="preserve">MATERIA LES </w:t>
            </w:r>
          </w:p>
        </w:tc>
        <w:tc>
          <w:tcPr>
            <w:tcW w:w="917"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14"/>
            </w:pPr>
            <w:r>
              <w:rPr>
                <w:rFonts w:ascii="Arial" w:eastAsia="Arial" w:hAnsi="Arial" w:cs="Arial"/>
                <w:b/>
                <w:sz w:val="18"/>
              </w:rPr>
              <w:t>AMORT</w:t>
            </w:r>
          </w:p>
          <w:p w:rsidR="00FF384B" w:rsidRDefault="003E3BA9">
            <w:pPr>
              <w:spacing w:after="0"/>
              <w:ind w:right="38"/>
              <w:jc w:val="center"/>
            </w:pPr>
            <w:r>
              <w:rPr>
                <w:rFonts w:ascii="Arial" w:eastAsia="Arial" w:hAnsi="Arial" w:cs="Arial"/>
                <w:b/>
                <w:sz w:val="18"/>
              </w:rPr>
              <w:t xml:space="preserve">IZ. </w:t>
            </w:r>
          </w:p>
        </w:tc>
        <w:tc>
          <w:tcPr>
            <w:tcW w:w="84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72"/>
            </w:pPr>
            <w:r>
              <w:rPr>
                <w:rFonts w:ascii="Arial" w:eastAsia="Arial" w:hAnsi="Arial" w:cs="Arial"/>
                <w:b/>
                <w:sz w:val="18"/>
              </w:rPr>
              <w:t xml:space="preserve">TASA </w:t>
            </w:r>
          </w:p>
          <w:p w:rsidR="00FF384B" w:rsidRDefault="003E3BA9">
            <w:pPr>
              <w:spacing w:after="0"/>
              <w:ind w:right="43"/>
              <w:jc w:val="center"/>
            </w:pPr>
            <w:r>
              <w:rPr>
                <w:rFonts w:ascii="Arial" w:eastAsia="Arial" w:hAnsi="Arial" w:cs="Arial"/>
                <w:b/>
                <w:sz w:val="18"/>
              </w:rPr>
              <w:t xml:space="preserve">DISP. </w:t>
            </w:r>
          </w:p>
        </w:tc>
        <w:tc>
          <w:tcPr>
            <w:tcW w:w="98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6"/>
            </w:pPr>
            <w:r>
              <w:rPr>
                <w:rFonts w:ascii="Arial" w:eastAsia="Arial" w:hAnsi="Arial" w:cs="Arial"/>
                <w:b/>
                <w:sz w:val="18"/>
              </w:rPr>
              <w:t>PAPELE</w:t>
            </w:r>
          </w:p>
          <w:p w:rsidR="00FF384B" w:rsidRDefault="003E3BA9">
            <w:pPr>
              <w:spacing w:after="0"/>
              <w:ind w:right="38"/>
              <w:jc w:val="center"/>
            </w:pPr>
            <w:r>
              <w:rPr>
                <w:rFonts w:ascii="Arial" w:eastAsia="Arial" w:hAnsi="Arial" w:cs="Arial"/>
                <w:b/>
                <w:sz w:val="18"/>
              </w:rPr>
              <w:t xml:space="preserve">RAS - </w:t>
            </w:r>
          </w:p>
          <w:p w:rsidR="00FF384B" w:rsidRDefault="003E3BA9">
            <w:pPr>
              <w:spacing w:after="0"/>
              <w:ind w:right="40"/>
              <w:jc w:val="center"/>
            </w:pPr>
            <w:r>
              <w:rPr>
                <w:rFonts w:ascii="Arial" w:eastAsia="Arial" w:hAnsi="Arial" w:cs="Arial"/>
                <w:b/>
                <w:sz w:val="18"/>
              </w:rPr>
              <w:t xml:space="preserve">RCD </w:t>
            </w:r>
          </w:p>
        </w:tc>
        <w:tc>
          <w:tcPr>
            <w:tcW w:w="85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2"/>
              <w:jc w:val="center"/>
            </w:pPr>
            <w:r>
              <w:rPr>
                <w:rFonts w:ascii="Arial" w:eastAsia="Arial" w:hAnsi="Arial" w:cs="Arial"/>
                <w:b/>
                <w:sz w:val="18"/>
              </w:rPr>
              <w:t xml:space="preserve">GG </w:t>
            </w:r>
          </w:p>
          <w:p w:rsidR="00FF384B" w:rsidRDefault="003E3BA9">
            <w:pPr>
              <w:spacing w:after="0"/>
              <w:ind w:left="46"/>
            </w:pPr>
            <w:r>
              <w:rPr>
                <w:rFonts w:ascii="Arial" w:eastAsia="Arial" w:hAnsi="Arial" w:cs="Arial"/>
                <w:b/>
                <w:sz w:val="18"/>
              </w:rPr>
              <w:t xml:space="preserve">(5%) + </w:t>
            </w:r>
          </w:p>
          <w:p w:rsidR="00FF384B" w:rsidRDefault="003E3BA9">
            <w:pPr>
              <w:spacing w:after="0"/>
              <w:ind w:left="7"/>
            </w:pPr>
            <w:r>
              <w:rPr>
                <w:rFonts w:ascii="Arial" w:eastAsia="Arial" w:hAnsi="Arial" w:cs="Arial"/>
                <w:b/>
                <w:sz w:val="18"/>
              </w:rPr>
              <w:t xml:space="preserve">BI (6%) </w:t>
            </w:r>
          </w:p>
        </w:tc>
        <w:tc>
          <w:tcPr>
            <w:tcW w:w="1058"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both"/>
            </w:pPr>
            <w:r>
              <w:rPr>
                <w:rFonts w:ascii="Arial" w:eastAsia="Arial" w:hAnsi="Arial" w:cs="Arial"/>
                <w:b/>
                <w:sz w:val="18"/>
              </w:rPr>
              <w:t>CONCIEN</w:t>
            </w:r>
          </w:p>
          <w:p w:rsidR="00FF384B" w:rsidRDefault="003E3BA9">
            <w:pPr>
              <w:spacing w:after="0"/>
              <w:ind w:right="43"/>
              <w:jc w:val="center"/>
            </w:pPr>
            <w:r>
              <w:rPr>
                <w:rFonts w:ascii="Arial" w:eastAsia="Arial" w:hAnsi="Arial" w:cs="Arial"/>
                <w:b/>
                <w:sz w:val="18"/>
              </w:rPr>
              <w:t xml:space="preserve">CIA. </w:t>
            </w:r>
          </w:p>
        </w:tc>
        <w:tc>
          <w:tcPr>
            <w:tcW w:w="890" w:type="dxa"/>
            <w:tcBorders>
              <w:top w:val="single" w:sz="4" w:space="0" w:color="000000"/>
              <w:left w:val="single" w:sz="4" w:space="0" w:color="000000"/>
              <w:bottom w:val="single" w:sz="4" w:space="0" w:color="000000"/>
              <w:right w:val="single" w:sz="4" w:space="0" w:color="000000"/>
            </w:tcBorders>
          </w:tcPr>
          <w:p w:rsidR="00FF384B" w:rsidRDefault="003E3BA9">
            <w:pPr>
              <w:spacing w:after="0" w:line="242" w:lineRule="auto"/>
              <w:jc w:val="center"/>
            </w:pPr>
            <w:r>
              <w:rPr>
                <w:rFonts w:ascii="Arial" w:eastAsia="Arial" w:hAnsi="Arial" w:cs="Arial"/>
                <w:b/>
                <w:sz w:val="18"/>
              </w:rPr>
              <w:t xml:space="preserve">INGRE SOS </w:t>
            </w:r>
          </w:p>
          <w:p w:rsidR="00FF384B" w:rsidRDefault="003E3BA9">
            <w:pPr>
              <w:spacing w:after="0"/>
              <w:jc w:val="center"/>
            </w:pPr>
            <w:r>
              <w:rPr>
                <w:rFonts w:ascii="Arial" w:eastAsia="Arial" w:hAnsi="Arial" w:cs="Arial"/>
                <w:b/>
                <w:sz w:val="18"/>
              </w:rPr>
              <w:t xml:space="preserve">EELL + PyC </w:t>
            </w:r>
          </w:p>
        </w:tc>
        <w:tc>
          <w:tcPr>
            <w:tcW w:w="951"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97"/>
            </w:pPr>
            <w:r>
              <w:rPr>
                <w:rFonts w:ascii="Arial" w:eastAsia="Arial" w:hAnsi="Arial" w:cs="Arial"/>
                <w:b/>
                <w:sz w:val="18"/>
              </w:rPr>
              <w:t xml:space="preserve">SUMA </w:t>
            </w:r>
          </w:p>
        </w:tc>
      </w:tr>
      <w:tr w:rsidR="00FF384B">
        <w:trPr>
          <w:trHeight w:val="631"/>
        </w:trPr>
        <w:tc>
          <w:tcPr>
            <w:tcW w:w="96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12"/>
              <w:ind w:left="17"/>
            </w:pPr>
            <w:r>
              <w:rPr>
                <w:rFonts w:ascii="Arial" w:eastAsia="Arial" w:hAnsi="Arial" w:cs="Arial"/>
                <w:sz w:val="18"/>
              </w:rPr>
              <w:t>1.870.71</w:t>
            </w:r>
          </w:p>
          <w:p w:rsidR="00FF384B" w:rsidRDefault="003E3BA9">
            <w:pPr>
              <w:spacing w:after="0"/>
              <w:ind w:right="40"/>
              <w:jc w:val="center"/>
            </w:pPr>
            <w:r>
              <w:rPr>
                <w:rFonts w:ascii="Arial" w:eastAsia="Arial" w:hAnsi="Arial" w:cs="Arial"/>
                <w:sz w:val="18"/>
              </w:rPr>
              <w:t xml:space="preserve">5,18 € </w:t>
            </w:r>
          </w:p>
        </w:tc>
        <w:tc>
          <w:tcPr>
            <w:tcW w:w="1037"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9"/>
              <w:ind w:left="5"/>
            </w:pPr>
            <w:r>
              <w:rPr>
                <w:rFonts w:ascii="Arial" w:eastAsia="Arial" w:hAnsi="Arial" w:cs="Arial"/>
                <w:sz w:val="18"/>
              </w:rPr>
              <w:t>278.588,3</w:t>
            </w:r>
          </w:p>
          <w:p w:rsidR="00FF384B" w:rsidRDefault="003E3BA9">
            <w:pPr>
              <w:spacing w:after="0"/>
              <w:ind w:right="37"/>
              <w:jc w:val="center"/>
            </w:pPr>
            <w:r>
              <w:rPr>
                <w:rFonts w:ascii="Arial" w:eastAsia="Arial" w:hAnsi="Arial" w:cs="Arial"/>
                <w:sz w:val="18"/>
              </w:rPr>
              <w:t xml:space="preserve">2 € </w:t>
            </w:r>
          </w:p>
        </w:tc>
        <w:tc>
          <w:tcPr>
            <w:tcW w:w="917"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12"/>
              <w:ind w:left="26"/>
            </w:pPr>
            <w:r>
              <w:rPr>
                <w:rFonts w:ascii="Arial" w:eastAsia="Arial" w:hAnsi="Arial" w:cs="Arial"/>
                <w:sz w:val="18"/>
              </w:rPr>
              <w:t>114.184</w:t>
            </w:r>
          </w:p>
          <w:p w:rsidR="00FF384B" w:rsidRDefault="003E3BA9">
            <w:pPr>
              <w:spacing w:after="0"/>
              <w:ind w:right="40"/>
              <w:jc w:val="center"/>
            </w:pPr>
            <w:r>
              <w:rPr>
                <w:rFonts w:ascii="Arial" w:eastAsia="Arial" w:hAnsi="Arial" w:cs="Arial"/>
                <w:sz w:val="18"/>
              </w:rPr>
              <w:t xml:space="preserve">7,23 € </w:t>
            </w:r>
          </w:p>
        </w:tc>
        <w:tc>
          <w:tcPr>
            <w:tcW w:w="84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center"/>
            </w:pPr>
            <w:r>
              <w:rPr>
                <w:rFonts w:ascii="Arial" w:eastAsia="Arial" w:hAnsi="Arial" w:cs="Arial"/>
                <w:sz w:val="18"/>
              </w:rPr>
              <w:t xml:space="preserve">407.11 2,37 € </w:t>
            </w:r>
          </w:p>
        </w:tc>
        <w:tc>
          <w:tcPr>
            <w:tcW w:w="98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center"/>
            </w:pPr>
            <w:r>
              <w:rPr>
                <w:rFonts w:ascii="Arial" w:eastAsia="Arial" w:hAnsi="Arial" w:cs="Arial"/>
                <w:sz w:val="18"/>
              </w:rPr>
              <w:t xml:space="preserve">8.000,00 € </w:t>
            </w:r>
          </w:p>
        </w:tc>
        <w:tc>
          <w:tcPr>
            <w:tcW w:w="85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center"/>
            </w:pPr>
            <w:r>
              <w:rPr>
                <w:rFonts w:ascii="Arial" w:eastAsia="Arial" w:hAnsi="Arial" w:cs="Arial"/>
                <w:sz w:val="18"/>
              </w:rPr>
              <w:t xml:space="preserve">294.64 6,01 € </w:t>
            </w:r>
          </w:p>
        </w:tc>
        <w:tc>
          <w:tcPr>
            <w:tcW w:w="1058"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jc w:val="center"/>
            </w:pPr>
            <w:r>
              <w:rPr>
                <w:rFonts w:ascii="Arial" w:eastAsia="Arial" w:hAnsi="Arial" w:cs="Arial"/>
                <w:sz w:val="18"/>
              </w:rPr>
              <w:t xml:space="preserve">15.000,00 € </w:t>
            </w:r>
          </w:p>
        </w:tc>
        <w:tc>
          <w:tcPr>
            <w:tcW w:w="8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8"/>
              <w:jc w:val="center"/>
            </w:pPr>
            <w:r>
              <w:rPr>
                <w:rFonts w:ascii="Arial" w:eastAsia="Arial" w:hAnsi="Arial" w:cs="Arial"/>
                <w:sz w:val="18"/>
              </w:rPr>
              <w:t>-</w:t>
            </w:r>
          </w:p>
          <w:p w:rsidR="00FF384B" w:rsidRDefault="003E3BA9">
            <w:pPr>
              <w:spacing w:after="0"/>
              <w:jc w:val="center"/>
            </w:pPr>
            <w:r>
              <w:rPr>
                <w:rFonts w:ascii="Arial" w:eastAsia="Arial" w:hAnsi="Arial" w:cs="Arial"/>
                <w:sz w:val="18"/>
              </w:rPr>
              <w:t xml:space="preserve">80.000, 00 € </w:t>
            </w:r>
          </w:p>
        </w:tc>
        <w:tc>
          <w:tcPr>
            <w:tcW w:w="951"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12"/>
              <w:ind w:left="13"/>
            </w:pPr>
            <w:r>
              <w:rPr>
                <w:rFonts w:ascii="Arial" w:eastAsia="Arial" w:hAnsi="Arial" w:cs="Arial"/>
                <w:sz w:val="18"/>
              </w:rPr>
              <w:t>2.908.24</w:t>
            </w:r>
          </w:p>
          <w:p w:rsidR="00FF384B" w:rsidRDefault="003E3BA9">
            <w:pPr>
              <w:spacing w:after="0"/>
              <w:ind w:right="39"/>
              <w:jc w:val="center"/>
            </w:pPr>
            <w:r>
              <w:rPr>
                <w:rFonts w:ascii="Arial" w:eastAsia="Arial" w:hAnsi="Arial" w:cs="Arial"/>
                <w:sz w:val="18"/>
              </w:rPr>
              <w:t xml:space="preserve">6,11 € </w:t>
            </w:r>
          </w:p>
        </w:tc>
      </w:tr>
    </w:tbl>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5" w:line="247" w:lineRule="auto"/>
        <w:ind w:left="278" w:right="244" w:hanging="10"/>
        <w:jc w:val="both"/>
      </w:pPr>
      <w:r>
        <w:rPr>
          <w:rFonts w:ascii="Arial" w:eastAsia="Arial" w:hAnsi="Arial" w:cs="Arial"/>
        </w:rPr>
        <w:t xml:space="preserve">Para el estudio del período de recuperación de la inversión del contrato se han tomado las siguientes consideraciones: </w:t>
      </w:r>
    </w:p>
    <w:p w:rsidR="00FF384B" w:rsidRDefault="003E3BA9">
      <w:pPr>
        <w:spacing w:after="0"/>
        <w:ind w:left="283"/>
      </w:pPr>
      <w:r>
        <w:rPr>
          <w:rFonts w:ascii="Arial" w:eastAsia="Arial" w:hAnsi="Arial" w:cs="Arial"/>
        </w:rPr>
        <w:t xml:space="preserve"> </w:t>
      </w:r>
    </w:p>
    <w:p w:rsidR="00FF384B" w:rsidRDefault="003E3BA9">
      <w:pPr>
        <w:spacing w:after="5" w:line="247" w:lineRule="auto"/>
        <w:ind w:left="1003" w:right="244" w:hanging="360"/>
        <w:jc w:val="both"/>
      </w:pPr>
      <w:r>
        <w:rPr>
          <w:rFonts w:ascii="Segoe UI Symbol" w:eastAsia="Segoe UI Symbol" w:hAnsi="Segoe UI Symbol" w:cs="Segoe UI Symbol"/>
        </w:rPr>
        <w:t></w:t>
      </w:r>
      <w:r>
        <w:rPr>
          <w:rFonts w:ascii="Arial" w:eastAsia="Arial" w:hAnsi="Arial" w:cs="Arial"/>
        </w:rPr>
        <w:t xml:space="preserve"> El estudio económico determina los ingresos/costes para el año 2021 (año 1). Para el año 2 y sucesivos, se han considerado los sigui</w:t>
      </w:r>
      <w:r>
        <w:rPr>
          <w:rFonts w:ascii="Arial" w:eastAsia="Arial" w:hAnsi="Arial" w:cs="Arial"/>
        </w:rPr>
        <w:t xml:space="preserve">entes incrementos: </w:t>
      </w:r>
    </w:p>
    <w:p w:rsidR="00FF384B" w:rsidRDefault="003E3BA9">
      <w:pPr>
        <w:spacing w:after="0"/>
        <w:ind w:left="1003"/>
      </w:pPr>
      <w:r>
        <w:rPr>
          <w:rFonts w:ascii="Arial" w:eastAsia="Arial" w:hAnsi="Arial" w:cs="Arial"/>
        </w:rPr>
        <w:t xml:space="preserve"> </w:t>
      </w:r>
    </w:p>
    <w:p w:rsidR="00FF384B" w:rsidRDefault="003E3BA9">
      <w:pPr>
        <w:numPr>
          <w:ilvl w:val="0"/>
          <w:numId w:val="274"/>
        </w:numPr>
        <w:spacing w:after="12" w:line="249" w:lineRule="auto"/>
        <w:ind w:right="245" w:hanging="360"/>
        <w:jc w:val="both"/>
      </w:pPr>
      <w:r>
        <w:rPr>
          <w:rFonts w:ascii="Arial" w:eastAsia="Arial" w:hAnsi="Arial" w:cs="Arial"/>
        </w:rPr>
        <w:t xml:space="preserve">Incremento anual de costes de personal es de 2.1% (art 34 Convenio 1.25%). </w:t>
      </w:r>
    </w:p>
    <w:p w:rsidR="00FF384B" w:rsidRDefault="003E3BA9">
      <w:pPr>
        <w:numPr>
          <w:ilvl w:val="0"/>
          <w:numId w:val="274"/>
        </w:numPr>
        <w:spacing w:after="5" w:line="247" w:lineRule="auto"/>
        <w:ind w:right="245" w:hanging="360"/>
        <w:jc w:val="both"/>
      </w:pPr>
      <w:r>
        <w:rPr>
          <w:rFonts w:ascii="Arial" w:eastAsia="Arial" w:hAnsi="Arial" w:cs="Arial"/>
        </w:rPr>
        <w:t xml:space="preserve">Incremento anual del resto de costes es de 1.4%. </w:t>
      </w:r>
    </w:p>
    <w:p w:rsidR="00FF384B" w:rsidRDefault="003E3BA9">
      <w:pPr>
        <w:spacing w:after="0"/>
        <w:ind w:left="1363"/>
      </w:pPr>
      <w:r>
        <w:rPr>
          <w:noProof/>
        </w:rPr>
        <mc:AlternateContent>
          <mc:Choice Requires="wpg">
            <w:drawing>
              <wp:anchor distT="0" distB="0" distL="114300" distR="114300" simplePos="0" relativeHeight="2518876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6139" name="Group 51613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0845" name="Picture 40845"/>
                          <pic:cNvPicPr/>
                        </pic:nvPicPr>
                        <pic:blipFill>
                          <a:blip r:embed="rId62"/>
                          <a:stretch>
                            <a:fillRect/>
                          </a:stretch>
                        </pic:blipFill>
                        <pic:spPr>
                          <a:xfrm rot="-5399999">
                            <a:off x="-1720849" y="1720849"/>
                            <a:ext cx="3797300" cy="355601"/>
                          </a:xfrm>
                          <a:prstGeom prst="rect">
                            <a:avLst/>
                          </a:prstGeom>
                        </pic:spPr>
                      </pic:pic>
                      <wps:wsp>
                        <wps:cNvPr id="40846" name="Rectangle 4084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0847" name="Rectangle 4084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6139" style="width:41.2715pt;height:299pt;position:absolute;mso-position-horizontal-relative:page;mso-position-horizontal:absolute;margin-left:653.71pt;mso-position-vertical-relative:page;margin-top:512.92pt;" coordsize="5241,37973">
                <v:shape id="Picture 40845" style="position:absolute;width:37973;height:3556;left:-17208;top:17208;rotation:-89;" filled="f">
                  <v:imagedata r:id="rId63"/>
                </v:shape>
                <v:rect id="Rectangle 4084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084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223 de 353 </w:t>
                        </w:r>
                      </w:p>
                    </w:txbxContent>
                  </v:textbox>
                </v:rect>
                <w10:wrap type="square"/>
              </v:group>
            </w:pict>
          </mc:Fallback>
        </mc:AlternateContent>
      </w:r>
      <w:r>
        <w:rPr>
          <w:rFonts w:ascii="Arial" w:eastAsia="Arial" w:hAnsi="Arial" w:cs="Arial"/>
        </w:rPr>
        <w:t xml:space="preserve"> </w:t>
      </w:r>
    </w:p>
    <w:p w:rsidR="00FF384B" w:rsidRDefault="003E3BA9">
      <w:pPr>
        <w:spacing w:after="0"/>
        <w:ind w:left="283"/>
      </w:pPr>
      <w:r>
        <w:rPr>
          <w:noProof/>
        </w:rPr>
        <mc:AlternateContent>
          <mc:Choice Requires="wpg">
            <w:drawing>
              <wp:inline distT="0" distB="0" distL="0" distR="0">
                <wp:extent cx="5448046" cy="3286166"/>
                <wp:effectExtent l="0" t="0" r="0" b="0"/>
                <wp:docPr id="516136" name="Group 516136"/>
                <wp:cNvGraphicFramePr/>
                <a:graphic xmlns:a="http://schemas.openxmlformats.org/drawingml/2006/main">
                  <a:graphicData uri="http://schemas.microsoft.com/office/word/2010/wordprocessingGroup">
                    <wpg:wgp>
                      <wpg:cNvGrpSpPr/>
                      <wpg:grpSpPr>
                        <a:xfrm>
                          <a:off x="0" y="0"/>
                          <a:ext cx="5448046" cy="3286166"/>
                          <a:chOff x="0" y="0"/>
                          <a:chExt cx="5448046" cy="3286166"/>
                        </a:xfrm>
                      </wpg:grpSpPr>
                      <wps:wsp>
                        <wps:cNvPr id="40752" name="Rectangle 40752"/>
                        <wps:cNvSpPr/>
                        <wps:spPr>
                          <a:xfrm>
                            <a:off x="228854" y="29674"/>
                            <a:ext cx="85779" cy="170269"/>
                          </a:xfrm>
                          <a:prstGeom prst="rect">
                            <a:avLst/>
                          </a:prstGeom>
                          <a:ln>
                            <a:noFill/>
                          </a:ln>
                        </wps:spPr>
                        <wps:txbx>
                          <w:txbxContent>
                            <w:p w:rsidR="00FF384B" w:rsidRDefault="003E3BA9">
                              <w:r>
                                <w:rPr>
                                  <w:rFonts w:ascii="Segoe UI Symbol" w:eastAsia="Segoe UI Symbol" w:hAnsi="Segoe UI Symbol" w:cs="Segoe UI Symbol"/>
                                </w:rPr>
                                <w:t></w:t>
                              </w:r>
                            </w:p>
                          </w:txbxContent>
                        </wps:txbx>
                        <wps:bodyPr horzOverflow="overflow" vert="horz" lIns="0" tIns="0" rIns="0" bIns="0" rtlCol="0">
                          <a:noAutofit/>
                        </wps:bodyPr>
                      </wps:wsp>
                      <wps:wsp>
                        <wps:cNvPr id="40753" name="Rectangle 40753"/>
                        <wps:cNvSpPr/>
                        <wps:spPr>
                          <a:xfrm>
                            <a:off x="292862" y="0"/>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40754" name="Rectangle 40754"/>
                        <wps:cNvSpPr/>
                        <wps:spPr>
                          <a:xfrm>
                            <a:off x="457454" y="0"/>
                            <a:ext cx="3306200" cy="207922"/>
                          </a:xfrm>
                          <a:prstGeom prst="rect">
                            <a:avLst/>
                          </a:prstGeom>
                          <a:ln>
                            <a:noFill/>
                          </a:ln>
                        </wps:spPr>
                        <wps:txbx>
                          <w:txbxContent>
                            <w:p w:rsidR="00FF384B" w:rsidRDefault="003E3BA9">
                              <w:r>
                                <w:rPr>
                                  <w:rFonts w:ascii="Arial" w:eastAsia="Arial" w:hAnsi="Arial" w:cs="Arial"/>
                                </w:rPr>
                                <w:t>Dada una tasa de descuento del 2,30%.</w:t>
                              </w:r>
                            </w:p>
                          </w:txbxContent>
                        </wps:txbx>
                        <wps:bodyPr horzOverflow="overflow" vert="horz" lIns="0" tIns="0" rIns="0" bIns="0" rtlCol="0">
                          <a:noAutofit/>
                        </wps:bodyPr>
                      </wps:wsp>
                      <wps:wsp>
                        <wps:cNvPr id="40755" name="Rectangle 40755"/>
                        <wps:cNvSpPr/>
                        <wps:spPr>
                          <a:xfrm>
                            <a:off x="2943479" y="0"/>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40756" name="Rectangle 40756"/>
                        <wps:cNvSpPr/>
                        <wps:spPr>
                          <a:xfrm>
                            <a:off x="457454" y="160401"/>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40757" name="Rectangle 40757"/>
                        <wps:cNvSpPr/>
                        <wps:spPr>
                          <a:xfrm>
                            <a:off x="5409946" y="3117459"/>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766" name="Picture 40766"/>
                          <pic:cNvPicPr/>
                        </pic:nvPicPr>
                        <pic:blipFill>
                          <a:blip r:embed="rId70"/>
                          <a:stretch>
                            <a:fillRect/>
                          </a:stretch>
                        </pic:blipFill>
                        <pic:spPr>
                          <a:xfrm>
                            <a:off x="0" y="318659"/>
                            <a:ext cx="5401056" cy="2926080"/>
                          </a:xfrm>
                          <a:prstGeom prst="rect">
                            <a:avLst/>
                          </a:prstGeom>
                        </pic:spPr>
                      </pic:pic>
                      <wps:wsp>
                        <wps:cNvPr id="40843" name="Shape 40843"/>
                        <wps:cNvSpPr/>
                        <wps:spPr>
                          <a:xfrm>
                            <a:off x="5053584" y="2647331"/>
                            <a:ext cx="230124" cy="600456"/>
                          </a:xfrm>
                          <a:custGeom>
                            <a:avLst/>
                            <a:gdLst/>
                            <a:ahLst/>
                            <a:cxnLst/>
                            <a:rect l="0" t="0" r="0" b="0"/>
                            <a:pathLst>
                              <a:path w="230124" h="600456">
                                <a:moveTo>
                                  <a:pt x="0" y="600456"/>
                                </a:moveTo>
                                <a:lnTo>
                                  <a:pt x="230124" y="600456"/>
                                </a:lnTo>
                                <a:lnTo>
                                  <a:pt x="230124" y="0"/>
                                </a:lnTo>
                                <a:lnTo>
                                  <a:pt x="0" y="0"/>
                                </a:ln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136" style="width:428.98pt;height:258.753pt;mso-position-horizontal-relative:char;mso-position-vertical-relative:line" coordsize="54480,32861">
                <v:rect id="Rectangle 40752" style="position:absolute;width:857;height:1702;left:2288;top:296;" filled="f" stroked="f">
                  <v:textbox inset="0,0,0,0">
                    <w:txbxContent>
                      <w:p>
                        <w:pPr>
                          <w:spacing w:before="0" w:after="160" w:line="259" w:lineRule="auto"/>
                        </w:pPr>
                        <w:r>
                          <w:rPr>
                            <w:rFonts w:cs="Segoe UI Symbol" w:hAnsi="Segoe UI Symbol" w:eastAsia="Segoe UI Symbol" w:ascii="Segoe UI Symbol"/>
                            <w:sz w:val="22"/>
                          </w:rPr>
                          <w:t xml:space="preserve"></w:t>
                        </w:r>
                      </w:p>
                    </w:txbxContent>
                  </v:textbox>
                </v:rect>
                <v:rect id="Rectangle 40753" style="position:absolute;width:518;height:2079;left:2928;top:0;" filled="f" stroked="f">
                  <v:textbox inset="0,0,0,0">
                    <w:txbxContent>
                      <w:p>
                        <w:pPr>
                          <w:spacing w:before="0" w:after="160" w:line="259" w:lineRule="auto"/>
                        </w:pPr>
                        <w:r>
                          <w:rPr>
                            <w:rFonts w:cs="Arial" w:hAnsi="Arial" w:eastAsia="Arial" w:ascii="Arial"/>
                            <w:sz w:val="22"/>
                          </w:rPr>
                          <w:t xml:space="preserve"> </w:t>
                        </w:r>
                      </w:p>
                    </w:txbxContent>
                  </v:textbox>
                </v:rect>
                <v:rect id="Rectangle 40754" style="position:absolute;width:33062;height:2079;left:4574;top:0;" filled="f" stroked="f">
                  <v:textbox inset="0,0,0,0">
                    <w:txbxContent>
                      <w:p>
                        <w:pPr>
                          <w:spacing w:before="0" w:after="160" w:line="259" w:lineRule="auto"/>
                        </w:pPr>
                        <w:r>
                          <w:rPr>
                            <w:rFonts w:cs="Arial" w:hAnsi="Arial" w:eastAsia="Arial" w:ascii="Arial"/>
                            <w:sz w:val="22"/>
                          </w:rPr>
                          <w:t xml:space="preserve">Dada una tasa de descuento del 2,30%.</w:t>
                        </w:r>
                      </w:p>
                    </w:txbxContent>
                  </v:textbox>
                </v:rect>
                <v:rect id="Rectangle 40755" style="position:absolute;width:518;height:2079;left:29434;top:0;" filled="f" stroked="f">
                  <v:textbox inset="0,0,0,0">
                    <w:txbxContent>
                      <w:p>
                        <w:pPr>
                          <w:spacing w:before="0" w:after="160" w:line="259" w:lineRule="auto"/>
                        </w:pPr>
                        <w:r>
                          <w:rPr>
                            <w:rFonts w:cs="Arial" w:hAnsi="Arial" w:eastAsia="Arial" w:ascii="Arial"/>
                            <w:sz w:val="22"/>
                          </w:rPr>
                          <w:t xml:space="preserve"> </w:t>
                        </w:r>
                      </w:p>
                    </w:txbxContent>
                  </v:textbox>
                </v:rect>
                <v:rect id="Rectangle 40756" style="position:absolute;width:518;height:2079;left:4574;top:1604;" filled="f" stroked="f">
                  <v:textbox inset="0,0,0,0">
                    <w:txbxContent>
                      <w:p>
                        <w:pPr>
                          <w:spacing w:before="0" w:after="160" w:line="259" w:lineRule="auto"/>
                        </w:pPr>
                        <w:r>
                          <w:rPr>
                            <w:rFonts w:cs="Arial" w:hAnsi="Arial" w:eastAsia="Arial" w:ascii="Arial"/>
                            <w:sz w:val="22"/>
                          </w:rPr>
                          <w:t xml:space="preserve"> </w:t>
                        </w:r>
                      </w:p>
                    </w:txbxContent>
                  </v:textbox>
                </v:rect>
                <v:rect id="Rectangle 40757" style="position:absolute;width:506;height:2243;left:54099;top:3117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40766" style="position:absolute;width:54010;height:29260;left:0;top:3186;" filled="f">
                  <v:imagedata r:id="rId71"/>
                </v:shape>
                <v:shape id="Shape 40843" style="position:absolute;width:2301;height:6004;left:50535;top:26473;" coordsize="230124,600456" path="m0,600456l230124,600456l230124,0l0,0x">
                  <v:stroke weight="0.96pt" endcap="flat" joinstyle="miter" miterlimit="10" on="true" color="#ff0000"/>
                  <v:fill on="false" color="#000000" opacity="0"/>
                </v:shape>
              </v:group>
            </w:pict>
          </mc:Fallback>
        </mc:AlternateContent>
      </w:r>
    </w:p>
    <w:p w:rsidR="00FF384B" w:rsidRDefault="003E3BA9">
      <w:pPr>
        <w:spacing w:after="0"/>
        <w:ind w:left="283"/>
      </w:pPr>
      <w:r>
        <w:rPr>
          <w:rFonts w:ascii="Times New Roman" w:eastAsia="Times New Roman" w:hAnsi="Times New Roman" w:cs="Times New Roman"/>
          <w:sz w:val="24"/>
        </w:rPr>
        <w:t xml:space="preserve"> </w:t>
      </w:r>
    </w:p>
    <w:tbl>
      <w:tblPr>
        <w:tblStyle w:val="TableGrid"/>
        <w:tblW w:w="8497" w:type="dxa"/>
        <w:tblInd w:w="287" w:type="dxa"/>
        <w:tblCellMar>
          <w:top w:w="18" w:type="dxa"/>
          <w:left w:w="22" w:type="dxa"/>
          <w:bottom w:w="1" w:type="dxa"/>
          <w:right w:w="33" w:type="dxa"/>
        </w:tblCellMar>
        <w:tblLook w:val="04A0" w:firstRow="1" w:lastRow="0" w:firstColumn="1" w:lastColumn="0" w:noHBand="0" w:noVBand="1"/>
      </w:tblPr>
      <w:tblGrid>
        <w:gridCol w:w="2946"/>
        <w:gridCol w:w="925"/>
        <w:gridCol w:w="925"/>
        <w:gridCol w:w="925"/>
        <w:gridCol w:w="925"/>
        <w:gridCol w:w="925"/>
        <w:gridCol w:w="926"/>
      </w:tblGrid>
      <w:tr w:rsidR="00FF384B">
        <w:trPr>
          <w:trHeight w:val="179"/>
        </w:trPr>
        <w:tc>
          <w:tcPr>
            <w:tcW w:w="2946" w:type="dxa"/>
            <w:tcBorders>
              <w:top w:val="single" w:sz="4" w:space="0" w:color="D4D4D4"/>
              <w:left w:val="single" w:sz="4" w:space="0" w:color="D4D4D4"/>
              <w:bottom w:val="single" w:sz="4" w:space="0" w:color="000000"/>
              <w:right w:val="single" w:sz="4" w:space="0" w:color="D4D4D4"/>
            </w:tcBorders>
          </w:tcPr>
          <w:p w:rsidR="00FF384B" w:rsidRDefault="00FF384B"/>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ago-20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9"/>
              <w:jc w:val="center"/>
            </w:pPr>
            <w:r>
              <w:rPr>
                <w:rFonts w:ascii="Arial" w:eastAsia="Arial" w:hAnsi="Arial" w:cs="Arial"/>
                <w:sz w:val="14"/>
              </w:rPr>
              <w:t>sep-20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oct-20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0"/>
              <w:jc w:val="center"/>
            </w:pPr>
            <w:r>
              <w:rPr>
                <w:rFonts w:ascii="Arial" w:eastAsia="Arial" w:hAnsi="Arial" w:cs="Arial"/>
                <w:sz w:val="14"/>
              </w:rPr>
              <w:t>nov-20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dic-20</w:t>
            </w:r>
          </w:p>
        </w:tc>
        <w:tc>
          <w:tcPr>
            <w:tcW w:w="926"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8"/>
              <w:jc w:val="center"/>
            </w:pPr>
            <w:r>
              <w:rPr>
                <w:rFonts w:ascii="Arial" w:eastAsia="Arial" w:hAnsi="Arial" w:cs="Arial"/>
                <w:sz w:val="14"/>
              </w:rPr>
              <w:t>ene-21</w:t>
            </w:r>
          </w:p>
        </w:tc>
      </w:tr>
      <w:tr w:rsidR="00FF384B">
        <w:trPr>
          <w:trHeight w:val="188"/>
        </w:trPr>
        <w:tc>
          <w:tcPr>
            <w:tcW w:w="294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
              <w:jc w:val="center"/>
            </w:pPr>
            <w:r>
              <w:rPr>
                <w:rFonts w:ascii="Arial" w:eastAsia="Arial" w:hAnsi="Arial" w:cs="Arial"/>
                <w:b/>
                <w:sz w:val="14"/>
              </w:rPr>
              <w:t>Rentabilidad obligaciones a 10 años.</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0,29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0"/>
              <w:jc w:val="center"/>
            </w:pPr>
            <w:r>
              <w:rPr>
                <w:rFonts w:ascii="Arial" w:eastAsia="Arial" w:hAnsi="Arial" w:cs="Arial"/>
                <w:sz w:val="14"/>
              </w:rPr>
              <w:t>0,27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0,17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0,04</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8"/>
              <w:jc w:val="center"/>
            </w:pPr>
            <w:r>
              <w:rPr>
                <w:rFonts w:ascii="Arial" w:eastAsia="Arial" w:hAnsi="Arial" w:cs="Arial"/>
                <w:sz w:val="14"/>
              </w:rPr>
              <w:t>0,08</w:t>
            </w:r>
          </w:p>
        </w:tc>
      </w:tr>
      <w:tr w:rsidR="00FF384B">
        <w:trPr>
          <w:trHeight w:val="179"/>
        </w:trPr>
        <w:tc>
          <w:tcPr>
            <w:tcW w:w="4796" w:type="dxa"/>
            <w:gridSpan w:val="3"/>
            <w:vMerge w:val="restart"/>
            <w:tcBorders>
              <w:top w:val="single" w:sz="4" w:space="0" w:color="000000"/>
              <w:left w:val="single" w:sz="4" w:space="0" w:color="D4D4D4"/>
              <w:bottom w:val="single" w:sz="4" w:space="0" w:color="D4D4D4"/>
              <w:right w:val="single" w:sz="4" w:space="0" w:color="000000"/>
            </w:tcBorders>
            <w:vAlign w:val="bottom"/>
          </w:tcPr>
          <w:p w:rsidR="00FF384B" w:rsidRDefault="003E3BA9">
            <w:pPr>
              <w:spacing w:after="0"/>
            </w:pPr>
            <w:r>
              <w:rPr>
                <w:rFonts w:ascii="Arial" w:eastAsia="Arial" w:hAnsi="Arial" w:cs="Arial"/>
                <w:color w:val="808080"/>
                <w:sz w:val="12"/>
              </w:rPr>
              <w:t>Fuente: BANCO DE ESPAÑA/ SÍNTESIS DE INDICADORES 05/03/2021</w:t>
            </w:r>
          </w:p>
        </w:tc>
        <w:tc>
          <w:tcPr>
            <w:tcW w:w="925" w:type="dxa"/>
            <w:tcBorders>
              <w:top w:val="single" w:sz="4" w:space="0" w:color="000000"/>
              <w:left w:val="single" w:sz="4" w:space="0" w:color="D4D4D4"/>
              <w:bottom w:val="single" w:sz="4" w:space="0" w:color="000000"/>
              <w:right w:val="single" w:sz="4" w:space="0" w:color="D4D4D4"/>
            </w:tcBorders>
          </w:tcPr>
          <w:p w:rsidR="00FF384B" w:rsidRDefault="00FF384B"/>
        </w:tc>
        <w:tc>
          <w:tcPr>
            <w:tcW w:w="925" w:type="dxa"/>
            <w:tcBorders>
              <w:top w:val="single" w:sz="4" w:space="0" w:color="000000"/>
              <w:left w:val="single" w:sz="4" w:space="0" w:color="D4D4D4"/>
              <w:bottom w:val="single" w:sz="4" w:space="0" w:color="000000"/>
              <w:right w:val="single" w:sz="4" w:space="0" w:color="000000"/>
            </w:tcBorders>
          </w:tcPr>
          <w:p w:rsidR="00FF384B" w:rsidRDefault="00FF384B"/>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sz w:val="14"/>
              </w:rPr>
              <w:t>Media</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sz w:val="14"/>
              </w:rPr>
              <w:t>0,16</w:t>
            </w:r>
          </w:p>
        </w:tc>
      </w:tr>
      <w:tr w:rsidR="00FF384B">
        <w:trPr>
          <w:trHeight w:val="188"/>
        </w:trPr>
        <w:tc>
          <w:tcPr>
            <w:tcW w:w="0" w:type="auto"/>
            <w:gridSpan w:val="3"/>
            <w:vMerge/>
            <w:tcBorders>
              <w:top w:val="nil"/>
              <w:left w:val="single" w:sz="4" w:space="0" w:color="D4D4D4"/>
              <w:bottom w:val="single" w:sz="4" w:space="0" w:color="D4D4D4"/>
              <w:right w:val="single" w:sz="4" w:space="0" w:color="000000"/>
            </w:tcBorders>
          </w:tcPr>
          <w:p w:rsidR="00FF384B" w:rsidRDefault="00FF384B"/>
        </w:tc>
        <w:tc>
          <w:tcPr>
            <w:tcW w:w="2775" w:type="dxa"/>
            <w:gridSpan w:val="3"/>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b/>
                <w:sz w:val="14"/>
              </w:rPr>
              <w:t>Tasa de descuento: Media+200 (b)</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b/>
                <w:sz w:val="14"/>
              </w:rPr>
              <w:t>2,16</w:t>
            </w:r>
          </w:p>
        </w:tc>
      </w:tr>
    </w:tbl>
    <w:p w:rsidR="00FF384B" w:rsidRDefault="003E3BA9">
      <w:pPr>
        <w:spacing w:after="0"/>
        <w:ind w:left="283"/>
      </w:pPr>
      <w:r>
        <w:rPr>
          <w:rFonts w:ascii="Times New Roman" w:eastAsia="Times New Roman" w:hAnsi="Times New Roman" w:cs="Times New Roman"/>
          <w:sz w:val="24"/>
        </w:rPr>
        <w:t xml:space="preserve"> </w:t>
      </w:r>
    </w:p>
    <w:p w:rsidR="00FF384B" w:rsidRDefault="003E3BA9">
      <w:pPr>
        <w:spacing w:after="0" w:line="240" w:lineRule="auto"/>
        <w:ind w:left="293" w:right="247" w:hanging="10"/>
        <w:jc w:val="both"/>
      </w:pPr>
      <w:r>
        <w:rPr>
          <w:rFonts w:ascii="Arial" w:eastAsia="Arial" w:hAnsi="Arial" w:cs="Arial"/>
          <w:sz w:val="24"/>
        </w:rPr>
        <w:t xml:space="preserve">El periodo de recuperación de las inversiones se calcula en base de la normativa de aplicación en la siguiente tabla: </w:t>
      </w:r>
    </w:p>
    <w:p w:rsidR="00FF384B" w:rsidRDefault="003E3BA9">
      <w:pPr>
        <w:spacing w:after="0"/>
        <w:ind w:left="283"/>
      </w:pPr>
      <w:r>
        <w:rPr>
          <w:rFonts w:ascii="Times New Roman" w:eastAsia="Times New Roman" w:hAnsi="Times New Roman" w:cs="Times New Roman"/>
          <w:sz w:val="24"/>
        </w:rPr>
        <w:t xml:space="preserve"> </w:t>
      </w:r>
    </w:p>
    <w:p w:rsidR="00FF384B" w:rsidRDefault="00FF384B">
      <w:pPr>
        <w:sectPr w:rsidR="00FF384B">
          <w:headerReference w:type="even" r:id="rId72"/>
          <w:headerReference w:type="default" r:id="rId73"/>
          <w:footerReference w:type="even" r:id="rId74"/>
          <w:footerReference w:type="default" r:id="rId75"/>
          <w:headerReference w:type="first" r:id="rId76"/>
          <w:footerReference w:type="first" r:id="rId77"/>
          <w:pgSz w:w="14174" w:h="16838"/>
          <w:pgMar w:top="2834" w:right="2579" w:bottom="572" w:left="2553" w:header="720" w:footer="720" w:gutter="0"/>
          <w:cols w:space="720"/>
          <w:titlePg/>
        </w:sectPr>
      </w:pPr>
    </w:p>
    <w:p w:rsidR="00FF384B" w:rsidRDefault="003E3BA9">
      <w:pPr>
        <w:spacing w:after="5257"/>
      </w:pPr>
      <w:r>
        <w:rPr>
          <w:noProof/>
        </w:rPr>
        <w:drawing>
          <wp:inline distT="0" distB="0" distL="0" distR="0">
            <wp:extent cx="611124" cy="701040"/>
            <wp:effectExtent l="0" t="0" r="0" b="0"/>
            <wp:docPr id="40882" name="Picture 40882"/>
            <wp:cNvGraphicFramePr/>
            <a:graphic xmlns:a="http://schemas.openxmlformats.org/drawingml/2006/main">
              <a:graphicData uri="http://schemas.openxmlformats.org/drawingml/2006/picture">
                <pic:pic xmlns:pic="http://schemas.openxmlformats.org/drawingml/2006/picture">
                  <pic:nvPicPr>
                    <pic:cNvPr id="40882" name="Picture 40882"/>
                    <pic:cNvPicPr/>
                  </pic:nvPicPr>
                  <pic:blipFill>
                    <a:blip r:embed="rId78"/>
                    <a:stretch>
                      <a:fillRect/>
                    </a:stretch>
                  </pic:blipFill>
                  <pic:spPr>
                    <a:xfrm>
                      <a:off x="0" y="0"/>
                      <a:ext cx="611124" cy="70104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3767"/>
      </w:pPr>
      <w:r>
        <w:rPr>
          <w:rFonts w:ascii="Times New Roman" w:eastAsia="Times New Roman" w:hAnsi="Times New Roman" w:cs="Times New Roman"/>
          <w:sz w:val="24"/>
        </w:rPr>
        <w:t xml:space="preserve"> </w:t>
      </w:r>
    </w:p>
    <w:p w:rsidR="00FF384B" w:rsidRDefault="003E3BA9">
      <w:pPr>
        <w:spacing w:after="0"/>
        <w:ind w:right="3767"/>
      </w:pPr>
      <w:r>
        <w:rPr>
          <w:rFonts w:ascii="Times New Roman" w:eastAsia="Times New Roman" w:hAnsi="Times New Roman" w:cs="Times New Roman"/>
          <w:sz w:val="24"/>
        </w:rPr>
        <w:t xml:space="preserve"> </w:t>
      </w:r>
    </w:p>
    <w:tbl>
      <w:tblPr>
        <w:tblStyle w:val="TableGrid"/>
        <w:tblpPr w:vertAnchor="text" w:tblpX="-280" w:tblpY="-5891"/>
        <w:tblOverlap w:val="never"/>
        <w:tblW w:w="13420" w:type="dxa"/>
        <w:tblInd w:w="0" w:type="dxa"/>
        <w:tblCellMar>
          <w:top w:w="9" w:type="dxa"/>
          <w:left w:w="20" w:type="dxa"/>
          <w:bottom w:w="0" w:type="dxa"/>
          <w:right w:w="20" w:type="dxa"/>
        </w:tblCellMar>
        <w:tblLook w:val="04A0" w:firstRow="1" w:lastRow="0" w:firstColumn="1" w:lastColumn="0" w:noHBand="0" w:noVBand="1"/>
      </w:tblPr>
      <w:tblGrid>
        <w:gridCol w:w="3160"/>
        <w:gridCol w:w="1273"/>
        <w:gridCol w:w="1581"/>
        <w:gridCol w:w="1179"/>
        <w:gridCol w:w="1038"/>
        <w:gridCol w:w="1037"/>
        <w:gridCol w:w="1037"/>
        <w:gridCol w:w="1038"/>
        <w:gridCol w:w="1038"/>
        <w:gridCol w:w="1037"/>
      </w:tblGrid>
      <w:tr w:rsidR="00FF384B">
        <w:trPr>
          <w:trHeight w:val="176"/>
        </w:trPr>
        <w:tc>
          <w:tcPr>
            <w:tcW w:w="3160" w:type="dxa"/>
            <w:tcBorders>
              <w:top w:val="single" w:sz="3" w:space="0" w:color="D4D4D4"/>
              <w:left w:val="single" w:sz="3" w:space="0" w:color="D4D4D4"/>
              <w:bottom w:val="single" w:sz="3" w:space="0" w:color="D4D4D4"/>
              <w:right w:val="nil"/>
            </w:tcBorders>
          </w:tcPr>
          <w:p w:rsidR="00FF384B" w:rsidRDefault="00FF384B"/>
        </w:tc>
        <w:tc>
          <w:tcPr>
            <w:tcW w:w="10259" w:type="dxa"/>
            <w:gridSpan w:val="9"/>
            <w:tcBorders>
              <w:top w:val="single" w:sz="3" w:space="0" w:color="D4D4D4"/>
              <w:left w:val="nil"/>
              <w:bottom w:val="single" w:sz="3" w:space="0" w:color="D4D4D4"/>
              <w:right w:val="single" w:sz="3" w:space="0" w:color="D4D4D4"/>
            </w:tcBorders>
          </w:tcPr>
          <w:p w:rsidR="00FF384B" w:rsidRDefault="003E3BA9">
            <w:pPr>
              <w:spacing w:after="0"/>
              <w:ind w:left="1759"/>
            </w:pPr>
            <w:r>
              <w:rPr>
                <w:rFonts w:ascii="Arial" w:eastAsia="Arial" w:hAnsi="Arial" w:cs="Arial"/>
                <w:b/>
                <w:sz w:val="13"/>
              </w:rPr>
              <w:t>PERIODO DE RECUPERACIÓN DE LA INVERSIÓN (PRI)</w:t>
            </w:r>
          </w:p>
        </w:tc>
      </w:tr>
      <w:tr w:rsidR="00FF384B">
        <w:trPr>
          <w:trHeight w:val="176"/>
        </w:trPr>
        <w:tc>
          <w:tcPr>
            <w:tcW w:w="3160" w:type="dxa"/>
            <w:tcBorders>
              <w:top w:val="single" w:sz="3" w:space="0" w:color="D4D4D4"/>
              <w:left w:val="single" w:sz="3" w:space="0" w:color="D4D4D4"/>
              <w:bottom w:val="single" w:sz="3" w:space="0" w:color="D4D4D4"/>
              <w:right w:val="single" w:sz="3" w:space="0" w:color="D4D4D4"/>
            </w:tcBorders>
          </w:tcPr>
          <w:p w:rsidR="00FF384B" w:rsidRDefault="00FF384B"/>
        </w:tc>
        <w:tc>
          <w:tcPr>
            <w:tcW w:w="1273" w:type="dxa"/>
            <w:tcBorders>
              <w:top w:val="single" w:sz="3" w:space="0" w:color="D4D4D4"/>
              <w:left w:val="single" w:sz="3" w:space="0" w:color="D4D4D4"/>
              <w:bottom w:val="single" w:sz="3" w:space="0" w:color="D4D4D4"/>
              <w:right w:val="single" w:sz="3" w:space="0" w:color="D4D4D4"/>
            </w:tcBorders>
          </w:tcPr>
          <w:p w:rsidR="00FF384B" w:rsidRDefault="00FF384B"/>
        </w:tc>
        <w:tc>
          <w:tcPr>
            <w:tcW w:w="1581" w:type="dxa"/>
            <w:tcBorders>
              <w:top w:val="single" w:sz="3" w:space="0" w:color="D4D4D4"/>
              <w:left w:val="single" w:sz="3" w:space="0" w:color="D4D4D4"/>
              <w:bottom w:val="single" w:sz="3" w:space="0" w:color="D4D4D4"/>
              <w:right w:val="single" w:sz="3" w:space="0" w:color="D4D4D4"/>
            </w:tcBorders>
          </w:tcPr>
          <w:p w:rsidR="00FF384B" w:rsidRDefault="00FF384B"/>
        </w:tc>
        <w:tc>
          <w:tcPr>
            <w:tcW w:w="1179"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r>
      <w:tr w:rsidR="00FF384B">
        <w:trPr>
          <w:trHeight w:val="166"/>
        </w:trPr>
        <w:tc>
          <w:tcPr>
            <w:tcW w:w="3160" w:type="dxa"/>
            <w:tcBorders>
              <w:top w:val="single" w:sz="3" w:space="0" w:color="D4D4D4"/>
              <w:left w:val="single" w:sz="3" w:space="0" w:color="D4D4D4"/>
              <w:bottom w:val="single" w:sz="3" w:space="0" w:color="000000"/>
              <w:right w:val="nil"/>
            </w:tcBorders>
          </w:tcPr>
          <w:p w:rsidR="00FF384B" w:rsidRDefault="00FF384B"/>
        </w:tc>
        <w:tc>
          <w:tcPr>
            <w:tcW w:w="10259" w:type="dxa"/>
            <w:gridSpan w:val="9"/>
            <w:tcBorders>
              <w:top w:val="single" w:sz="3" w:space="0" w:color="D4D4D4"/>
              <w:left w:val="nil"/>
              <w:bottom w:val="single" w:sz="3" w:space="0" w:color="000000"/>
              <w:right w:val="single" w:sz="3" w:space="0" w:color="D4D4D4"/>
            </w:tcBorders>
          </w:tcPr>
          <w:p w:rsidR="00FF384B" w:rsidRDefault="003E3BA9">
            <w:pPr>
              <w:spacing w:after="0"/>
              <w:ind w:right="13"/>
              <w:jc w:val="right"/>
            </w:pPr>
            <w:r>
              <w:rPr>
                <w:rFonts w:ascii="Arial" w:eastAsia="Arial" w:hAnsi="Arial" w:cs="Arial"/>
                <w:sz w:val="13"/>
              </w:rPr>
              <w:t>EN Miles de €</w:t>
            </w:r>
          </w:p>
        </w:tc>
      </w:tr>
      <w:tr w:rsidR="00FF384B">
        <w:trPr>
          <w:trHeight w:val="177"/>
        </w:trPr>
        <w:tc>
          <w:tcPr>
            <w:tcW w:w="3160" w:type="dxa"/>
            <w:vMerge w:val="restart"/>
            <w:tcBorders>
              <w:top w:val="single" w:sz="3" w:space="0" w:color="000000"/>
              <w:left w:val="single" w:sz="3" w:space="0" w:color="000000"/>
              <w:bottom w:val="single" w:sz="3" w:space="0" w:color="000000"/>
              <w:right w:val="single" w:sz="3" w:space="0" w:color="000000"/>
            </w:tcBorders>
            <w:vAlign w:val="center"/>
          </w:tcPr>
          <w:p w:rsidR="00FF384B" w:rsidRDefault="003E3BA9">
            <w:pPr>
              <w:spacing w:after="0"/>
              <w:ind w:left="5"/>
              <w:jc w:val="center"/>
            </w:pPr>
            <w:r>
              <w:rPr>
                <w:rFonts w:ascii="Arial" w:eastAsia="Arial" w:hAnsi="Arial" w:cs="Arial"/>
                <w:b/>
                <w:sz w:val="16"/>
              </w:rPr>
              <w:t>CONCEPTO</w:t>
            </w:r>
          </w:p>
        </w:tc>
        <w:tc>
          <w:tcPr>
            <w:tcW w:w="10259" w:type="dxa"/>
            <w:gridSpan w:val="9"/>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Años</w:t>
            </w:r>
          </w:p>
        </w:tc>
      </w:tr>
      <w:tr w:rsidR="00FF384B">
        <w:trPr>
          <w:trHeight w:val="177"/>
        </w:trPr>
        <w:tc>
          <w:tcPr>
            <w:tcW w:w="0" w:type="auto"/>
            <w:vMerge/>
            <w:tcBorders>
              <w:top w:val="nil"/>
              <w:left w:val="single" w:sz="3" w:space="0" w:color="000000"/>
              <w:bottom w:val="nil"/>
              <w:right w:val="single" w:sz="3" w:space="0" w:color="000000"/>
            </w:tcBorders>
          </w:tcPr>
          <w:p w:rsidR="00FF384B" w:rsidRDefault="00FF384B"/>
        </w:tc>
        <w:tc>
          <w:tcPr>
            <w:tcW w:w="1273"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2021</w:t>
            </w:r>
          </w:p>
        </w:tc>
        <w:tc>
          <w:tcPr>
            <w:tcW w:w="1581"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2021</w:t>
            </w:r>
          </w:p>
        </w:tc>
        <w:tc>
          <w:tcPr>
            <w:tcW w:w="1179"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2022</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2023</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2024</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2025</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2026</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2027</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2028</w:t>
            </w:r>
          </w:p>
        </w:tc>
      </w:tr>
      <w:tr w:rsidR="00FF384B">
        <w:trPr>
          <w:trHeight w:val="165"/>
        </w:trPr>
        <w:tc>
          <w:tcPr>
            <w:tcW w:w="0" w:type="auto"/>
            <w:vMerge/>
            <w:tcBorders>
              <w:top w:val="nil"/>
              <w:left w:val="single" w:sz="3" w:space="0" w:color="000000"/>
              <w:bottom w:val="single" w:sz="3" w:space="0" w:color="000000"/>
              <w:right w:val="single" w:sz="3" w:space="0" w:color="000000"/>
            </w:tcBorders>
          </w:tcPr>
          <w:p w:rsidR="00FF384B" w:rsidRDefault="00FF384B"/>
        </w:tc>
        <w:tc>
          <w:tcPr>
            <w:tcW w:w="1273"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1"/>
              <w:jc w:val="center"/>
            </w:pPr>
            <w:r>
              <w:rPr>
                <w:rFonts w:ascii="Arial" w:eastAsia="Arial" w:hAnsi="Arial" w:cs="Arial"/>
                <w:sz w:val="10"/>
              </w:rPr>
              <w:t>0</w:t>
            </w:r>
          </w:p>
        </w:tc>
        <w:tc>
          <w:tcPr>
            <w:tcW w:w="1581"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1</w:t>
            </w:r>
          </w:p>
        </w:tc>
        <w:tc>
          <w:tcPr>
            <w:tcW w:w="1179"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2</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3</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4</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5</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6</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4"/>
              <w:jc w:val="center"/>
            </w:pPr>
            <w:r>
              <w:rPr>
                <w:rFonts w:ascii="Arial" w:eastAsia="Arial" w:hAnsi="Arial" w:cs="Arial"/>
                <w:sz w:val="10"/>
              </w:rPr>
              <w:t>7</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5"/>
              <w:jc w:val="center"/>
            </w:pPr>
            <w:r>
              <w:rPr>
                <w:rFonts w:ascii="Arial" w:eastAsia="Arial" w:hAnsi="Arial" w:cs="Arial"/>
                <w:sz w:val="10"/>
              </w:rPr>
              <w:t>8</w:t>
            </w:r>
          </w:p>
        </w:tc>
      </w:tr>
      <w:tr w:rsidR="00FF384B">
        <w:trPr>
          <w:trHeight w:val="181"/>
        </w:trPr>
        <w:tc>
          <w:tcPr>
            <w:tcW w:w="3160" w:type="dxa"/>
            <w:tcBorders>
              <w:top w:val="single" w:sz="3" w:space="0" w:color="000000"/>
              <w:left w:val="single" w:sz="3" w:space="0" w:color="000000"/>
              <w:bottom w:val="nil"/>
              <w:right w:val="single" w:sz="3" w:space="0" w:color="000000"/>
            </w:tcBorders>
            <w:shd w:val="clear" w:color="auto" w:fill="C4BD97"/>
          </w:tcPr>
          <w:p w:rsidR="00FF384B" w:rsidRDefault="003E3BA9">
            <w:pPr>
              <w:spacing w:after="0"/>
              <w:ind w:left="8"/>
            </w:pPr>
            <w:r>
              <w:rPr>
                <w:rFonts w:ascii="Arial" w:eastAsia="Arial" w:hAnsi="Arial" w:cs="Arial"/>
                <w:b/>
                <w:sz w:val="13"/>
              </w:rPr>
              <w:t>INGRESOS ANUALES ESTIMADOS</w:t>
            </w:r>
          </w:p>
        </w:tc>
        <w:tc>
          <w:tcPr>
            <w:tcW w:w="1273"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581"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179"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Contrato Ayto</w:t>
            </w:r>
          </w:p>
        </w:tc>
        <w:tc>
          <w:tcPr>
            <w:tcW w:w="1273" w:type="dxa"/>
            <w:tcBorders>
              <w:top w:val="nil"/>
              <w:left w:val="single" w:sz="3" w:space="0" w:color="000000"/>
              <w:bottom w:val="single" w:sz="3" w:space="0" w:color="D4D4D4"/>
              <w:right w:val="single" w:sz="3" w:space="0" w:color="000000"/>
            </w:tcBorders>
          </w:tcPr>
          <w:p w:rsidR="00FF384B" w:rsidRDefault="00FF384B"/>
        </w:tc>
        <w:tc>
          <w:tcPr>
            <w:tcW w:w="1581"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179"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w:t>
            </w:r>
            <w:r>
              <w:rPr>
                <w:rFonts w:ascii="Arial" w:eastAsia="Arial" w:hAnsi="Arial" w:cs="Arial"/>
                <w:sz w:val="13"/>
              </w:rPr>
              <w:t>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2.908.246,11 €</w:t>
            </w:r>
          </w:p>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Venta Selectiva</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80.000,00 €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FF384B"/>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FF384B"/>
        </w:tc>
        <w:tc>
          <w:tcPr>
            <w:tcW w:w="1179"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r>
      <w:tr w:rsidR="00FF384B">
        <w:trPr>
          <w:trHeight w:val="172"/>
        </w:trPr>
        <w:tc>
          <w:tcPr>
            <w:tcW w:w="3160" w:type="dxa"/>
            <w:tcBorders>
              <w:top w:val="nil"/>
              <w:left w:val="single" w:sz="3" w:space="0" w:color="000000"/>
              <w:bottom w:val="nil"/>
              <w:right w:val="single" w:sz="3" w:space="0" w:color="000000"/>
            </w:tcBorders>
            <w:shd w:val="clear" w:color="auto" w:fill="C4BD97"/>
          </w:tcPr>
          <w:p w:rsidR="00FF384B" w:rsidRDefault="003E3BA9">
            <w:pPr>
              <w:spacing w:after="0"/>
            </w:pPr>
            <w:r>
              <w:rPr>
                <w:rFonts w:ascii="Arial" w:eastAsia="Arial" w:hAnsi="Arial" w:cs="Arial"/>
                <w:sz w:val="13"/>
              </w:rPr>
              <w:t>TOTAL INGRESOS</w:t>
            </w:r>
          </w:p>
        </w:tc>
        <w:tc>
          <w:tcPr>
            <w:tcW w:w="1273" w:type="dxa"/>
            <w:tcBorders>
              <w:top w:val="nil"/>
              <w:left w:val="single" w:sz="3" w:space="0" w:color="000000"/>
              <w:bottom w:val="nil"/>
              <w:right w:val="single" w:sz="3" w:space="0" w:color="000000"/>
            </w:tcBorders>
            <w:shd w:val="clear" w:color="auto" w:fill="C4BD97"/>
          </w:tcPr>
          <w:p w:rsidR="00FF384B" w:rsidRDefault="00FF384B"/>
        </w:tc>
        <w:tc>
          <w:tcPr>
            <w:tcW w:w="1581"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179"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2"/>
            </w:pPr>
            <w:r>
              <w:rPr>
                <w:rFonts w:ascii="Arial" w:eastAsia="Arial" w:hAnsi="Arial" w:cs="Arial"/>
                <w:sz w:val="13"/>
              </w:rPr>
              <w:t xml:space="preserve">    2.988.246,11 €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80"/>
        </w:trPr>
        <w:tc>
          <w:tcPr>
            <w:tcW w:w="3160" w:type="dxa"/>
            <w:tcBorders>
              <w:top w:val="nil"/>
              <w:left w:val="single" w:sz="3" w:space="0" w:color="000000"/>
              <w:bottom w:val="nil"/>
              <w:right w:val="single" w:sz="3" w:space="0" w:color="000000"/>
            </w:tcBorders>
            <w:shd w:val="clear" w:color="auto" w:fill="FABF8F"/>
          </w:tcPr>
          <w:p w:rsidR="00FF384B" w:rsidRDefault="003E3BA9">
            <w:pPr>
              <w:spacing w:after="0"/>
            </w:pPr>
            <w:r>
              <w:rPr>
                <w:rFonts w:ascii="Arial" w:eastAsia="Arial" w:hAnsi="Arial" w:cs="Arial"/>
                <w:b/>
                <w:sz w:val="13"/>
              </w:rPr>
              <w:t>GASTOS ANUALES ESTIMADOS</w:t>
            </w:r>
          </w:p>
        </w:tc>
        <w:tc>
          <w:tcPr>
            <w:tcW w:w="1273" w:type="dxa"/>
            <w:tcBorders>
              <w:top w:val="nil"/>
              <w:left w:val="single" w:sz="3" w:space="0" w:color="000000"/>
              <w:bottom w:val="nil"/>
              <w:right w:val="single" w:sz="3" w:space="0" w:color="000000"/>
            </w:tcBorders>
            <w:shd w:val="clear" w:color="auto" w:fill="FABF8F"/>
          </w:tcPr>
          <w:p w:rsidR="00FF384B" w:rsidRDefault="00FF384B"/>
        </w:tc>
        <w:tc>
          <w:tcPr>
            <w:tcW w:w="1581" w:type="dxa"/>
            <w:tcBorders>
              <w:top w:val="nil"/>
              <w:left w:val="single" w:sz="3" w:space="0" w:color="000000"/>
              <w:bottom w:val="nil"/>
              <w:right w:val="single" w:sz="3" w:space="0" w:color="000000"/>
            </w:tcBorders>
            <w:shd w:val="clear" w:color="auto" w:fill="FABF8F"/>
          </w:tcPr>
          <w:p w:rsidR="00FF384B" w:rsidRDefault="00FF384B"/>
        </w:tc>
        <w:tc>
          <w:tcPr>
            <w:tcW w:w="1179"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Inversion parque movil</w:t>
            </w:r>
          </w:p>
        </w:tc>
        <w:tc>
          <w:tcPr>
            <w:tcW w:w="1273" w:type="dxa"/>
            <w:tcBorders>
              <w:top w:val="nil"/>
              <w:left w:val="single" w:sz="3" w:space="0" w:color="000000"/>
              <w:bottom w:val="single" w:sz="3" w:space="0" w:color="D4D4D4"/>
              <w:right w:val="single" w:sz="3" w:space="0" w:color="000000"/>
            </w:tcBorders>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single" w:sz="3" w:space="0" w:color="D4D4D4"/>
              <w:right w:val="single" w:sz="3" w:space="0" w:color="000000"/>
            </w:tcBorders>
          </w:tcPr>
          <w:p w:rsidR="00FF384B" w:rsidRDefault="00FF384B"/>
        </w:tc>
        <w:tc>
          <w:tcPr>
            <w:tcW w:w="1179"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Personal</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1.870.715,18 €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1.910.000,20 €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1.936.740,20 €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1.963.854,56 €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1.991.348,53 €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2.019.227,40 €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2.047.496,59 €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2.076.161,54 €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coste medios materiales</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278.588,32 €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282.488,56 €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286.443,40 €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290.453,60 €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294.519,95 €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298.643,23 €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302.824,24 €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307.063,78 €</w:t>
            </w:r>
          </w:p>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3E3BA9">
            <w:pPr>
              <w:spacing w:after="0"/>
            </w:pPr>
            <w:r>
              <w:rPr>
                <w:rFonts w:ascii="Arial" w:eastAsia="Arial" w:hAnsi="Arial" w:cs="Arial"/>
                <w:sz w:val="13"/>
              </w:rPr>
              <w:t>Gastos generales</w:t>
            </w:r>
          </w:p>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xml:space="preserve">-                       </w:t>
            </w:r>
            <w:r>
              <w:rPr>
                <w:rFonts w:ascii="Arial" w:eastAsia="Arial" w:hAnsi="Arial" w:cs="Arial"/>
                <w:sz w:val="13"/>
              </w:rPr>
              <w:t>133.930,00 €</w:t>
            </w:r>
          </w:p>
        </w:tc>
        <w:tc>
          <w:tcPr>
            <w:tcW w:w="1179"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8"/>
            </w:pPr>
            <w:r>
              <w:rPr>
                <w:rFonts w:ascii="Arial" w:eastAsia="Arial" w:hAnsi="Arial" w:cs="Arial"/>
                <w:sz w:val="13"/>
              </w:rPr>
              <w:t>-       133.930,00 €</w:t>
            </w:r>
          </w:p>
        </w:tc>
      </w:tr>
      <w:tr w:rsidR="00FF384B">
        <w:trPr>
          <w:trHeight w:val="172"/>
        </w:trPr>
        <w:tc>
          <w:tcPr>
            <w:tcW w:w="3160" w:type="dxa"/>
            <w:tcBorders>
              <w:top w:val="nil"/>
              <w:left w:val="single" w:sz="3" w:space="0" w:color="000000"/>
              <w:bottom w:val="nil"/>
              <w:right w:val="single" w:sz="3" w:space="0" w:color="000000"/>
            </w:tcBorders>
            <w:shd w:val="clear" w:color="auto" w:fill="F79646"/>
          </w:tcPr>
          <w:p w:rsidR="00FF384B" w:rsidRDefault="003E3BA9">
            <w:pPr>
              <w:spacing w:after="0"/>
            </w:pPr>
            <w:r>
              <w:rPr>
                <w:rFonts w:ascii="Arial" w:eastAsia="Arial" w:hAnsi="Arial" w:cs="Arial"/>
                <w:sz w:val="13"/>
              </w:rPr>
              <w:t>TOTAL DE GASTOS</w:t>
            </w:r>
          </w:p>
        </w:tc>
        <w:tc>
          <w:tcPr>
            <w:tcW w:w="1273" w:type="dxa"/>
            <w:tcBorders>
              <w:top w:val="nil"/>
              <w:left w:val="single" w:sz="3" w:space="0" w:color="000000"/>
              <w:bottom w:val="nil"/>
              <w:right w:val="single" w:sz="3" w:space="0" w:color="000000"/>
            </w:tcBorders>
            <w:shd w:val="clear" w:color="auto" w:fill="F79646"/>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2.283.233,50 €</w:t>
            </w:r>
          </w:p>
        </w:tc>
        <w:tc>
          <w:tcPr>
            <w:tcW w:w="1179"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xml:space="preserve">-        </w:t>
            </w:r>
            <w:r>
              <w:rPr>
                <w:rFonts w:ascii="Arial" w:eastAsia="Arial" w:hAnsi="Arial" w:cs="Arial"/>
                <w:sz w:val="13"/>
              </w:rPr>
              <w:t>2.326.418,76 €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2.357.113,60 €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2.388.238,17 €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2.419.798,48 €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2.451.800,64 €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2.484.250,83 €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8"/>
            </w:pPr>
            <w:r>
              <w:rPr>
                <w:rFonts w:ascii="Arial" w:eastAsia="Arial" w:hAnsi="Arial" w:cs="Arial"/>
                <w:sz w:val="13"/>
              </w:rPr>
              <w:t>-    2.517.155,32 €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vAlign w:val="center"/>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76"/>
        </w:trPr>
        <w:tc>
          <w:tcPr>
            <w:tcW w:w="3160" w:type="dxa"/>
            <w:tcBorders>
              <w:top w:val="nil"/>
              <w:left w:val="single" w:sz="3" w:space="0" w:color="000000"/>
              <w:bottom w:val="nil"/>
              <w:right w:val="single" w:sz="3" w:space="0" w:color="000000"/>
            </w:tcBorders>
            <w:shd w:val="clear" w:color="auto" w:fill="C4D79B"/>
          </w:tcPr>
          <w:p w:rsidR="00FF384B" w:rsidRDefault="003E3BA9">
            <w:pPr>
              <w:spacing w:after="0"/>
              <w:ind w:left="8"/>
            </w:pPr>
            <w:r>
              <w:rPr>
                <w:rFonts w:ascii="Arial" w:eastAsia="Arial" w:hAnsi="Arial" w:cs="Arial"/>
                <w:b/>
                <w:sz w:val="13"/>
              </w:rPr>
              <w:t>Flujo de caja</w:t>
            </w:r>
          </w:p>
        </w:tc>
        <w:tc>
          <w:tcPr>
            <w:tcW w:w="1273" w:type="dxa"/>
            <w:tcBorders>
              <w:top w:val="nil"/>
              <w:left w:val="single" w:sz="3" w:space="0" w:color="000000"/>
              <w:bottom w:val="nil"/>
              <w:right w:val="single" w:sz="3" w:space="0" w:color="000000"/>
            </w:tcBorders>
            <w:shd w:val="clear" w:color="auto" w:fill="C4D79B"/>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705.012,60 €</w:t>
            </w:r>
          </w:p>
        </w:tc>
        <w:tc>
          <w:tcPr>
            <w:tcW w:w="1179"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661.827,35 €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w:t>
            </w:r>
            <w:r>
              <w:rPr>
                <w:rFonts w:ascii="Arial" w:eastAsia="Arial" w:hAnsi="Arial" w:cs="Arial"/>
                <w:sz w:val="13"/>
              </w:rPr>
              <w:t>631.132,51 €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600.007,94 €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568.447,62 €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536.445,46 €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503.995,27 €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0"/>
            </w:pPr>
            <w:r>
              <w:rPr>
                <w:rFonts w:ascii="Arial" w:eastAsia="Arial" w:hAnsi="Arial" w:cs="Arial"/>
                <w:sz w:val="13"/>
              </w:rPr>
              <w:t xml:space="preserve">       471.090,78 €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vAlign w:val="center"/>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209"/>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FLUJO NETO DE CAJA Definitivo (FC</w:t>
            </w:r>
            <w:r>
              <w:rPr>
                <w:rFonts w:ascii="Arial" w:eastAsia="Arial" w:hAnsi="Arial" w:cs="Arial"/>
                <w:sz w:val="13"/>
                <w:vertAlign w:val="subscript"/>
              </w:rPr>
              <w:t>t</w:t>
            </w:r>
            <w:r>
              <w:rPr>
                <w:rFonts w:ascii="Arial" w:eastAsia="Arial" w:hAnsi="Arial" w:cs="Arial"/>
                <w:sz w:val="13"/>
              </w:rPr>
              <w:t>)</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705012,60</w:t>
            </w:r>
          </w:p>
        </w:tc>
        <w:tc>
          <w:tcPr>
            <w:tcW w:w="1179"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661827,35</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631132,51</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600007,94</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568447,62</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536445,46</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503995,27</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9"/>
              <w:jc w:val="center"/>
            </w:pPr>
            <w:r>
              <w:rPr>
                <w:rFonts w:ascii="Arial" w:eastAsia="Arial" w:hAnsi="Arial" w:cs="Arial"/>
                <w:sz w:val="13"/>
              </w:rPr>
              <w:t>471090,78</w:t>
            </w:r>
          </w:p>
        </w:tc>
      </w:tr>
      <w:tr w:rsidR="00FF384B">
        <w:trPr>
          <w:trHeight w:val="172"/>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Tasa de descuento (b)</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12"/>
              <w:jc w:val="center"/>
            </w:pPr>
            <w:r>
              <w:rPr>
                <w:rFonts w:ascii="Arial" w:eastAsia="Arial" w:hAnsi="Arial" w:cs="Arial"/>
                <w:sz w:val="13"/>
              </w:rPr>
              <w:t>2,16</w:t>
            </w:r>
          </w:p>
        </w:tc>
        <w:tc>
          <w:tcPr>
            <w:tcW w:w="1581" w:type="dxa"/>
            <w:tcBorders>
              <w:top w:val="nil"/>
              <w:left w:val="single" w:sz="3" w:space="0" w:color="000000"/>
              <w:bottom w:val="nil"/>
              <w:right w:val="single" w:sz="3" w:space="0" w:color="000000"/>
            </w:tcBorders>
            <w:shd w:val="clear" w:color="auto" w:fill="808080"/>
          </w:tcPr>
          <w:p w:rsidR="00FF384B" w:rsidRDefault="00FF384B"/>
        </w:tc>
        <w:tc>
          <w:tcPr>
            <w:tcW w:w="1179"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r>
      <w:tr w:rsidR="00FF384B">
        <w:trPr>
          <w:trHeight w:val="201"/>
        </w:trPr>
        <w:tc>
          <w:tcPr>
            <w:tcW w:w="3160" w:type="dxa"/>
            <w:tcBorders>
              <w:top w:val="nil"/>
              <w:left w:val="single" w:sz="3" w:space="0" w:color="000000"/>
              <w:bottom w:val="nil"/>
              <w:right w:val="single" w:sz="3" w:space="0" w:color="000000"/>
            </w:tcBorders>
          </w:tcPr>
          <w:p w:rsidR="00FF384B" w:rsidRDefault="003E3BA9">
            <w:pPr>
              <w:spacing w:after="0"/>
              <w:jc w:val="right"/>
            </w:pPr>
            <w:r>
              <w:rPr>
                <w:rFonts w:ascii="Arial" w:eastAsia="Arial" w:hAnsi="Arial" w:cs="Arial"/>
                <w:sz w:val="13"/>
              </w:rPr>
              <w:t>A efectos del pago siguiente:</w:t>
            </w:r>
          </w:p>
        </w:tc>
        <w:tc>
          <w:tcPr>
            <w:tcW w:w="1273" w:type="dxa"/>
            <w:tcBorders>
              <w:top w:val="nil"/>
              <w:left w:val="single" w:sz="3" w:space="0" w:color="000000"/>
              <w:bottom w:val="nil"/>
              <w:right w:val="single" w:sz="3" w:space="0" w:color="000000"/>
            </w:tcBorders>
          </w:tcPr>
          <w:p w:rsidR="00FF384B" w:rsidRDefault="003E3BA9">
            <w:pPr>
              <w:spacing w:after="0"/>
              <w:ind w:left="69"/>
            </w:pPr>
            <w:r>
              <w:rPr>
                <w:rFonts w:ascii="Arial" w:eastAsia="Arial" w:hAnsi="Arial" w:cs="Arial"/>
                <w:sz w:val="13"/>
              </w:rPr>
              <w:t>FC</w:t>
            </w:r>
            <w:r>
              <w:rPr>
                <w:rFonts w:ascii="Arial" w:eastAsia="Arial" w:hAnsi="Arial" w:cs="Arial"/>
                <w:sz w:val="13"/>
                <w:vertAlign w:val="subscript"/>
              </w:rPr>
              <w:t>0</w:t>
            </w:r>
            <w:r>
              <w:rPr>
                <w:rFonts w:ascii="Arial" w:eastAsia="Arial" w:hAnsi="Arial" w:cs="Arial"/>
                <w:sz w:val="13"/>
              </w:rPr>
              <w:t>/(1,0216)^0=FC</w:t>
            </w:r>
            <w:r>
              <w:rPr>
                <w:rFonts w:ascii="Arial" w:eastAsia="Arial" w:hAnsi="Arial" w:cs="Arial"/>
                <w:sz w:val="13"/>
                <w:vertAlign w:val="subscript"/>
              </w:rPr>
              <w:t>0</w:t>
            </w:r>
          </w:p>
        </w:tc>
        <w:tc>
          <w:tcPr>
            <w:tcW w:w="1581" w:type="dxa"/>
            <w:tcBorders>
              <w:top w:val="nil"/>
              <w:left w:val="single" w:sz="3" w:space="0" w:color="000000"/>
              <w:bottom w:val="nil"/>
              <w:right w:val="single" w:sz="3" w:space="0" w:color="000000"/>
            </w:tcBorders>
          </w:tcPr>
          <w:p w:rsidR="00FF384B" w:rsidRDefault="003E3BA9">
            <w:pPr>
              <w:spacing w:after="0"/>
              <w:ind w:left="5"/>
              <w:jc w:val="center"/>
            </w:pPr>
            <w:r>
              <w:rPr>
                <w:rFonts w:ascii="Arial" w:eastAsia="Arial" w:hAnsi="Arial" w:cs="Arial"/>
                <w:sz w:val="13"/>
              </w:rPr>
              <w:t>FC</w:t>
            </w:r>
            <w:r>
              <w:rPr>
                <w:rFonts w:ascii="Arial" w:eastAsia="Arial" w:hAnsi="Arial" w:cs="Arial"/>
                <w:sz w:val="13"/>
                <w:vertAlign w:val="subscript"/>
              </w:rPr>
              <w:t>1</w:t>
            </w:r>
            <w:r>
              <w:rPr>
                <w:rFonts w:ascii="Arial" w:eastAsia="Arial" w:hAnsi="Arial" w:cs="Arial"/>
                <w:sz w:val="13"/>
              </w:rPr>
              <w:t>/(1,0216)=FC</w:t>
            </w:r>
            <w:r>
              <w:rPr>
                <w:rFonts w:ascii="Arial" w:eastAsia="Arial" w:hAnsi="Arial" w:cs="Arial"/>
                <w:sz w:val="13"/>
                <w:vertAlign w:val="subscript"/>
              </w:rPr>
              <w:t>1</w:t>
            </w:r>
          </w:p>
        </w:tc>
        <w:tc>
          <w:tcPr>
            <w:tcW w:w="1179" w:type="dxa"/>
            <w:tcBorders>
              <w:top w:val="nil"/>
              <w:left w:val="single" w:sz="3" w:space="0" w:color="000000"/>
              <w:bottom w:val="nil"/>
              <w:right w:val="single" w:sz="3" w:space="0" w:color="000000"/>
            </w:tcBorders>
          </w:tcPr>
          <w:p w:rsidR="00FF384B" w:rsidRDefault="003E3BA9">
            <w:pPr>
              <w:spacing w:after="0"/>
              <w:ind w:left="11"/>
              <w:jc w:val="center"/>
            </w:pPr>
            <w:r>
              <w:rPr>
                <w:rFonts w:ascii="Arial" w:eastAsia="Arial" w:hAnsi="Arial" w:cs="Arial"/>
                <w:sz w:val="13"/>
              </w:rPr>
              <w:t>FC</w:t>
            </w:r>
            <w:r>
              <w:rPr>
                <w:rFonts w:ascii="Arial" w:eastAsia="Arial" w:hAnsi="Arial" w:cs="Arial"/>
                <w:sz w:val="13"/>
                <w:vertAlign w:val="subscript"/>
              </w:rPr>
              <w:t>2</w:t>
            </w:r>
            <w:r>
              <w:rPr>
                <w:rFonts w:ascii="Arial" w:eastAsia="Arial" w:hAnsi="Arial" w:cs="Arial"/>
                <w:sz w:val="13"/>
              </w:rPr>
              <w:t>/(1,0216)^2</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3</w:t>
            </w:r>
            <w:r>
              <w:rPr>
                <w:rFonts w:ascii="Arial" w:eastAsia="Arial" w:hAnsi="Arial" w:cs="Arial"/>
                <w:sz w:val="13"/>
              </w:rPr>
              <w:t>/(1,0216)^3</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4</w:t>
            </w:r>
            <w:r>
              <w:rPr>
                <w:rFonts w:ascii="Arial" w:eastAsia="Arial" w:hAnsi="Arial" w:cs="Arial"/>
                <w:sz w:val="13"/>
              </w:rPr>
              <w:t>/(1,0216)^4</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5</w:t>
            </w:r>
            <w:r>
              <w:rPr>
                <w:rFonts w:ascii="Arial" w:eastAsia="Arial" w:hAnsi="Arial" w:cs="Arial"/>
                <w:sz w:val="13"/>
              </w:rPr>
              <w:t>/(1,0216)^5</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6</w:t>
            </w:r>
            <w:r>
              <w:rPr>
                <w:rFonts w:ascii="Arial" w:eastAsia="Arial" w:hAnsi="Arial" w:cs="Arial"/>
                <w:sz w:val="13"/>
              </w:rPr>
              <w:t>/(1,0216)^6</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7</w:t>
            </w:r>
            <w:r>
              <w:rPr>
                <w:rFonts w:ascii="Arial" w:eastAsia="Arial" w:hAnsi="Arial" w:cs="Arial"/>
                <w:sz w:val="13"/>
              </w:rPr>
              <w:t>/(1,0216)^7</w:t>
            </w:r>
          </w:p>
        </w:tc>
        <w:tc>
          <w:tcPr>
            <w:tcW w:w="1037" w:type="dxa"/>
            <w:tcBorders>
              <w:top w:val="nil"/>
              <w:left w:val="single" w:sz="3" w:space="0" w:color="000000"/>
              <w:bottom w:val="nil"/>
              <w:right w:val="single" w:sz="3" w:space="0" w:color="000000"/>
            </w:tcBorders>
          </w:tcPr>
          <w:p w:rsidR="00FF384B" w:rsidRDefault="003E3BA9">
            <w:pPr>
              <w:spacing w:after="0"/>
              <w:ind w:left="92"/>
            </w:pPr>
            <w:r>
              <w:rPr>
                <w:rFonts w:ascii="Arial" w:eastAsia="Arial" w:hAnsi="Arial" w:cs="Arial"/>
                <w:sz w:val="13"/>
              </w:rPr>
              <w:t>FC</w:t>
            </w:r>
            <w:r>
              <w:rPr>
                <w:rFonts w:ascii="Arial" w:eastAsia="Arial" w:hAnsi="Arial" w:cs="Arial"/>
                <w:sz w:val="13"/>
                <w:vertAlign w:val="subscript"/>
              </w:rPr>
              <w:t>8</w:t>
            </w:r>
            <w:r>
              <w:rPr>
                <w:rFonts w:ascii="Arial" w:eastAsia="Arial" w:hAnsi="Arial" w:cs="Arial"/>
                <w:sz w:val="13"/>
              </w:rPr>
              <w:t>/(1,0230)^8</w:t>
            </w:r>
          </w:p>
        </w:tc>
      </w:tr>
      <w:tr w:rsidR="00FF384B">
        <w:trPr>
          <w:trHeight w:val="176"/>
        </w:trPr>
        <w:tc>
          <w:tcPr>
            <w:tcW w:w="3160" w:type="dxa"/>
            <w:tcBorders>
              <w:top w:val="nil"/>
              <w:left w:val="single" w:sz="3" w:space="0" w:color="000000"/>
              <w:bottom w:val="nil"/>
              <w:right w:val="single" w:sz="3" w:space="0" w:color="000000"/>
            </w:tcBorders>
            <w:shd w:val="clear" w:color="auto" w:fill="E6B8B7"/>
          </w:tcPr>
          <w:p w:rsidR="00FF384B" w:rsidRDefault="003E3BA9">
            <w:pPr>
              <w:spacing w:after="0"/>
            </w:pPr>
            <w:r>
              <w:rPr>
                <w:rFonts w:ascii="Arial" w:eastAsia="Arial" w:hAnsi="Arial" w:cs="Arial"/>
                <w:sz w:val="13"/>
              </w:rPr>
              <w:t>Flujos descontados al origen</w:t>
            </w:r>
          </w:p>
        </w:tc>
        <w:tc>
          <w:tcPr>
            <w:tcW w:w="1273" w:type="dxa"/>
            <w:tcBorders>
              <w:top w:val="nil"/>
              <w:left w:val="single" w:sz="3" w:space="0" w:color="000000"/>
              <w:bottom w:val="nil"/>
              <w:right w:val="single" w:sz="3" w:space="0" w:color="000000"/>
            </w:tcBorders>
            <w:shd w:val="clear" w:color="auto" w:fill="E6B8B7"/>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690106,31</w:t>
            </w:r>
          </w:p>
        </w:tc>
        <w:tc>
          <w:tcPr>
            <w:tcW w:w="1179"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634136,78</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591940,28</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550850,13</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510841,34</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471889,45</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433970,57</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9"/>
              <w:jc w:val="center"/>
            </w:pPr>
            <w:r>
              <w:rPr>
                <w:rFonts w:ascii="Arial" w:eastAsia="Arial" w:hAnsi="Arial" w:cs="Arial"/>
                <w:sz w:val="13"/>
              </w:rPr>
              <w:t>397061,27</w:t>
            </w:r>
          </w:p>
        </w:tc>
      </w:tr>
      <w:tr w:rsidR="00FF384B">
        <w:trPr>
          <w:trHeight w:val="162"/>
        </w:trPr>
        <w:tc>
          <w:tcPr>
            <w:tcW w:w="3160" w:type="dxa"/>
            <w:tcBorders>
              <w:top w:val="nil"/>
              <w:left w:val="single" w:sz="3" w:space="0" w:color="000000"/>
              <w:bottom w:val="single" w:sz="3" w:space="0" w:color="000000"/>
              <w:right w:val="single" w:sz="3" w:space="0" w:color="000000"/>
            </w:tcBorders>
          </w:tcPr>
          <w:p w:rsidR="00FF384B" w:rsidRDefault="003E3BA9">
            <w:pPr>
              <w:spacing w:after="0"/>
            </w:pPr>
            <w:r>
              <w:rPr>
                <w:rFonts w:ascii="Arial" w:eastAsia="Arial" w:hAnsi="Arial" w:cs="Arial"/>
                <w:sz w:val="13"/>
              </w:rPr>
              <w:t>FLUJOS DE CAJA ACUMULADOS DESCONTADOS</w:t>
            </w:r>
          </w:p>
        </w:tc>
        <w:tc>
          <w:tcPr>
            <w:tcW w:w="1273" w:type="dxa"/>
            <w:tcBorders>
              <w:top w:val="nil"/>
              <w:left w:val="single" w:sz="3" w:space="0" w:color="000000"/>
              <w:bottom w:val="single" w:sz="3" w:space="0" w:color="000000"/>
              <w:right w:val="single" w:sz="3" w:space="0" w:color="000000"/>
            </w:tcBorders>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-2878248,29</w:t>
            </w:r>
          </w:p>
        </w:tc>
        <w:tc>
          <w:tcPr>
            <w:tcW w:w="1179"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-2244111,52</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-1652171,23</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-1101321,10</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-590479,77</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-118590,31</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10"/>
              <w:jc w:val="center"/>
            </w:pPr>
            <w:r>
              <w:rPr>
                <w:rFonts w:ascii="Arial" w:eastAsia="Arial" w:hAnsi="Arial" w:cs="Arial"/>
                <w:sz w:val="13"/>
              </w:rPr>
              <w:t>315380,25</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9"/>
              <w:jc w:val="center"/>
            </w:pPr>
            <w:r>
              <w:rPr>
                <w:rFonts w:ascii="Arial" w:eastAsia="Arial" w:hAnsi="Arial" w:cs="Arial"/>
                <w:sz w:val="13"/>
              </w:rPr>
              <w:t>712441,53</w:t>
            </w:r>
          </w:p>
        </w:tc>
      </w:tr>
      <w:tr w:rsidR="00FF384B">
        <w:trPr>
          <w:trHeight w:val="203"/>
        </w:trPr>
        <w:tc>
          <w:tcPr>
            <w:tcW w:w="3160" w:type="dxa"/>
            <w:tcBorders>
              <w:top w:val="single" w:sz="3" w:space="0" w:color="000000"/>
              <w:left w:val="single" w:sz="3" w:space="0" w:color="D4D4D4"/>
              <w:bottom w:val="single" w:sz="3" w:space="0" w:color="D4D4D4"/>
              <w:right w:val="nil"/>
            </w:tcBorders>
          </w:tcPr>
          <w:p w:rsidR="00FF384B" w:rsidRDefault="00FF384B"/>
        </w:tc>
        <w:tc>
          <w:tcPr>
            <w:tcW w:w="1273" w:type="dxa"/>
            <w:vMerge w:val="restart"/>
            <w:tcBorders>
              <w:top w:val="single" w:sz="3" w:space="0" w:color="000000"/>
              <w:left w:val="nil"/>
              <w:bottom w:val="single" w:sz="3" w:space="0" w:color="D4D4D4"/>
              <w:right w:val="single" w:sz="3" w:space="0" w:color="000000"/>
            </w:tcBorders>
          </w:tcPr>
          <w:p w:rsidR="00FF384B" w:rsidRDefault="00FF384B"/>
        </w:tc>
        <w:tc>
          <w:tcPr>
            <w:tcW w:w="6911" w:type="dxa"/>
            <w:gridSpan w:val="6"/>
            <w:tcBorders>
              <w:top w:val="single" w:sz="3" w:space="0" w:color="000000"/>
              <w:left w:val="single" w:sz="3" w:space="0" w:color="000000"/>
              <w:bottom w:val="single" w:sz="3" w:space="0" w:color="000000"/>
              <w:right w:val="nil"/>
            </w:tcBorders>
            <w:shd w:val="clear" w:color="auto" w:fill="FF0000"/>
          </w:tcPr>
          <w:p w:rsidR="00FF384B" w:rsidRDefault="003E3BA9">
            <w:pPr>
              <w:spacing w:after="0"/>
              <w:ind w:left="528"/>
            </w:pPr>
            <w:r>
              <w:rPr>
                <w:rFonts w:ascii="Arial" w:eastAsia="Arial" w:hAnsi="Arial" w:cs="Arial"/>
                <w:b/>
                <w:sz w:val="16"/>
              </w:rPr>
              <w:t>años de recuperacion de inversión</w:t>
            </w:r>
          </w:p>
        </w:tc>
        <w:tc>
          <w:tcPr>
            <w:tcW w:w="1038" w:type="dxa"/>
            <w:tcBorders>
              <w:top w:val="single" w:sz="3" w:space="0" w:color="000000"/>
              <w:left w:val="nil"/>
              <w:bottom w:val="single" w:sz="3" w:space="0" w:color="000000"/>
              <w:right w:val="single" w:sz="3" w:space="0" w:color="000000"/>
            </w:tcBorders>
            <w:shd w:val="clear" w:color="auto" w:fill="00B050"/>
          </w:tcPr>
          <w:p w:rsidR="00FF384B" w:rsidRDefault="00FF384B"/>
        </w:tc>
        <w:tc>
          <w:tcPr>
            <w:tcW w:w="1037" w:type="dxa"/>
            <w:tcBorders>
              <w:top w:val="single" w:sz="3" w:space="0" w:color="000000"/>
              <w:left w:val="single" w:sz="3" w:space="0" w:color="000000"/>
              <w:bottom w:val="single" w:sz="3" w:space="0" w:color="D4D4D4"/>
              <w:right w:val="single" w:sz="3" w:space="0" w:color="D4D4D4"/>
            </w:tcBorders>
          </w:tcPr>
          <w:p w:rsidR="00FF384B" w:rsidRDefault="00FF384B"/>
        </w:tc>
      </w:tr>
      <w:tr w:rsidR="00FF384B">
        <w:trPr>
          <w:trHeight w:val="156"/>
        </w:trPr>
        <w:tc>
          <w:tcPr>
            <w:tcW w:w="3160" w:type="dxa"/>
            <w:tcBorders>
              <w:top w:val="single" w:sz="3" w:space="0" w:color="D4D4D4"/>
              <w:left w:val="single" w:sz="3" w:space="0" w:color="D4D4D4"/>
              <w:bottom w:val="single" w:sz="10" w:space="0" w:color="000000"/>
              <w:right w:val="single" w:sz="3" w:space="0" w:color="D4D4D4"/>
            </w:tcBorders>
          </w:tcPr>
          <w:p w:rsidR="00FF384B" w:rsidRDefault="00FF384B"/>
        </w:tc>
        <w:tc>
          <w:tcPr>
            <w:tcW w:w="0" w:type="auto"/>
            <w:vMerge/>
            <w:tcBorders>
              <w:top w:val="nil"/>
              <w:left w:val="nil"/>
              <w:bottom w:val="single" w:sz="3" w:space="0" w:color="D4D4D4"/>
              <w:right w:val="single" w:sz="3" w:space="0" w:color="000000"/>
            </w:tcBorders>
          </w:tcPr>
          <w:p w:rsidR="00FF384B" w:rsidRDefault="00FF384B"/>
        </w:tc>
        <w:tc>
          <w:tcPr>
            <w:tcW w:w="7949" w:type="dxa"/>
            <w:gridSpan w:val="7"/>
            <w:tcBorders>
              <w:top w:val="single" w:sz="3" w:space="0" w:color="000000"/>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duracion del contrato 7 años</w:t>
            </w:r>
          </w:p>
        </w:tc>
        <w:tc>
          <w:tcPr>
            <w:tcW w:w="1037" w:type="dxa"/>
            <w:tcBorders>
              <w:top w:val="single" w:sz="3" w:space="0" w:color="D4D4D4"/>
              <w:left w:val="single" w:sz="3" w:space="0" w:color="000000"/>
              <w:bottom w:val="single" w:sz="3" w:space="0" w:color="D4D4D4"/>
              <w:right w:val="single" w:sz="3" w:space="0" w:color="D4D4D4"/>
            </w:tcBorders>
          </w:tcPr>
          <w:p w:rsidR="00FF384B" w:rsidRDefault="00FF384B"/>
        </w:tc>
      </w:tr>
    </w:tbl>
    <w:p w:rsidR="00FF384B" w:rsidRDefault="003E3BA9">
      <w:pPr>
        <w:spacing w:after="5" w:line="247" w:lineRule="auto"/>
        <w:ind w:left="10" w:right="1272" w:hanging="10"/>
        <w:jc w:val="both"/>
      </w:pPr>
      <w:r>
        <w:rPr>
          <w:noProof/>
        </w:rPr>
        <mc:AlternateContent>
          <mc:Choice Requires="wpg">
            <w:drawing>
              <wp:anchor distT="0" distB="0" distL="114300" distR="114300" simplePos="0" relativeHeight="251888640" behindDoc="0" locked="0" layoutInCell="1" allowOverlap="1">
                <wp:simplePos x="0" y="0"/>
                <wp:positionH relativeFrom="column">
                  <wp:posOffset>1851660</wp:posOffset>
                </wp:positionH>
                <wp:positionV relativeFrom="paragraph">
                  <wp:posOffset>-1516364</wp:posOffset>
                </wp:positionV>
                <wp:extent cx="5353958" cy="3797300"/>
                <wp:effectExtent l="0" t="0" r="0" b="0"/>
                <wp:wrapSquare wrapText="bothSides"/>
                <wp:docPr id="547512" name="Group 547512"/>
                <wp:cNvGraphicFramePr/>
                <a:graphic xmlns:a="http://schemas.openxmlformats.org/drawingml/2006/main">
                  <a:graphicData uri="http://schemas.microsoft.com/office/word/2010/wordprocessingGroup">
                    <wpg:wgp>
                      <wpg:cNvGrpSpPr/>
                      <wpg:grpSpPr>
                        <a:xfrm>
                          <a:off x="0" y="0"/>
                          <a:ext cx="5353958" cy="3797300"/>
                          <a:chOff x="0" y="0"/>
                          <a:chExt cx="5353958" cy="3797300"/>
                        </a:xfrm>
                      </wpg:grpSpPr>
                      <pic:pic xmlns:pic="http://schemas.openxmlformats.org/drawingml/2006/picture">
                        <pic:nvPicPr>
                          <pic:cNvPr id="40885" name="Picture 40885"/>
                          <pic:cNvPicPr/>
                        </pic:nvPicPr>
                        <pic:blipFill>
                          <a:blip r:embed="rId79"/>
                          <a:stretch>
                            <a:fillRect/>
                          </a:stretch>
                        </pic:blipFill>
                        <pic:spPr>
                          <a:xfrm>
                            <a:off x="0" y="3442208"/>
                            <a:ext cx="5189220" cy="266700"/>
                          </a:xfrm>
                          <a:prstGeom prst="rect">
                            <a:avLst/>
                          </a:prstGeom>
                        </pic:spPr>
                      </pic:pic>
                      <pic:pic xmlns:pic="http://schemas.openxmlformats.org/drawingml/2006/picture">
                        <pic:nvPicPr>
                          <pic:cNvPr id="41452" name="Picture 41452"/>
                          <pic:cNvPicPr/>
                        </pic:nvPicPr>
                        <pic:blipFill>
                          <a:blip r:embed="rId62"/>
                          <a:stretch>
                            <a:fillRect/>
                          </a:stretch>
                        </pic:blipFill>
                        <pic:spPr>
                          <a:xfrm rot="-5399999">
                            <a:off x="3108960" y="1720850"/>
                            <a:ext cx="3797299" cy="355600"/>
                          </a:xfrm>
                          <a:prstGeom prst="rect">
                            <a:avLst/>
                          </a:prstGeom>
                        </pic:spPr>
                      </pic:pic>
                      <wps:wsp>
                        <wps:cNvPr id="41453" name="Rectangle 41453"/>
                        <wps:cNvSpPr/>
                        <wps:spPr>
                          <a:xfrm rot="-5399999">
                            <a:off x="2881291"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1454" name="Rectangle 41454"/>
                        <wps:cNvSpPr/>
                        <wps:spPr>
                          <a:xfrm rot="-5399999">
                            <a:off x="3094054"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7512" style="width:421.572pt;height:299pt;position:absolute;mso-position-horizontal-relative:text;mso-position-horizontal:absolute;margin-left:145.8pt;mso-position-vertical-relative:text;margin-top:-119.399pt;" coordsize="53539,37973">
                <v:shape id="Picture 40885" style="position:absolute;width:51892;height:2667;left:0;top:34422;" filled="f">
                  <v:imagedata r:id="rId80"/>
                </v:shape>
                <v:shape id="Picture 41452" style="position:absolute;width:37972;height:3556;left:31089;top:17208;rotation:-89;" filled="f">
                  <v:imagedata r:id="rId63"/>
                </v:shape>
                <v:rect id="Rectangle 41453" style="position:absolute;width:47358;height:1132;left:28812;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1454" style="position:absolute;width:44627;height:1132;left:30940;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224 de 353 </w:t>
                        </w:r>
                      </w:p>
                    </w:txbxContent>
                  </v:textbox>
                </v:rect>
                <w10:wrap type="square"/>
              </v:group>
            </w:pict>
          </mc:Fallback>
        </mc:AlternateContent>
      </w:r>
      <w:r>
        <w:rPr>
          <w:rFonts w:ascii="Arial" w:eastAsia="Arial" w:hAnsi="Arial" w:cs="Arial"/>
        </w:rPr>
        <w:t xml:space="preserve">En base a la fórmula del Artículo 10 del Real Decreto 55/2017, las inversiones se recuperarán el año en el que el valor capital en el origen sea mayor que cero, </w:t>
      </w:r>
      <w:r>
        <w:rPr>
          <w:rFonts w:ascii="Arial" w:eastAsia="Arial" w:hAnsi="Arial" w:cs="Arial"/>
        </w:rPr>
        <w:t xml:space="preserve">por tanto, el estudio determina que el plazo para recuperar las inversiones es de </w:t>
      </w:r>
      <w:r>
        <w:rPr>
          <w:rFonts w:ascii="Arial" w:eastAsia="Arial" w:hAnsi="Arial" w:cs="Arial"/>
          <w:b/>
          <w:u w:val="single" w:color="000000"/>
        </w:rPr>
        <w:t>7 AÑOS.</w:t>
      </w:r>
      <w:r>
        <w:rPr>
          <w:rFonts w:ascii="Times New Roman" w:eastAsia="Times New Roman" w:hAnsi="Times New Roman" w:cs="Times New Roman"/>
          <w:sz w:val="24"/>
        </w:rPr>
        <w:t xml:space="preserve"> </w:t>
      </w:r>
    </w:p>
    <w:p w:rsidR="00FF384B" w:rsidRDefault="003E3BA9">
      <w:pPr>
        <w:spacing w:after="0"/>
        <w:ind w:right="3767"/>
      </w:pPr>
      <w:r>
        <w:rPr>
          <w:rFonts w:ascii="Arial" w:eastAsia="Arial" w:hAnsi="Arial" w:cs="Arial"/>
        </w:rPr>
        <w:t xml:space="preserve"> </w:t>
      </w:r>
    </w:p>
    <w:p w:rsidR="00FF384B" w:rsidRDefault="003E3BA9">
      <w:pPr>
        <w:spacing w:after="2226"/>
        <w:ind w:left="360" w:right="3767"/>
      </w:pPr>
      <w:r>
        <w:rPr>
          <w:rFonts w:ascii="Arial" w:eastAsia="Arial" w:hAnsi="Arial" w:cs="Arial"/>
        </w:rPr>
        <w:t xml:space="preserve"> </w:t>
      </w:r>
    </w:p>
    <w:p w:rsidR="00FF384B" w:rsidRDefault="003E3BA9">
      <w:pPr>
        <w:spacing w:after="345"/>
        <w:ind w:left="10" w:right="1690" w:hanging="10"/>
        <w:jc w:val="right"/>
      </w:pPr>
      <w:r>
        <w:rPr>
          <w:rFonts w:ascii="Times New Roman" w:eastAsia="Times New Roman" w:hAnsi="Times New Roman" w:cs="Times New Roman"/>
          <w:sz w:val="24"/>
        </w:rPr>
        <w:t xml:space="preserve">                                   </w:t>
      </w:r>
      <w:r>
        <w:rPr>
          <w:rFonts w:ascii="Arial" w:eastAsia="Arial" w:hAnsi="Arial" w:cs="Arial"/>
          <w:sz w:val="14"/>
        </w:rPr>
        <w:t>224</w:t>
      </w:r>
      <w:r>
        <w:rPr>
          <w:rFonts w:ascii="Times New Roman" w:eastAsia="Times New Roman" w:hAnsi="Times New Roman" w:cs="Times New Roman"/>
          <w:sz w:val="24"/>
        </w:rPr>
        <w:t xml:space="preserve"> </w:t>
      </w:r>
    </w:p>
    <w:p w:rsidR="00FF384B" w:rsidRDefault="00FF384B">
      <w:pPr>
        <w:sectPr w:rsidR="00FF384B">
          <w:headerReference w:type="even" r:id="rId81"/>
          <w:headerReference w:type="default" r:id="rId82"/>
          <w:footerReference w:type="even" r:id="rId83"/>
          <w:footerReference w:type="default" r:id="rId84"/>
          <w:headerReference w:type="first" r:id="rId85"/>
          <w:footerReference w:type="first" r:id="rId86"/>
          <w:pgSz w:w="19106" w:h="11906" w:orient="landscape"/>
          <w:pgMar w:top="708" w:right="1440" w:bottom="1440" w:left="2552" w:header="720" w:footer="720" w:gutter="0"/>
          <w:cols w:space="720"/>
        </w:sectPr>
      </w:pPr>
    </w:p>
    <w:p w:rsidR="00FF384B" w:rsidRDefault="003E3BA9">
      <w:pPr>
        <w:pStyle w:val="Ttulo2"/>
        <w:shd w:val="clear" w:color="auto" w:fill="E0E0E0"/>
        <w:spacing w:after="233" w:line="249" w:lineRule="auto"/>
        <w:ind w:left="197" w:right="1246"/>
      </w:pPr>
      <w:r>
        <w:t xml:space="preserve">DURACIÓN DEL CONTRATO </w:t>
      </w:r>
    </w:p>
    <w:p w:rsidR="00FF384B" w:rsidRDefault="003E3BA9">
      <w:pPr>
        <w:spacing w:after="216" w:line="247" w:lineRule="auto"/>
        <w:ind w:left="10" w:right="1049" w:hanging="10"/>
        <w:jc w:val="both"/>
      </w:pPr>
      <w:r>
        <w:rPr>
          <w:rFonts w:ascii="Arial" w:eastAsia="Arial" w:hAnsi="Arial" w:cs="Arial"/>
        </w:rPr>
        <w:t xml:space="preserve">Conforme lo dispuesto en el artículo 29.4 de la </w:t>
      </w:r>
      <w:r>
        <w:rPr>
          <w:rFonts w:ascii="Arial" w:eastAsia="Arial" w:hAnsi="Arial" w:cs="Arial"/>
          <w:b/>
        </w:rPr>
        <w:t xml:space="preserve">Ley 9/2017 de Contratos del </w:t>
      </w:r>
      <w:r>
        <w:rPr>
          <w:rFonts w:ascii="Arial" w:eastAsia="Arial" w:hAnsi="Arial" w:cs="Arial"/>
          <w:b/>
        </w:rPr>
        <w:t xml:space="preserve">Sector Público, </w:t>
      </w:r>
      <w:r>
        <w:rPr>
          <w:rFonts w:ascii="Arial" w:eastAsia="Arial" w:hAnsi="Arial" w:cs="Arial"/>
        </w:rPr>
        <w:t xml:space="preserve">se recoge que un contrato de servicios se podrá establecer un plazo de duración superior al establecido cuando </w:t>
      </w:r>
      <w:r>
        <w:rPr>
          <w:rFonts w:ascii="Arial" w:eastAsia="Arial" w:hAnsi="Arial" w:cs="Arial"/>
          <w:b/>
          <w:u w:val="single" w:color="000000"/>
        </w:rPr>
        <w:t>lo exija el periodo de recuperación de la</w:t>
      </w:r>
      <w:r>
        <w:rPr>
          <w:rFonts w:ascii="Arial" w:eastAsia="Arial" w:hAnsi="Arial" w:cs="Arial"/>
          <w:b/>
        </w:rPr>
        <w:t xml:space="preserve"> </w:t>
      </w:r>
      <w:r>
        <w:rPr>
          <w:rFonts w:ascii="Arial" w:eastAsia="Arial" w:hAnsi="Arial" w:cs="Arial"/>
          <w:b/>
          <w:u w:val="single" w:color="000000"/>
        </w:rPr>
        <w:t>inversión directamente relacionadas con el contrato</w:t>
      </w:r>
      <w:r>
        <w:rPr>
          <w:rFonts w:ascii="Arial" w:eastAsia="Arial" w:hAnsi="Arial" w:cs="Arial"/>
          <w:u w:val="single" w:color="000000"/>
        </w:rPr>
        <w:t xml:space="preserve"> </w:t>
      </w:r>
      <w:r>
        <w:rPr>
          <w:rFonts w:ascii="Arial" w:eastAsia="Arial" w:hAnsi="Arial" w:cs="Arial"/>
          <w:b/>
          <w:u w:val="single" w:color="000000"/>
        </w:rPr>
        <w:t>y estas no sean susceptibles</w:t>
      </w:r>
      <w:r>
        <w:rPr>
          <w:rFonts w:ascii="Arial" w:eastAsia="Arial" w:hAnsi="Arial" w:cs="Arial"/>
          <w:b/>
        </w:rPr>
        <w:t xml:space="preserve"> </w:t>
      </w:r>
      <w:r>
        <w:rPr>
          <w:rFonts w:ascii="Arial" w:eastAsia="Arial" w:hAnsi="Arial" w:cs="Arial"/>
          <w:b/>
          <w:u w:val="single" w:color="000000"/>
        </w:rPr>
        <w:t>de utilizarse en el resto de la actividad productiva del contratista o</w:t>
      </w:r>
      <w:r>
        <w:rPr>
          <w:rFonts w:ascii="Arial" w:eastAsia="Arial" w:hAnsi="Arial" w:cs="Arial"/>
          <w:u w:val="single" w:color="000000"/>
        </w:rPr>
        <w:t xml:space="preserve"> </w:t>
      </w:r>
      <w:r>
        <w:rPr>
          <w:rFonts w:ascii="Arial" w:eastAsia="Arial" w:hAnsi="Arial" w:cs="Arial"/>
          <w:b/>
          <w:u w:val="single" w:color="000000"/>
        </w:rPr>
        <w:t>su utilización</w:t>
      </w:r>
      <w:r>
        <w:rPr>
          <w:rFonts w:ascii="Arial" w:eastAsia="Arial" w:hAnsi="Arial" w:cs="Arial"/>
          <w:b/>
        </w:rPr>
        <w:t xml:space="preserve"> </w:t>
      </w:r>
      <w:r>
        <w:rPr>
          <w:rFonts w:ascii="Arial" w:eastAsia="Arial" w:hAnsi="Arial" w:cs="Arial"/>
          <w:b/>
          <w:u w:val="single" w:color="000000"/>
        </w:rPr>
        <w:t>fuera antieconómica</w:t>
      </w:r>
      <w:r>
        <w:rPr>
          <w:rFonts w:ascii="Arial" w:eastAsia="Arial" w:hAnsi="Arial" w:cs="Arial"/>
        </w:rPr>
        <w:t>, siempre que la amortización de dichas inversiones sea un coste relevante en la prestación del suministro o servicio.</w:t>
      </w:r>
      <w:r>
        <w:rPr>
          <w:rFonts w:ascii="Times New Roman" w:eastAsia="Times New Roman" w:hAnsi="Times New Roman" w:cs="Times New Roman"/>
          <w:sz w:val="24"/>
        </w:rPr>
        <w:t xml:space="preserve"> </w:t>
      </w:r>
    </w:p>
    <w:p w:rsidR="00FF384B" w:rsidRDefault="003E3BA9">
      <w:pPr>
        <w:spacing w:after="232" w:line="247" w:lineRule="auto"/>
        <w:ind w:left="10" w:right="244" w:hanging="10"/>
        <w:jc w:val="both"/>
      </w:pPr>
      <w:r>
        <w:rPr>
          <w:rFonts w:ascii="Arial" w:eastAsia="Arial" w:hAnsi="Arial" w:cs="Arial"/>
        </w:rPr>
        <w:t xml:space="preserve">La inversión inicial para este </w:t>
      </w:r>
      <w:r>
        <w:rPr>
          <w:rFonts w:ascii="Arial" w:eastAsia="Arial" w:hAnsi="Arial" w:cs="Arial"/>
        </w:rPr>
        <w:t xml:space="preserve">tipo de contrato es para la adquisición de contenedores, maquinaria y equipos, siendo este coste amortizable un coste relevante en el servicio. </w:t>
      </w:r>
    </w:p>
    <w:p w:rsidR="00FF384B" w:rsidRDefault="003E3BA9">
      <w:pPr>
        <w:spacing w:after="215" w:line="247" w:lineRule="auto"/>
        <w:ind w:left="10" w:right="749" w:hanging="10"/>
        <w:jc w:val="both"/>
      </w:pPr>
      <w:r>
        <w:rPr>
          <w:rFonts w:ascii="Arial" w:eastAsia="Arial" w:hAnsi="Arial" w:cs="Arial"/>
        </w:rPr>
        <w:t xml:space="preserve">Por tanto, la duración del contrato tendrá una duración de </w:t>
      </w:r>
      <w:r>
        <w:rPr>
          <w:rFonts w:ascii="Arial" w:eastAsia="Arial" w:hAnsi="Arial" w:cs="Arial"/>
          <w:b/>
        </w:rPr>
        <w:t>7 años</w:t>
      </w:r>
      <w:r>
        <w:rPr>
          <w:rFonts w:ascii="Arial" w:eastAsia="Arial" w:hAnsi="Arial" w:cs="Arial"/>
        </w:rPr>
        <w:t xml:space="preserve"> </w:t>
      </w:r>
      <w:r>
        <w:rPr>
          <w:rFonts w:ascii="Arial" w:eastAsia="Arial" w:hAnsi="Arial" w:cs="Arial"/>
        </w:rPr>
        <w:t>como refleja el estudio de la recuperación de la inversión.</w:t>
      </w:r>
      <w:r>
        <w:rPr>
          <w:rFonts w:ascii="Times New Roman" w:eastAsia="Times New Roman" w:hAnsi="Times New Roman" w:cs="Times New Roman"/>
          <w:sz w:val="24"/>
        </w:rPr>
        <w:t xml:space="preserve"> </w:t>
      </w:r>
    </w:p>
    <w:p w:rsidR="00FF384B" w:rsidRDefault="003E3BA9">
      <w:pPr>
        <w:spacing w:after="111"/>
        <w:ind w:left="360"/>
      </w:pPr>
      <w:r>
        <w:rPr>
          <w:rFonts w:ascii="Arial" w:eastAsia="Arial" w:hAnsi="Arial" w:cs="Arial"/>
        </w:rPr>
        <w:t xml:space="preserve"> </w:t>
      </w:r>
    </w:p>
    <w:p w:rsidR="00FF384B" w:rsidRDefault="003E3BA9">
      <w:pPr>
        <w:pStyle w:val="Ttulo2"/>
        <w:shd w:val="clear" w:color="auto" w:fill="E0E0E0"/>
        <w:spacing w:after="209" w:line="249" w:lineRule="auto"/>
        <w:ind w:left="197" w:right="1241"/>
      </w:pPr>
      <w:r>
        <w:t>CONCLUSIONES</w:t>
      </w:r>
      <w:r>
        <w:rPr>
          <w:rFonts w:ascii="Times New Roman" w:eastAsia="Times New Roman" w:hAnsi="Times New Roman" w:cs="Times New Roman"/>
          <w:b w:val="0"/>
          <w:sz w:val="24"/>
        </w:rPr>
        <w:t xml:space="preserve"> </w:t>
      </w:r>
    </w:p>
    <w:p w:rsidR="00FF384B" w:rsidRDefault="003E3BA9">
      <w:pPr>
        <w:spacing w:after="5" w:line="247" w:lineRule="auto"/>
        <w:ind w:left="10" w:right="244" w:hanging="10"/>
        <w:jc w:val="both"/>
      </w:pPr>
      <w:r>
        <w:rPr>
          <w:rFonts w:ascii="Arial" w:eastAsia="Arial" w:hAnsi="Arial" w:cs="Arial"/>
        </w:rPr>
        <w:t xml:space="preserve"> El presente estudio demuestra, tras los cálculos anteriormente expuestos, dos aspectos importantes a tener en cuenta: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numPr>
          <w:ilvl w:val="0"/>
          <w:numId w:val="275"/>
        </w:numPr>
        <w:spacing w:after="5" w:line="247" w:lineRule="auto"/>
        <w:ind w:right="1096" w:hanging="10"/>
        <w:jc w:val="both"/>
      </w:pPr>
      <w:r>
        <w:rPr>
          <w:rFonts w:ascii="Arial" w:eastAsia="Arial" w:hAnsi="Arial" w:cs="Arial"/>
        </w:rPr>
        <w:t>En el presente proyecto de licitación, teniendo en cuenta</w:t>
      </w:r>
      <w:r>
        <w:rPr>
          <w:rFonts w:ascii="Arial" w:eastAsia="Arial" w:hAnsi="Arial" w:cs="Arial"/>
        </w:rPr>
        <w:t xml:space="preserve"> los datos de partida del presente estudio, se demuestra que en el periodo “ordinario” de cinco años no resulta posible que el adjudicatario recupere las inversiones realizadas para la prestación del servicio. </w:t>
      </w:r>
    </w:p>
    <w:p w:rsidR="00FF384B" w:rsidRDefault="003E3BA9">
      <w:pPr>
        <w:spacing w:after="0"/>
      </w:pPr>
      <w:r>
        <w:rPr>
          <w:noProof/>
        </w:rPr>
        <mc:AlternateContent>
          <mc:Choice Requires="wpg">
            <w:drawing>
              <wp:anchor distT="0" distB="0" distL="114300" distR="114300" simplePos="0" relativeHeight="2518896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8033" name="Group 48803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1757" name="Picture 41757"/>
                          <pic:cNvPicPr/>
                        </pic:nvPicPr>
                        <pic:blipFill>
                          <a:blip r:embed="rId62"/>
                          <a:stretch>
                            <a:fillRect/>
                          </a:stretch>
                        </pic:blipFill>
                        <pic:spPr>
                          <a:xfrm rot="-5399999">
                            <a:off x="-1720849" y="1720849"/>
                            <a:ext cx="3797300" cy="355601"/>
                          </a:xfrm>
                          <a:prstGeom prst="rect">
                            <a:avLst/>
                          </a:prstGeom>
                        </pic:spPr>
                      </pic:pic>
                      <wps:wsp>
                        <wps:cNvPr id="41758" name="Rectangle 4175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w:t>
                              </w:r>
                              <w:r>
                                <w:rPr>
                                  <w:rFonts w:ascii="Arial" w:eastAsia="Arial" w:hAnsi="Arial" w:cs="Arial"/>
                                  <w:sz w:val="12"/>
                                </w:rPr>
                                <w:t xml:space="preserve"> | Verificación: https://candelaria.sedelectronica.es/ </w:t>
                              </w:r>
                            </w:p>
                          </w:txbxContent>
                        </wps:txbx>
                        <wps:bodyPr horzOverflow="overflow" vert="horz" lIns="0" tIns="0" rIns="0" bIns="0" rtlCol="0">
                          <a:noAutofit/>
                        </wps:bodyPr>
                      </wps:wsp>
                      <wps:wsp>
                        <wps:cNvPr id="41759" name="Rectangle 4175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8033" style="width:41.2715pt;height:299pt;position:absolute;mso-position-horizontal-relative:page;mso-position-horizontal:absolute;margin-left:653.71pt;mso-position-vertical-relative:page;margin-top:512.92pt;" coordsize="5241,37973">
                <v:shape id="Picture 41757" style="position:absolute;width:37973;height:3556;left:-17208;top:17208;rotation:-89;" filled="f">
                  <v:imagedata r:id="rId63"/>
                </v:shape>
                <v:rect id="Rectangle 4175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175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225 de 353 </w:t>
                        </w:r>
                      </w:p>
                    </w:txbxContent>
                  </v:textbox>
                </v:rect>
                <w10:wrap type="square"/>
              </v:group>
            </w:pict>
          </mc:Fallback>
        </mc:AlternateContent>
      </w:r>
      <w:r>
        <w:rPr>
          <w:rFonts w:ascii="Arial" w:eastAsia="Arial" w:hAnsi="Arial" w:cs="Arial"/>
        </w:rPr>
        <w:t xml:space="preserve"> </w:t>
      </w:r>
    </w:p>
    <w:p w:rsidR="00FF384B" w:rsidRDefault="003E3BA9">
      <w:pPr>
        <w:numPr>
          <w:ilvl w:val="0"/>
          <w:numId w:val="275"/>
        </w:numPr>
        <w:spacing w:after="5" w:line="247" w:lineRule="auto"/>
        <w:ind w:right="1096" w:hanging="10"/>
        <w:jc w:val="both"/>
      </w:pPr>
      <w:r>
        <w:rPr>
          <w:rFonts w:ascii="Arial" w:eastAsia="Arial" w:hAnsi="Arial" w:cs="Arial"/>
        </w:rPr>
        <w:t>Si se tiene en cuenta lo señalado en la Ley 9/2017, de 8 de noviembre, de Contratos del Sector Públic</w:t>
      </w:r>
      <w:r>
        <w:rPr>
          <w:rFonts w:ascii="Arial" w:eastAsia="Arial" w:hAnsi="Arial" w:cs="Arial"/>
        </w:rPr>
        <w:t>o, por la que se transponen al ordenamiento jurídico español las Directivas del Parlamento Europeo y del Consejo 2014/23/UE y 2014/24/UE, de 26 de febrero de 2014 que permite elevar la duración máxima del Contrato de Servicios, en caso de ser necesario par</w:t>
      </w:r>
      <w:r>
        <w:rPr>
          <w:rFonts w:ascii="Arial" w:eastAsia="Arial" w:hAnsi="Arial" w:cs="Arial"/>
        </w:rPr>
        <w:t>a la recuperación de las inversiones a llevar a cabo y la Ley 2/2015, de 30 de marzo, de desindexación de la economía española. Artículo 10 Período de recuperación de la inversión de los contratos que establece el tiempo necesario para la recuperación de l</w:t>
      </w:r>
      <w:r>
        <w:rPr>
          <w:rFonts w:ascii="Arial" w:eastAsia="Arial" w:hAnsi="Arial" w:cs="Arial"/>
        </w:rPr>
        <w:t>a inversión y la indicación de permitir al contratista la obtención de unos beneficios sobre el capital invertido en condiciones normales de explotación, se concluye del presente estudio la necesidad de incrementar, en dos, los años de duración del Contrat</w:t>
      </w:r>
      <w:r>
        <w:rPr>
          <w:rFonts w:ascii="Arial" w:eastAsia="Arial" w:hAnsi="Arial" w:cs="Arial"/>
        </w:rPr>
        <w:t xml:space="preserve">o de Servicios para su viabilidad.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09" w:line="247" w:lineRule="auto"/>
        <w:ind w:right="541" w:firstLine="432"/>
        <w:jc w:val="both"/>
      </w:pPr>
      <w:r>
        <w:rPr>
          <w:rFonts w:ascii="Arial" w:eastAsia="Arial" w:hAnsi="Arial" w:cs="Arial"/>
        </w:rPr>
        <w:t xml:space="preserve">Es cuanto se tiene que informar al respecto para los efectos que se estimen oportunos.” </w:t>
      </w:r>
    </w:p>
    <w:p w:rsidR="00FF384B" w:rsidRDefault="003E3BA9">
      <w:pPr>
        <w:spacing w:after="95"/>
      </w:pPr>
      <w:r>
        <w:rPr>
          <w:rFonts w:ascii="Arial" w:eastAsia="Arial" w:hAnsi="Arial" w:cs="Arial"/>
        </w:rPr>
        <w:t xml:space="preserve"> </w:t>
      </w:r>
    </w:p>
    <w:p w:rsidR="00FF384B" w:rsidRDefault="003E3BA9">
      <w:pPr>
        <w:spacing w:after="98"/>
      </w:pPr>
      <w:r>
        <w:rPr>
          <w:rFonts w:ascii="Arial" w:eastAsia="Arial" w:hAnsi="Arial" w:cs="Arial"/>
          <w:b/>
        </w:rPr>
        <w:t xml:space="preserve"> </w:t>
      </w:r>
    </w:p>
    <w:p w:rsidR="00FF384B" w:rsidRDefault="003E3BA9">
      <w:pPr>
        <w:spacing w:after="100"/>
      </w:pPr>
      <w:r>
        <w:rPr>
          <w:rFonts w:ascii="Arial" w:eastAsia="Arial" w:hAnsi="Arial" w:cs="Arial"/>
          <w:b/>
        </w:rPr>
        <w:t xml:space="preserve"> </w:t>
      </w:r>
    </w:p>
    <w:p w:rsidR="00FF384B" w:rsidRDefault="003E3BA9">
      <w:pPr>
        <w:spacing w:after="98"/>
      </w:pPr>
      <w:r>
        <w:rPr>
          <w:rFonts w:ascii="Arial" w:eastAsia="Arial" w:hAnsi="Arial" w:cs="Arial"/>
          <w:b/>
        </w:rPr>
        <w:t xml:space="preserve"> </w:t>
      </w:r>
    </w:p>
    <w:p w:rsidR="00FF384B" w:rsidRDefault="003E3BA9">
      <w:pPr>
        <w:spacing w:after="100"/>
      </w:pPr>
      <w:r>
        <w:rPr>
          <w:rFonts w:ascii="Arial" w:eastAsia="Arial" w:hAnsi="Arial" w:cs="Arial"/>
          <w:b/>
        </w:rPr>
        <w:t xml:space="preserve"> </w:t>
      </w:r>
    </w:p>
    <w:p w:rsidR="00FF384B" w:rsidRDefault="003E3BA9">
      <w:pPr>
        <w:spacing w:after="98"/>
      </w:pPr>
      <w:r>
        <w:rPr>
          <w:rFonts w:ascii="Arial" w:eastAsia="Arial" w:hAnsi="Arial" w:cs="Arial"/>
          <w:b/>
        </w:rPr>
        <w:t xml:space="preserve"> </w:t>
      </w:r>
    </w:p>
    <w:p w:rsidR="00FF384B" w:rsidRDefault="003E3BA9">
      <w:pPr>
        <w:spacing w:after="0"/>
      </w:pPr>
      <w:r>
        <w:rPr>
          <w:rFonts w:ascii="Arial" w:eastAsia="Arial" w:hAnsi="Arial" w:cs="Arial"/>
          <w:b/>
        </w:rPr>
        <w:t xml:space="preserve"> </w:t>
      </w:r>
    </w:p>
    <w:p w:rsidR="00FF384B" w:rsidRDefault="003E3BA9">
      <w:pPr>
        <w:spacing w:after="111" w:line="247" w:lineRule="auto"/>
        <w:ind w:left="3" w:right="1051" w:hanging="3"/>
        <w:jc w:val="both"/>
      </w:pPr>
      <w:r>
        <w:rPr>
          <w:rFonts w:ascii="Arial" w:eastAsia="Arial" w:hAnsi="Arial" w:cs="Arial"/>
          <w:b/>
        </w:rPr>
        <w:t>Consta en el expediente Informe Jurídico emitido por Doña Mª del Pilar Chico Delgado, que desempeña el puesto de Técnico de Administración General, de 21 de abril de 2021, conformado por el Secretario General D. Octavio Manuel Fernández Hernández, de 21 de</w:t>
      </w:r>
      <w:r>
        <w:rPr>
          <w:rFonts w:ascii="Arial" w:eastAsia="Arial" w:hAnsi="Arial" w:cs="Arial"/>
          <w:b/>
        </w:rPr>
        <w:t xml:space="preserve"> abril de 2021 y debidamente fiscalizado por D. Nicolás Rojo Garnica, Interventor Municipal, de 21 de abril de 2021, del siguiente tenor literal:</w:t>
      </w:r>
      <w:r>
        <w:rPr>
          <w:rFonts w:ascii="Arial" w:eastAsia="Arial" w:hAnsi="Arial" w:cs="Arial"/>
        </w:rPr>
        <w:t xml:space="preserve"> </w:t>
      </w:r>
    </w:p>
    <w:p w:rsidR="00FF384B" w:rsidRDefault="003E3BA9">
      <w:pPr>
        <w:spacing w:after="108"/>
      </w:pPr>
      <w:r>
        <w:rPr>
          <w:rFonts w:ascii="Arial" w:eastAsia="Arial" w:hAnsi="Arial" w:cs="Arial"/>
          <w:b/>
        </w:rPr>
        <w:t xml:space="preserve"> </w:t>
      </w:r>
    </w:p>
    <w:p w:rsidR="00FF384B" w:rsidRDefault="003E3BA9">
      <w:pPr>
        <w:pStyle w:val="Ttulo2"/>
        <w:spacing w:after="106"/>
        <w:ind w:left="767" w:right="3525"/>
      </w:pPr>
      <w:r>
        <w:t xml:space="preserve">                      “INFORME                             </w:t>
      </w:r>
      <w:r>
        <w:rPr>
          <w:b w:val="0"/>
        </w:rPr>
        <w:t xml:space="preserve"> </w:t>
      </w:r>
    </w:p>
    <w:p w:rsidR="00FF384B" w:rsidRDefault="003E3BA9">
      <w:pPr>
        <w:spacing w:after="114" w:line="247" w:lineRule="auto"/>
        <w:ind w:left="3" w:right="1055" w:hanging="3"/>
        <w:jc w:val="both"/>
      </w:pPr>
      <w:r>
        <w:rPr>
          <w:rFonts w:ascii="Arial" w:eastAsia="Arial" w:hAnsi="Arial" w:cs="Arial"/>
          <w:b/>
        </w:rPr>
        <w:t xml:space="preserve">Visto el expediente antedicho, la funcionaria </w:t>
      </w:r>
      <w:r>
        <w:rPr>
          <w:rFonts w:ascii="Arial" w:eastAsia="Arial" w:hAnsi="Arial" w:cs="Arial"/>
          <w:b/>
        </w:rPr>
        <w:t>Mª del Pilar Chico Delgado, que desempeña el puesto de trabajo de técnico de adm.gral., debidamente conformado por el Secretario General, debidamente fiscalizado favorablemente por el Interventor Municipal, emite el siguiente informe:</w:t>
      </w:r>
      <w:r>
        <w:rPr>
          <w:rFonts w:ascii="Arial" w:eastAsia="Arial" w:hAnsi="Arial" w:cs="Arial"/>
        </w:rPr>
        <w:t xml:space="preserve"> </w:t>
      </w:r>
    </w:p>
    <w:p w:rsidR="00FF384B" w:rsidRDefault="003E3BA9">
      <w:pPr>
        <w:spacing w:after="98"/>
      </w:pPr>
      <w:r>
        <w:rPr>
          <w:rFonts w:ascii="Arial" w:eastAsia="Arial" w:hAnsi="Arial" w:cs="Arial"/>
        </w:rPr>
        <w:t xml:space="preserve">  </w:t>
      </w:r>
    </w:p>
    <w:p w:rsidR="00FF384B" w:rsidRDefault="003E3BA9">
      <w:pPr>
        <w:pStyle w:val="Ttulo3"/>
        <w:shd w:val="clear" w:color="auto" w:fill="auto"/>
        <w:spacing w:after="103" w:line="253" w:lineRule="auto"/>
        <w:ind w:left="767" w:right="1811"/>
      </w:pPr>
      <w:r>
        <w:rPr>
          <w:i w:val="0"/>
        </w:rPr>
        <w:t>Antecedentes de h</w:t>
      </w:r>
      <w:r>
        <w:rPr>
          <w:i w:val="0"/>
        </w:rPr>
        <w:t xml:space="preserve">echo  </w:t>
      </w:r>
    </w:p>
    <w:p w:rsidR="00FF384B" w:rsidRDefault="003E3BA9">
      <w:pPr>
        <w:spacing w:after="100"/>
        <w:ind w:right="995"/>
        <w:jc w:val="center"/>
      </w:pPr>
      <w:r>
        <w:rPr>
          <w:rFonts w:ascii="Arial" w:eastAsia="Arial" w:hAnsi="Arial" w:cs="Arial"/>
          <w:b/>
        </w:rPr>
        <w:t xml:space="preserve"> </w:t>
      </w:r>
    </w:p>
    <w:p w:rsidR="00FF384B" w:rsidRDefault="003E3BA9">
      <w:pPr>
        <w:spacing w:after="112" w:line="247" w:lineRule="auto"/>
        <w:ind w:left="10" w:right="1051" w:hanging="10"/>
        <w:jc w:val="both"/>
      </w:pPr>
      <w:r>
        <w:rPr>
          <w:rFonts w:ascii="Arial" w:eastAsia="Arial" w:hAnsi="Arial" w:cs="Arial"/>
          <w:b/>
        </w:rPr>
        <w:t xml:space="preserve">PRIMERO.- </w:t>
      </w:r>
      <w:r>
        <w:rPr>
          <w:rFonts w:ascii="Arial" w:eastAsia="Arial" w:hAnsi="Arial" w:cs="Arial"/>
        </w:rPr>
        <w:t>Consta Providencia de fecha 10 de febrero de 2021 del Concejal Delegado de Hacienda, Recursos Humanos y Empresas Públicas y Concesionarias, en la que propone que se inicien los trámites para la tramitación de la licitación del servicio de gestión de residu</w:t>
      </w:r>
      <w:r>
        <w:rPr>
          <w:rFonts w:ascii="Arial" w:eastAsia="Arial" w:hAnsi="Arial" w:cs="Arial"/>
        </w:rPr>
        <w:t xml:space="preserve">os, limpieza viaria y del litoral del municipio de Candelaria. </w:t>
      </w:r>
    </w:p>
    <w:p w:rsidR="00FF384B" w:rsidRDefault="003E3BA9">
      <w:pPr>
        <w:spacing w:after="98"/>
      </w:pPr>
      <w:r>
        <w:rPr>
          <w:rFonts w:ascii="Arial" w:eastAsia="Arial" w:hAnsi="Arial" w:cs="Arial"/>
        </w:rPr>
        <w:t xml:space="preserve"> </w:t>
      </w:r>
    </w:p>
    <w:p w:rsidR="00FF384B" w:rsidRDefault="003E3BA9">
      <w:pPr>
        <w:spacing w:after="111" w:line="247" w:lineRule="auto"/>
        <w:ind w:left="10" w:right="506" w:hanging="10"/>
        <w:jc w:val="both"/>
      </w:pPr>
      <w:r>
        <w:rPr>
          <w:noProof/>
        </w:rPr>
        <mc:AlternateContent>
          <mc:Choice Requires="wpg">
            <w:drawing>
              <wp:anchor distT="0" distB="0" distL="114300" distR="114300" simplePos="0" relativeHeight="2518906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8422" name="Group 48842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1908" name="Picture 41908"/>
                          <pic:cNvPicPr/>
                        </pic:nvPicPr>
                        <pic:blipFill>
                          <a:blip r:embed="rId62"/>
                          <a:stretch>
                            <a:fillRect/>
                          </a:stretch>
                        </pic:blipFill>
                        <pic:spPr>
                          <a:xfrm rot="-5399999">
                            <a:off x="-1720849" y="1720849"/>
                            <a:ext cx="3797300" cy="355601"/>
                          </a:xfrm>
                          <a:prstGeom prst="rect">
                            <a:avLst/>
                          </a:prstGeom>
                        </pic:spPr>
                      </pic:pic>
                      <wps:wsp>
                        <wps:cNvPr id="41909" name="Rectangle 4190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1910" name="Rectangle 4191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226 </w:t>
                              </w:r>
                              <w:r>
                                <w:rPr>
                                  <w:rFonts w:ascii="Arial" w:eastAsia="Arial" w:hAnsi="Arial" w:cs="Arial"/>
                                  <w:sz w:val="12"/>
                                </w:rPr>
                                <w:t xml:space="preserve">de 353 </w:t>
                              </w:r>
                            </w:p>
                          </w:txbxContent>
                        </wps:txbx>
                        <wps:bodyPr horzOverflow="overflow" vert="horz" lIns="0" tIns="0" rIns="0" bIns="0" rtlCol="0">
                          <a:noAutofit/>
                        </wps:bodyPr>
                      </wps:wsp>
                    </wpg:wgp>
                  </a:graphicData>
                </a:graphic>
              </wp:anchor>
            </w:drawing>
          </mc:Choice>
          <mc:Fallback xmlns:a="http://schemas.openxmlformats.org/drawingml/2006/main">
            <w:pict>
              <v:group id="Group 488422" style="width:41.2715pt;height:299pt;position:absolute;mso-position-horizontal-relative:page;mso-position-horizontal:absolute;margin-left:653.71pt;mso-position-vertical-relative:page;margin-top:512.92pt;" coordsize="5241,37973">
                <v:shape id="Picture 41908" style="position:absolute;width:37973;height:3556;left:-17208;top:17208;rotation:-89;" filled="f">
                  <v:imagedata r:id="rId63"/>
                </v:shape>
                <v:rect id="Rectangle 4190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191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226 de 353 </w:t>
                        </w:r>
                      </w:p>
                    </w:txbxContent>
                  </v:textbox>
                </v:rect>
                <w10:wrap type="square"/>
              </v:group>
            </w:pict>
          </mc:Fallback>
        </mc:AlternateContent>
      </w:r>
      <w:r>
        <w:rPr>
          <w:rFonts w:ascii="Arial" w:eastAsia="Arial" w:hAnsi="Arial" w:cs="Arial"/>
          <w:b/>
        </w:rPr>
        <w:t xml:space="preserve">SEGUNDO.- </w:t>
      </w:r>
      <w:r>
        <w:rPr>
          <w:rFonts w:ascii="Arial" w:eastAsia="Arial" w:hAnsi="Arial" w:cs="Arial"/>
        </w:rPr>
        <w:t xml:space="preserve">Consta informe del Ingeniero técnico industrial de fecha 03 de marzo de 2021 que dice: </w:t>
      </w:r>
    </w:p>
    <w:p w:rsidR="00FF384B" w:rsidRDefault="003E3BA9">
      <w:pPr>
        <w:spacing w:after="98"/>
      </w:pPr>
      <w:r>
        <w:rPr>
          <w:rFonts w:ascii="Arial" w:eastAsia="Arial" w:hAnsi="Arial" w:cs="Arial"/>
        </w:rPr>
        <w:t xml:space="preserve">  </w:t>
      </w:r>
    </w:p>
    <w:p w:rsidR="00FF384B" w:rsidRDefault="003E3BA9">
      <w:pPr>
        <w:spacing w:after="15" w:line="247" w:lineRule="auto"/>
        <w:ind w:left="3" w:right="1121" w:hanging="3"/>
        <w:jc w:val="both"/>
      </w:pPr>
      <w:r>
        <w:rPr>
          <w:rFonts w:ascii="Arial" w:eastAsia="Arial" w:hAnsi="Arial" w:cs="Arial"/>
        </w:rPr>
        <w:t xml:space="preserve"> “</w:t>
      </w:r>
      <w:r>
        <w:rPr>
          <w:rFonts w:ascii="Arial" w:eastAsia="Arial" w:hAnsi="Arial" w:cs="Arial"/>
          <w:b/>
        </w:rPr>
        <w:t>Visto el expediente antedicho, el funcionario, Don Daniel Espejo Cómez, que desempeña el puesto de trabajo de Ingeniero Técnico Industrial, en la</w:t>
      </w:r>
      <w:r>
        <w:rPr>
          <w:rFonts w:ascii="Arial" w:eastAsia="Arial" w:hAnsi="Arial" w:cs="Arial"/>
          <w:b/>
        </w:rPr>
        <w:t xml:space="preserve"> oficina técnica de la Concejalía de Planificación y Gestión Urbanística y Ambiental, emite el siguiente informe:</w:t>
      </w:r>
      <w:r>
        <w:rPr>
          <w:rFonts w:ascii="Times New Roman" w:eastAsia="Times New Roman" w:hAnsi="Times New Roman" w:cs="Times New Roman"/>
          <w:sz w:val="24"/>
        </w:rPr>
        <w:t xml:space="preserve"> </w:t>
      </w:r>
    </w:p>
    <w:p w:rsidR="00FF384B" w:rsidRDefault="003E3BA9">
      <w:pPr>
        <w:spacing w:after="109"/>
      </w:pPr>
      <w:r>
        <w:rPr>
          <w:rFonts w:ascii="Arial" w:eastAsia="Arial" w:hAnsi="Arial" w:cs="Arial"/>
        </w:rPr>
        <w:t xml:space="preserve"> </w:t>
      </w:r>
    </w:p>
    <w:p w:rsidR="00FF384B" w:rsidRDefault="003E3BA9">
      <w:pPr>
        <w:pStyle w:val="Ttulo2"/>
        <w:shd w:val="clear" w:color="auto" w:fill="E0E0E0"/>
        <w:spacing w:after="207" w:line="249" w:lineRule="auto"/>
        <w:ind w:left="197" w:right="1246"/>
      </w:pPr>
      <w:r>
        <w:t>ANTECEDENTES DE HECHO</w:t>
      </w:r>
      <w:r>
        <w:rPr>
          <w:rFonts w:ascii="Times New Roman" w:eastAsia="Times New Roman" w:hAnsi="Times New Roman" w:cs="Times New Roman"/>
          <w:b w:val="0"/>
          <w:sz w:val="24"/>
        </w:rPr>
        <w:t xml:space="preserve"> </w:t>
      </w:r>
    </w:p>
    <w:p w:rsidR="00FF384B" w:rsidRDefault="003E3BA9">
      <w:pPr>
        <w:spacing w:after="111" w:line="247" w:lineRule="auto"/>
        <w:ind w:right="1052" w:firstLine="708"/>
        <w:jc w:val="both"/>
      </w:pPr>
      <w:r>
        <w:rPr>
          <w:rFonts w:ascii="Arial" w:eastAsia="Arial" w:hAnsi="Arial" w:cs="Arial"/>
          <w:b/>
        </w:rPr>
        <w:t xml:space="preserve">PRIMERO. – </w:t>
      </w:r>
      <w:r>
        <w:rPr>
          <w:rFonts w:ascii="Arial" w:eastAsia="Arial" w:hAnsi="Arial" w:cs="Arial"/>
        </w:rPr>
        <w:t>Con fecha 10 de febrero de 2021, desde la Concejalía de Hacienda, Recursos Humanos y Empresas Públicas y Concesionarias, se impulsa la iniciación del expediente para la contratación de la prestación del servicio público de gestión de residuos, limpieza via</w:t>
      </w:r>
      <w:r>
        <w:rPr>
          <w:rFonts w:ascii="Arial" w:eastAsia="Arial" w:hAnsi="Arial" w:cs="Arial"/>
        </w:rPr>
        <w:t xml:space="preserve">ria y del litoral del municipio de Candelaria. </w:t>
      </w:r>
    </w:p>
    <w:p w:rsidR="00FF384B" w:rsidRDefault="003E3BA9">
      <w:pPr>
        <w:spacing w:after="0"/>
      </w:pPr>
      <w:r>
        <w:rPr>
          <w:rFonts w:ascii="Arial" w:eastAsia="Arial" w:hAnsi="Arial" w:cs="Arial"/>
        </w:rPr>
        <w:t xml:space="preserve"> </w:t>
      </w:r>
    </w:p>
    <w:p w:rsidR="00FF384B" w:rsidRDefault="003E3BA9">
      <w:pPr>
        <w:pStyle w:val="Ttulo2"/>
        <w:shd w:val="clear" w:color="auto" w:fill="E0E0E0"/>
        <w:spacing w:after="233" w:line="249" w:lineRule="auto"/>
        <w:ind w:left="197" w:right="1243"/>
      </w:pPr>
      <w:r>
        <w:t xml:space="preserve">MARCO NORMATIVO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418" w:hanging="10"/>
        <w:jc w:val="both"/>
      </w:pPr>
      <w:r>
        <w:rPr>
          <w:rFonts w:ascii="Arial" w:eastAsia="Arial" w:hAnsi="Arial" w:cs="Arial"/>
        </w:rPr>
        <w:t xml:space="preserve">El plazo de duración de los contratos lo establece la normativa vigente, tal como se indica a continuación:  </w:t>
      </w:r>
    </w:p>
    <w:p w:rsidR="00FF384B" w:rsidRDefault="003E3BA9">
      <w:pPr>
        <w:spacing w:after="27"/>
      </w:pPr>
      <w:r>
        <w:rPr>
          <w:rFonts w:ascii="Arial" w:eastAsia="Arial" w:hAnsi="Arial" w:cs="Arial"/>
        </w:rPr>
        <w:t xml:space="preserve"> </w:t>
      </w:r>
    </w:p>
    <w:p w:rsidR="00FF384B" w:rsidRDefault="003E3BA9">
      <w:pPr>
        <w:numPr>
          <w:ilvl w:val="0"/>
          <w:numId w:val="276"/>
        </w:numPr>
        <w:spacing w:after="13" w:line="247" w:lineRule="auto"/>
        <w:ind w:right="734" w:hanging="360"/>
        <w:jc w:val="both"/>
      </w:pPr>
      <w:r>
        <w:rPr>
          <w:rFonts w:ascii="Arial" w:eastAsia="Arial" w:hAnsi="Arial" w:cs="Arial"/>
        </w:rPr>
        <w:t xml:space="preserve">La </w:t>
      </w:r>
      <w:r>
        <w:rPr>
          <w:rFonts w:ascii="Arial" w:eastAsia="Arial" w:hAnsi="Arial" w:cs="Arial"/>
          <w:b/>
        </w:rPr>
        <w:t xml:space="preserve">Ley 9/2017 de Contratos del Sector Público </w:t>
      </w:r>
      <w:r>
        <w:rPr>
          <w:rFonts w:ascii="Arial" w:eastAsia="Arial" w:hAnsi="Arial" w:cs="Arial"/>
        </w:rPr>
        <w:t xml:space="preserve">en su </w:t>
      </w:r>
      <w:r>
        <w:rPr>
          <w:rFonts w:ascii="Arial" w:eastAsia="Arial" w:hAnsi="Arial" w:cs="Arial"/>
          <w:b/>
        </w:rPr>
        <w:t xml:space="preserve">Artículo 29 </w:t>
      </w:r>
      <w:r>
        <w:rPr>
          <w:rFonts w:ascii="Arial" w:eastAsia="Arial" w:hAnsi="Arial" w:cs="Arial"/>
        </w:rPr>
        <w:t xml:space="preserve">establece el </w:t>
      </w:r>
      <w:r>
        <w:rPr>
          <w:rFonts w:ascii="Arial" w:eastAsia="Arial" w:hAnsi="Arial" w:cs="Arial"/>
          <w:b/>
          <w:i/>
        </w:rPr>
        <w:t xml:space="preserve">Plazo de duración de los contratos y de ejecución de la prestación.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869" w:hanging="10"/>
        <w:jc w:val="both"/>
      </w:pPr>
      <w:r>
        <w:rPr>
          <w:rFonts w:ascii="Arial" w:eastAsia="Arial" w:hAnsi="Arial" w:cs="Arial"/>
        </w:rPr>
        <w:t xml:space="preserve">El </w:t>
      </w:r>
      <w:r>
        <w:rPr>
          <w:rFonts w:ascii="Arial" w:eastAsia="Arial" w:hAnsi="Arial" w:cs="Arial"/>
          <w:b/>
        </w:rPr>
        <w:t xml:space="preserve">Artículo 29.4 </w:t>
      </w:r>
      <w:r>
        <w:rPr>
          <w:rFonts w:ascii="Arial" w:eastAsia="Arial" w:hAnsi="Arial" w:cs="Arial"/>
        </w:rPr>
        <w:t xml:space="preserve">establece un plazo máximo de duración de los contratos de </w:t>
      </w:r>
      <w:r>
        <w:rPr>
          <w:rFonts w:ascii="Arial" w:eastAsia="Arial" w:hAnsi="Arial" w:cs="Arial"/>
          <w:b/>
        </w:rPr>
        <w:t>cinco años</w:t>
      </w:r>
      <w:r>
        <w:rPr>
          <w:rFonts w:ascii="Arial" w:eastAsia="Arial" w:hAnsi="Arial" w:cs="Arial"/>
        </w:rPr>
        <w:t>, a excepción de los contratos de suministros y servicios, en los que se podrá estable</w:t>
      </w:r>
      <w:r>
        <w:rPr>
          <w:rFonts w:ascii="Arial" w:eastAsia="Arial" w:hAnsi="Arial" w:cs="Arial"/>
        </w:rPr>
        <w:t>cer un plazo de duración superior cuando lo exija el período de recuperación de las inversiones directamente relacionadas con el contrato y estas no sean susceptibles de utilizarse en el resto de la actividad productiva del contratista o su utilización fue</w:t>
      </w:r>
      <w:r>
        <w:rPr>
          <w:rFonts w:ascii="Arial" w:eastAsia="Arial" w:hAnsi="Arial" w:cs="Arial"/>
        </w:rPr>
        <w:t xml:space="preserve">ra antieconómica, siempre que la amortización de dichas inversiones sea un coste relevante en la prestación del suministro o servicio, circunstancias que deberán ser justificadas en el expediente de contratación con indicación de las inversiones a las que </w:t>
      </w:r>
      <w:r>
        <w:rPr>
          <w:rFonts w:ascii="Arial" w:eastAsia="Arial" w:hAnsi="Arial" w:cs="Arial"/>
        </w:rPr>
        <w:t>se refiera y de su período de recuperación.</w:t>
      </w:r>
      <w:r>
        <w:rPr>
          <w:rFonts w:ascii="Times New Roman" w:eastAsia="Times New Roman" w:hAnsi="Times New Roman" w:cs="Times New Roman"/>
          <w:sz w:val="24"/>
        </w:rPr>
        <w:t xml:space="preserve"> </w:t>
      </w:r>
    </w:p>
    <w:p w:rsidR="00FF384B" w:rsidRDefault="003E3BA9">
      <w:pPr>
        <w:spacing w:after="29"/>
      </w:pPr>
      <w:r>
        <w:rPr>
          <w:rFonts w:ascii="Arial" w:eastAsia="Arial" w:hAnsi="Arial" w:cs="Arial"/>
        </w:rPr>
        <w:t xml:space="preserve"> </w:t>
      </w:r>
    </w:p>
    <w:p w:rsidR="00FF384B" w:rsidRDefault="003E3BA9">
      <w:pPr>
        <w:numPr>
          <w:ilvl w:val="0"/>
          <w:numId w:val="276"/>
        </w:numPr>
        <w:spacing w:after="5" w:line="247" w:lineRule="auto"/>
        <w:ind w:right="734" w:hanging="360"/>
        <w:jc w:val="both"/>
      </w:pPr>
      <w:r>
        <w:rPr>
          <w:rFonts w:ascii="Arial" w:eastAsia="Arial" w:hAnsi="Arial" w:cs="Arial"/>
        </w:rPr>
        <w:t xml:space="preserve">El </w:t>
      </w:r>
      <w:r>
        <w:rPr>
          <w:rFonts w:ascii="Arial" w:eastAsia="Arial" w:hAnsi="Arial" w:cs="Arial"/>
          <w:b/>
        </w:rPr>
        <w:t>Real Decreto 55/2017</w:t>
      </w:r>
      <w:r>
        <w:rPr>
          <w:rFonts w:ascii="Arial" w:eastAsia="Arial" w:hAnsi="Arial" w:cs="Arial"/>
        </w:rPr>
        <w:t xml:space="preserve">, que desarrolla la Ley 2/2015, de 30 de marzo, de desindexación de la economía española, establece en su </w:t>
      </w:r>
      <w:r>
        <w:rPr>
          <w:rFonts w:ascii="Arial" w:eastAsia="Arial" w:hAnsi="Arial" w:cs="Arial"/>
          <w:b/>
        </w:rPr>
        <w:t xml:space="preserve">Artículo 10 </w:t>
      </w:r>
      <w:r>
        <w:rPr>
          <w:rFonts w:ascii="Arial" w:eastAsia="Arial" w:hAnsi="Arial" w:cs="Arial"/>
        </w:rPr>
        <w:t xml:space="preserve">el </w:t>
      </w:r>
      <w:r>
        <w:rPr>
          <w:rFonts w:ascii="Arial" w:eastAsia="Arial" w:hAnsi="Arial" w:cs="Arial"/>
          <w:b/>
          <w:i/>
        </w:rPr>
        <w:t>Período de recuperación de la inversión de los contratos</w:t>
      </w:r>
      <w:r>
        <w:rPr>
          <w:rFonts w:ascii="Arial" w:eastAsia="Arial" w:hAnsi="Arial" w:cs="Arial"/>
        </w:rPr>
        <w:t xml:space="preserve">.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1054" w:hanging="10"/>
        <w:jc w:val="both"/>
      </w:pPr>
      <w:r>
        <w:rPr>
          <w:rFonts w:ascii="Arial" w:eastAsia="Arial" w:hAnsi="Arial" w:cs="Arial"/>
        </w:rPr>
        <w:t xml:space="preserve">El </w:t>
      </w:r>
      <w:r>
        <w:rPr>
          <w:rFonts w:ascii="Arial" w:eastAsia="Arial" w:hAnsi="Arial" w:cs="Arial"/>
          <w:b/>
        </w:rPr>
        <w:t xml:space="preserve">Artículo 10.1 </w:t>
      </w:r>
      <w:r>
        <w:rPr>
          <w:rFonts w:ascii="Arial" w:eastAsia="Arial" w:hAnsi="Arial" w:cs="Arial"/>
        </w:rPr>
        <w:t>define el período de recuperación de la inversión del contrato como aquél en el que previsiblemente puedan recuperarse las inversiones realizadas para la correcta ejecución de las obligaciones previstas en el contrato y se permita al contrati</w:t>
      </w:r>
      <w:r>
        <w:rPr>
          <w:rFonts w:ascii="Arial" w:eastAsia="Arial" w:hAnsi="Arial" w:cs="Arial"/>
        </w:rPr>
        <w:t>sta la obtención de un beneficio sobre el capital invertido en condiciones normales de explotación.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w:t>
      </w:r>
      <w:r>
        <w:rPr>
          <w:rFonts w:ascii="Arial" w:eastAsia="Arial" w:hAnsi="Arial" w:cs="Arial"/>
          <w:b/>
        </w:rPr>
        <w:t xml:space="preserve">Artículo 10.2 </w:t>
      </w:r>
      <w:r>
        <w:rPr>
          <w:rFonts w:ascii="Arial" w:eastAsia="Arial" w:hAnsi="Arial" w:cs="Arial"/>
        </w:rPr>
        <w:t>establece una fórmula matemática para calcular el plazo de recuperación de las inversiones que determinará el plazo de duración del cont</w:t>
      </w:r>
      <w:r>
        <w:rPr>
          <w:rFonts w:ascii="Arial" w:eastAsia="Arial" w:hAnsi="Arial" w:cs="Arial"/>
        </w:rPr>
        <w:t xml:space="preserve">rato.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1052" w:hanging="10"/>
        <w:jc w:val="both"/>
      </w:pPr>
      <w:r>
        <w:rPr>
          <w:rFonts w:ascii="Arial" w:eastAsia="Arial" w:hAnsi="Arial" w:cs="Arial"/>
        </w:rPr>
        <w:t xml:space="preserve">Según la fórmula, el período de recuperación de la inversión del contrato será el mínimo valor de </w:t>
      </w:r>
      <w:r>
        <w:rPr>
          <w:rFonts w:ascii="Arial" w:eastAsia="Arial" w:hAnsi="Arial" w:cs="Arial"/>
          <w:b/>
          <w:i/>
        </w:rPr>
        <w:t xml:space="preserve">n </w:t>
      </w:r>
      <w:r>
        <w:rPr>
          <w:rFonts w:ascii="Arial" w:eastAsia="Arial" w:hAnsi="Arial" w:cs="Arial"/>
        </w:rPr>
        <w:t>para el que se cumple la siguiente desigualdad, habiéndose realizado todas las inversiones para la correcta ejecución de las obligaciones prevista</w:t>
      </w:r>
      <w:r>
        <w:rPr>
          <w:rFonts w:ascii="Arial" w:eastAsia="Arial" w:hAnsi="Arial" w:cs="Arial"/>
        </w:rPr>
        <w:t>s en el contrato:</w:t>
      </w:r>
      <w:r>
        <w:rPr>
          <w:rFonts w:ascii="Times New Roman" w:eastAsia="Times New Roman" w:hAnsi="Times New Roman" w:cs="Times New Roman"/>
          <w:sz w:val="24"/>
        </w:rPr>
        <w:t xml:space="preserve"> </w:t>
      </w:r>
    </w:p>
    <w:p w:rsidR="00FF384B" w:rsidRDefault="003E3BA9">
      <w:pPr>
        <w:spacing w:after="0"/>
      </w:pPr>
      <w:r>
        <w:rPr>
          <w:noProof/>
        </w:rPr>
        <mc:AlternateContent>
          <mc:Choice Requires="wpg">
            <w:drawing>
              <wp:anchor distT="0" distB="0" distL="114300" distR="114300" simplePos="0" relativeHeight="2518917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8922" name="Group 48892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2019" name="Picture 42019"/>
                          <pic:cNvPicPr/>
                        </pic:nvPicPr>
                        <pic:blipFill>
                          <a:blip r:embed="rId62"/>
                          <a:stretch>
                            <a:fillRect/>
                          </a:stretch>
                        </pic:blipFill>
                        <pic:spPr>
                          <a:xfrm rot="-5399999">
                            <a:off x="-1720849" y="1720849"/>
                            <a:ext cx="3797300" cy="355601"/>
                          </a:xfrm>
                          <a:prstGeom prst="rect">
                            <a:avLst/>
                          </a:prstGeom>
                        </pic:spPr>
                      </pic:pic>
                      <wps:wsp>
                        <wps:cNvPr id="42020" name="Rectangle 4202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2021" name="Rectangle 4202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8922" style="width:41.2715pt;height:299pt;position:absolute;mso-position-horizontal-relative:page;mso-position-horizontal:absolute;margin-left:653.71pt;mso-position-vertical-relative:page;margin-top:512.92pt;" coordsize="5241,37973">
                <v:shape id="Picture 42019" style="position:absolute;width:37973;height:3556;left:-17208;top:17208;rotation:-89;" filled="f">
                  <v:imagedata r:id="rId63"/>
                </v:shape>
                <v:rect id="Rectangle 4202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202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227 de 353 </w:t>
                        </w:r>
                      </w:p>
                    </w:txbxContent>
                  </v:textbox>
                </v:rect>
                <w10:wrap type="square"/>
              </v:group>
            </w:pict>
          </mc:Fallback>
        </mc:AlternateContent>
      </w:r>
      <w:r>
        <w:rPr>
          <w:rFonts w:ascii="Times New Roman" w:eastAsia="Times New Roman" w:hAnsi="Times New Roman" w:cs="Times New Roman"/>
          <w:sz w:val="24"/>
        </w:rPr>
        <w:t xml:space="preserve"> </w:t>
      </w:r>
    </w:p>
    <w:p w:rsidR="00FF384B" w:rsidRDefault="003E3BA9">
      <w:pPr>
        <w:spacing w:after="0"/>
        <w:ind w:right="997"/>
        <w:jc w:val="center"/>
      </w:pPr>
      <w:r>
        <w:rPr>
          <w:noProof/>
        </w:rPr>
        <w:drawing>
          <wp:inline distT="0" distB="0" distL="0" distR="0">
            <wp:extent cx="1402080" cy="731520"/>
            <wp:effectExtent l="0" t="0" r="0" b="0"/>
            <wp:docPr id="42017" name="Picture 42017"/>
            <wp:cNvGraphicFramePr/>
            <a:graphic xmlns:a="http://schemas.openxmlformats.org/drawingml/2006/main">
              <a:graphicData uri="http://schemas.openxmlformats.org/drawingml/2006/picture">
                <pic:pic xmlns:pic="http://schemas.openxmlformats.org/drawingml/2006/picture">
                  <pic:nvPicPr>
                    <pic:cNvPr id="42017" name="Picture 42017"/>
                    <pic:cNvPicPr/>
                  </pic:nvPicPr>
                  <pic:blipFill>
                    <a:blip r:embed="rId87"/>
                    <a:stretch>
                      <a:fillRect/>
                    </a:stretch>
                  </pic:blipFill>
                  <pic:spPr>
                    <a:xfrm>
                      <a:off x="0" y="0"/>
                      <a:ext cx="1402080" cy="73152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Donde: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b/>
        </w:rPr>
        <w:t>t</w:t>
      </w:r>
      <w:r>
        <w:rPr>
          <w:rFonts w:ascii="Arial" w:eastAsia="Arial" w:hAnsi="Arial" w:cs="Arial"/>
        </w:rPr>
        <w:t xml:space="preserve"> son los años medido</w:t>
      </w:r>
      <w:r>
        <w:rPr>
          <w:rFonts w:ascii="Arial" w:eastAsia="Arial" w:hAnsi="Arial" w:cs="Arial"/>
        </w:rPr>
        <w:t xml:space="preserve">s en números enteros. </w:t>
      </w: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b/>
        </w:rPr>
        <w:t>FC</w:t>
      </w:r>
      <w:r>
        <w:rPr>
          <w:rFonts w:ascii="Arial" w:eastAsia="Arial" w:hAnsi="Arial" w:cs="Arial"/>
          <w:b/>
          <w:vertAlign w:val="subscript"/>
        </w:rPr>
        <w:t>t</w:t>
      </w:r>
      <w:r>
        <w:rPr>
          <w:rFonts w:ascii="Arial" w:eastAsia="Arial" w:hAnsi="Arial" w:cs="Arial"/>
          <w:b/>
        </w:rPr>
        <w:t xml:space="preserve"> </w:t>
      </w:r>
      <w:r>
        <w:rPr>
          <w:rFonts w:ascii="Arial" w:eastAsia="Arial" w:hAnsi="Arial" w:cs="Arial"/>
        </w:rPr>
        <w:t>es el flujo de caja esperado del año t.</w:t>
      </w:r>
      <w:r>
        <w:rPr>
          <w:rFonts w:ascii="Times New Roman" w:eastAsia="Times New Roman" w:hAnsi="Times New Roman" w:cs="Times New Roman"/>
          <w:sz w:val="24"/>
        </w:rPr>
        <w:t xml:space="preserve"> </w:t>
      </w:r>
    </w:p>
    <w:p w:rsidR="00FF384B" w:rsidRDefault="003E3BA9">
      <w:pPr>
        <w:spacing w:after="5" w:line="247" w:lineRule="auto"/>
        <w:ind w:left="10" w:right="1053" w:hanging="10"/>
        <w:jc w:val="both"/>
      </w:pPr>
      <w:r>
        <w:rPr>
          <w:rFonts w:ascii="Arial" w:eastAsia="Arial" w:hAnsi="Arial" w:cs="Arial"/>
          <w:b/>
          <w:i/>
        </w:rPr>
        <w:t xml:space="preserve">b </w:t>
      </w:r>
      <w:r>
        <w:rPr>
          <w:rFonts w:ascii="Arial" w:eastAsia="Arial" w:hAnsi="Arial" w:cs="Arial"/>
        </w:rPr>
        <w:t>es la tasa de descuento, cuyo valor será el rendimiento medio en el mercado secundario de la deuda del Estado a diez años en los últimos seis meses incrementado en un diferencial de 200 puntos básicos.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1053" w:hanging="10"/>
        <w:jc w:val="both"/>
      </w:pPr>
      <w:r>
        <w:rPr>
          <w:rFonts w:ascii="Arial" w:eastAsia="Arial" w:hAnsi="Arial" w:cs="Arial"/>
        </w:rPr>
        <w:t>El Flujo de Caja procedente de las actividades de e</w:t>
      </w:r>
      <w:r>
        <w:rPr>
          <w:rFonts w:ascii="Arial" w:eastAsia="Arial" w:hAnsi="Arial" w:cs="Arial"/>
        </w:rPr>
        <w:t>xplotación, que es la diferencia entre los cobros y los pagos ocasionados por las actividades que constituyen la principal fuente de ingresos del contrato, teniendo en cuenta tanto las contraprestaciones abonadas por los usuarios como por la Administración</w:t>
      </w:r>
      <w:r>
        <w:rPr>
          <w:rFonts w:ascii="Arial" w:eastAsia="Arial" w:hAnsi="Arial" w:cs="Arial"/>
        </w:rPr>
        <w:t xml:space="preserve">, así como por otras actividades que no pueden ser calificadas como de inversión y financiación. </w:t>
      </w:r>
    </w:p>
    <w:p w:rsidR="00FF384B" w:rsidRDefault="003E3BA9">
      <w:pPr>
        <w:spacing w:after="112"/>
        <w:ind w:left="360"/>
      </w:pPr>
      <w:r>
        <w:rPr>
          <w:rFonts w:ascii="Arial" w:eastAsia="Arial" w:hAnsi="Arial" w:cs="Arial"/>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pStyle w:val="Ttulo2"/>
        <w:shd w:val="clear" w:color="auto" w:fill="E0E0E0"/>
        <w:spacing w:after="233" w:line="249" w:lineRule="auto"/>
        <w:ind w:left="197" w:right="1245"/>
      </w:pPr>
      <w:r>
        <w:t xml:space="preserve">PERIODO DE LA RECUPERACIÓN DE LA INVERSIÓN DEL CONTRATO </w:t>
      </w:r>
    </w:p>
    <w:p w:rsidR="00FF384B" w:rsidRDefault="003E3BA9">
      <w:pPr>
        <w:spacing w:after="5" w:line="247" w:lineRule="auto"/>
        <w:ind w:left="10" w:right="244" w:hanging="10"/>
        <w:jc w:val="both"/>
      </w:pPr>
      <w:r>
        <w:rPr>
          <w:rFonts w:ascii="Arial" w:eastAsia="Arial" w:hAnsi="Arial" w:cs="Arial"/>
        </w:rPr>
        <w:t>A continuación, se procede a determinar el periodo de recuperación de la inversión del contrato d</w:t>
      </w:r>
      <w:r>
        <w:rPr>
          <w:rFonts w:ascii="Arial" w:eastAsia="Arial" w:hAnsi="Arial" w:cs="Arial"/>
        </w:rPr>
        <w:t xml:space="preserve">e gestión de residuos, limpieza viaria y del litoral del municipio de Candelaria.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estudio económico realizado, establece los siguientes costes del servicio para el año 2021: </w:t>
      </w:r>
    </w:p>
    <w:p w:rsidR="00FF384B" w:rsidRDefault="003E3BA9">
      <w:pPr>
        <w:spacing w:after="0"/>
      </w:pPr>
      <w:r>
        <w:rPr>
          <w:rFonts w:ascii="Arial" w:eastAsia="Arial" w:hAnsi="Arial" w:cs="Arial"/>
        </w:rPr>
        <w:t xml:space="preserve"> </w:t>
      </w:r>
    </w:p>
    <w:tbl>
      <w:tblPr>
        <w:tblStyle w:val="TableGrid"/>
        <w:tblW w:w="10828" w:type="dxa"/>
        <w:tblInd w:w="-1023" w:type="dxa"/>
        <w:tblCellMar>
          <w:top w:w="3" w:type="dxa"/>
          <w:left w:w="108" w:type="dxa"/>
          <w:bottom w:w="0" w:type="dxa"/>
          <w:right w:w="61" w:type="dxa"/>
        </w:tblCellMar>
        <w:tblLook w:val="04A0" w:firstRow="1" w:lastRow="0" w:firstColumn="1" w:lastColumn="0" w:noHBand="0" w:noVBand="1"/>
      </w:tblPr>
      <w:tblGrid>
        <w:gridCol w:w="1150"/>
        <w:gridCol w:w="1246"/>
        <w:gridCol w:w="1222"/>
        <w:gridCol w:w="1522"/>
        <w:gridCol w:w="1184"/>
        <w:gridCol w:w="1018"/>
        <w:gridCol w:w="1274"/>
        <w:gridCol w:w="1061"/>
        <w:gridCol w:w="1152"/>
      </w:tblGrid>
      <w:tr w:rsidR="00FF384B">
        <w:trPr>
          <w:trHeight w:val="562"/>
        </w:trPr>
        <w:tc>
          <w:tcPr>
            <w:tcW w:w="115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4"/>
            </w:pPr>
            <w:r>
              <w:rPr>
                <w:rFonts w:ascii="Arial" w:eastAsia="Arial" w:hAnsi="Arial" w:cs="Arial"/>
                <w:b/>
                <w:sz w:val="16"/>
              </w:rPr>
              <w:t xml:space="preserve">PERSONAL </w:t>
            </w:r>
          </w:p>
        </w:tc>
        <w:tc>
          <w:tcPr>
            <w:tcW w:w="124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sz w:val="16"/>
              </w:rPr>
              <w:t xml:space="preserve">MEDIOS MATERIALES </w:t>
            </w:r>
          </w:p>
        </w:tc>
        <w:tc>
          <w:tcPr>
            <w:tcW w:w="1222"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pPr>
            <w:r>
              <w:rPr>
                <w:rFonts w:ascii="Arial" w:eastAsia="Arial" w:hAnsi="Arial" w:cs="Arial"/>
                <w:b/>
                <w:sz w:val="16"/>
              </w:rPr>
              <w:t xml:space="preserve">AMORTIZAC. </w:t>
            </w:r>
          </w:p>
        </w:tc>
        <w:tc>
          <w:tcPr>
            <w:tcW w:w="1522"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sz w:val="16"/>
              </w:rPr>
              <w:t xml:space="preserve">TASA DISPONIBILIDAD </w:t>
            </w:r>
          </w:p>
        </w:tc>
        <w:tc>
          <w:tcPr>
            <w:tcW w:w="1184"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sz w:val="16"/>
              </w:rPr>
              <w:t>PAPELERAS -</w:t>
            </w:r>
            <w:r>
              <w:rPr>
                <w:rFonts w:ascii="Arial" w:eastAsia="Arial" w:hAnsi="Arial" w:cs="Arial"/>
                <w:b/>
                <w:sz w:val="16"/>
              </w:rPr>
              <w:t xml:space="preserve"> RCD </w:t>
            </w:r>
          </w:p>
        </w:tc>
        <w:tc>
          <w:tcPr>
            <w:tcW w:w="101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sz w:val="16"/>
              </w:rPr>
              <w:t xml:space="preserve">GG (5%) + BI (6%) </w:t>
            </w:r>
          </w:p>
        </w:tc>
        <w:tc>
          <w:tcPr>
            <w:tcW w:w="127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pPr>
            <w:r>
              <w:rPr>
                <w:rFonts w:ascii="Arial" w:eastAsia="Arial" w:hAnsi="Arial" w:cs="Arial"/>
                <w:b/>
                <w:sz w:val="16"/>
              </w:rPr>
              <w:t xml:space="preserve">CONCIENCIA. </w:t>
            </w:r>
          </w:p>
        </w:tc>
        <w:tc>
          <w:tcPr>
            <w:tcW w:w="10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b/>
                <w:sz w:val="16"/>
              </w:rPr>
              <w:t xml:space="preserve">INGRESOS </w:t>
            </w:r>
          </w:p>
          <w:p w:rsidR="00FF384B" w:rsidRDefault="003E3BA9">
            <w:pPr>
              <w:spacing w:after="0"/>
              <w:jc w:val="center"/>
            </w:pPr>
            <w:r>
              <w:rPr>
                <w:rFonts w:ascii="Arial" w:eastAsia="Arial" w:hAnsi="Arial" w:cs="Arial"/>
                <w:b/>
                <w:sz w:val="16"/>
              </w:rPr>
              <w:t xml:space="preserve">EELL + PyC </w:t>
            </w:r>
          </w:p>
        </w:tc>
        <w:tc>
          <w:tcPr>
            <w:tcW w:w="1152"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2"/>
              <w:jc w:val="center"/>
            </w:pPr>
            <w:r>
              <w:rPr>
                <w:rFonts w:ascii="Arial" w:eastAsia="Arial" w:hAnsi="Arial" w:cs="Arial"/>
                <w:b/>
                <w:sz w:val="16"/>
              </w:rPr>
              <w:t xml:space="preserve">SUMA </w:t>
            </w:r>
          </w:p>
        </w:tc>
      </w:tr>
      <w:tr w:rsidR="00FF384B">
        <w:trPr>
          <w:trHeight w:val="379"/>
        </w:trPr>
        <w:tc>
          <w:tcPr>
            <w:tcW w:w="115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1.734.644,62 € </w:t>
            </w:r>
          </w:p>
        </w:tc>
        <w:tc>
          <w:tcPr>
            <w:tcW w:w="124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5"/>
              <w:jc w:val="center"/>
            </w:pPr>
            <w:r>
              <w:rPr>
                <w:rFonts w:ascii="Arial" w:eastAsia="Arial" w:hAnsi="Arial" w:cs="Arial"/>
                <w:sz w:val="16"/>
              </w:rPr>
              <w:t xml:space="preserve">278.588,32 € </w:t>
            </w:r>
          </w:p>
        </w:tc>
        <w:tc>
          <w:tcPr>
            <w:tcW w:w="1222"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8" w:right="24"/>
              <w:jc w:val="center"/>
            </w:pPr>
            <w:r>
              <w:rPr>
                <w:rFonts w:ascii="Arial" w:eastAsia="Arial" w:hAnsi="Arial" w:cs="Arial"/>
                <w:sz w:val="16"/>
              </w:rPr>
              <w:t xml:space="preserve">114.1847,23 € </w:t>
            </w:r>
          </w:p>
        </w:tc>
        <w:tc>
          <w:tcPr>
            <w:tcW w:w="1522"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5"/>
              <w:jc w:val="center"/>
            </w:pPr>
            <w:r>
              <w:rPr>
                <w:rFonts w:ascii="Arial" w:eastAsia="Arial" w:hAnsi="Arial" w:cs="Arial"/>
                <w:sz w:val="16"/>
              </w:rPr>
              <w:t xml:space="preserve">407.112,37 € </w:t>
            </w:r>
          </w:p>
        </w:tc>
        <w:tc>
          <w:tcPr>
            <w:tcW w:w="118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5"/>
              <w:jc w:val="center"/>
            </w:pPr>
            <w:r>
              <w:rPr>
                <w:rFonts w:ascii="Arial" w:eastAsia="Arial" w:hAnsi="Arial" w:cs="Arial"/>
                <w:sz w:val="16"/>
              </w:rPr>
              <w:t xml:space="preserve">8.000,00 € </w:t>
            </w:r>
          </w:p>
        </w:tc>
        <w:tc>
          <w:tcPr>
            <w:tcW w:w="101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279.678,25 € </w:t>
            </w:r>
          </w:p>
        </w:tc>
        <w:tc>
          <w:tcPr>
            <w:tcW w:w="127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7"/>
              <w:jc w:val="center"/>
            </w:pPr>
            <w:r>
              <w:rPr>
                <w:rFonts w:ascii="Arial" w:eastAsia="Arial" w:hAnsi="Arial" w:cs="Arial"/>
                <w:sz w:val="16"/>
              </w:rPr>
              <w:t xml:space="preserve">15.000,00 € </w:t>
            </w:r>
          </w:p>
        </w:tc>
        <w:tc>
          <w:tcPr>
            <w:tcW w:w="1061"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-80.000,00 € </w:t>
            </w:r>
          </w:p>
        </w:tc>
        <w:tc>
          <w:tcPr>
            <w:tcW w:w="1152"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2.757.207,79 € </w:t>
            </w:r>
          </w:p>
        </w:tc>
      </w:tr>
    </w:tbl>
    <w:p w:rsidR="00FF384B" w:rsidRDefault="003E3BA9">
      <w:pPr>
        <w:spacing w:after="43"/>
      </w:pPr>
      <w:r>
        <w:rPr>
          <w:rFonts w:ascii="Arial" w:eastAsia="Arial" w:hAnsi="Arial" w:cs="Arial"/>
          <w:sz w:val="16"/>
        </w:rPr>
        <w:t xml:space="preserve"> </w:t>
      </w:r>
    </w:p>
    <w:p w:rsidR="00FF384B" w:rsidRDefault="003E3BA9">
      <w:pPr>
        <w:spacing w:after="5" w:line="247" w:lineRule="auto"/>
        <w:ind w:left="10" w:right="718" w:hanging="10"/>
        <w:jc w:val="both"/>
      </w:pPr>
      <w:r>
        <w:rPr>
          <w:rFonts w:ascii="Arial" w:eastAsia="Arial" w:hAnsi="Arial" w:cs="Arial"/>
        </w:rPr>
        <w:t xml:space="preserve">Para el estudio del período de recuperación de la inversión del contrato se han tomado las siguientes consideraciones: </w:t>
      </w:r>
    </w:p>
    <w:p w:rsidR="00FF384B" w:rsidRDefault="003E3BA9">
      <w:pPr>
        <w:spacing w:after="0"/>
      </w:pPr>
      <w:r>
        <w:rPr>
          <w:rFonts w:ascii="Arial" w:eastAsia="Arial" w:hAnsi="Arial" w:cs="Arial"/>
        </w:rPr>
        <w:t xml:space="preserve"> </w:t>
      </w:r>
    </w:p>
    <w:p w:rsidR="00FF384B" w:rsidRDefault="003E3BA9">
      <w:pPr>
        <w:numPr>
          <w:ilvl w:val="0"/>
          <w:numId w:val="277"/>
        </w:numPr>
        <w:spacing w:after="5" w:line="247" w:lineRule="auto"/>
        <w:ind w:right="387" w:hanging="360"/>
        <w:jc w:val="both"/>
      </w:pPr>
      <w:r>
        <w:rPr>
          <w:rFonts w:ascii="Arial" w:eastAsia="Arial" w:hAnsi="Arial" w:cs="Arial"/>
        </w:rPr>
        <w:t>El estudio económico determina los ingresos/costes para el año 2021 (año 1). Para el año 2 y sucesivos, se han considerado los siguien</w:t>
      </w:r>
      <w:r>
        <w:rPr>
          <w:rFonts w:ascii="Arial" w:eastAsia="Arial" w:hAnsi="Arial" w:cs="Arial"/>
        </w:rPr>
        <w:t xml:space="preserve">tes incrementos: </w:t>
      </w:r>
    </w:p>
    <w:p w:rsidR="00FF384B" w:rsidRDefault="003E3BA9">
      <w:pPr>
        <w:spacing w:after="0"/>
        <w:ind w:left="720"/>
      </w:pPr>
      <w:r>
        <w:rPr>
          <w:rFonts w:ascii="Arial" w:eastAsia="Arial" w:hAnsi="Arial" w:cs="Arial"/>
        </w:rPr>
        <w:t xml:space="preserve"> </w:t>
      </w:r>
    </w:p>
    <w:p w:rsidR="00FF384B" w:rsidRDefault="003E3BA9">
      <w:pPr>
        <w:numPr>
          <w:ilvl w:val="1"/>
          <w:numId w:val="277"/>
        </w:numPr>
        <w:spacing w:after="5" w:line="247" w:lineRule="auto"/>
        <w:ind w:right="244" w:hanging="360"/>
        <w:jc w:val="both"/>
      </w:pPr>
      <w:r>
        <w:rPr>
          <w:rFonts w:ascii="Arial" w:eastAsia="Arial" w:hAnsi="Arial" w:cs="Arial"/>
        </w:rPr>
        <w:t xml:space="preserve">Incremento anual de costes de personal es de 2.1% (art 34 Convenio 1.25%). </w:t>
      </w:r>
    </w:p>
    <w:p w:rsidR="00FF384B" w:rsidRDefault="003E3BA9">
      <w:pPr>
        <w:numPr>
          <w:ilvl w:val="1"/>
          <w:numId w:val="277"/>
        </w:numPr>
        <w:spacing w:after="5" w:line="247" w:lineRule="auto"/>
        <w:ind w:right="244" w:hanging="360"/>
        <w:jc w:val="both"/>
      </w:pPr>
      <w:r>
        <w:rPr>
          <w:rFonts w:ascii="Arial" w:eastAsia="Arial" w:hAnsi="Arial" w:cs="Arial"/>
        </w:rPr>
        <w:t xml:space="preserve">Incremento anual del resto de costes es de 1.4%. </w:t>
      </w:r>
    </w:p>
    <w:p w:rsidR="00FF384B" w:rsidRDefault="003E3BA9">
      <w:pPr>
        <w:spacing w:after="0"/>
        <w:ind w:left="1080"/>
      </w:pPr>
      <w:r>
        <w:rPr>
          <w:rFonts w:ascii="Arial" w:eastAsia="Arial" w:hAnsi="Arial" w:cs="Arial"/>
        </w:rPr>
        <w:t xml:space="preserve"> </w:t>
      </w:r>
    </w:p>
    <w:p w:rsidR="00FF384B" w:rsidRDefault="003E3BA9">
      <w:pPr>
        <w:numPr>
          <w:ilvl w:val="0"/>
          <w:numId w:val="277"/>
        </w:numPr>
        <w:spacing w:after="5" w:line="247" w:lineRule="auto"/>
        <w:ind w:right="387" w:hanging="360"/>
        <w:jc w:val="both"/>
      </w:pPr>
      <w:r>
        <w:rPr>
          <w:rFonts w:ascii="Arial" w:eastAsia="Arial" w:hAnsi="Arial" w:cs="Arial"/>
        </w:rPr>
        <w:t xml:space="preserve">Dada una tasa de descuento del 2,30%. </w:t>
      </w:r>
    </w:p>
    <w:p w:rsidR="00FF384B" w:rsidRDefault="003E3BA9">
      <w:pPr>
        <w:spacing w:after="0"/>
        <w:ind w:left="720"/>
      </w:pPr>
      <w:r>
        <w:rPr>
          <w:noProof/>
        </w:rPr>
        <mc:AlternateContent>
          <mc:Choice Requires="wpg">
            <w:drawing>
              <wp:anchor distT="0" distB="0" distL="114300" distR="114300" simplePos="0" relativeHeight="2518927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4316" name="Group 52431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2281" name="Picture 42281"/>
                          <pic:cNvPicPr/>
                        </pic:nvPicPr>
                        <pic:blipFill>
                          <a:blip r:embed="rId62"/>
                          <a:stretch>
                            <a:fillRect/>
                          </a:stretch>
                        </pic:blipFill>
                        <pic:spPr>
                          <a:xfrm rot="-5399999">
                            <a:off x="-1720849" y="1720849"/>
                            <a:ext cx="3797300" cy="355601"/>
                          </a:xfrm>
                          <a:prstGeom prst="rect">
                            <a:avLst/>
                          </a:prstGeom>
                        </pic:spPr>
                      </pic:pic>
                      <wps:wsp>
                        <wps:cNvPr id="42282" name="Rectangle 4228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2283" name="Rectangle 4228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4316" style="width:41.2715pt;height:299pt;position:absolute;mso-position-horizontal-relative:page;mso-position-horizontal:absolute;margin-left:653.71pt;mso-position-vertical-relative:page;margin-top:512.92pt;" coordsize="5241,37973">
                <v:shape id="Picture 42281" style="position:absolute;width:37973;height:3556;left:-17208;top:17208;rotation:-89;" filled="f">
                  <v:imagedata r:id="rId63"/>
                </v:shape>
                <v:rect id="Rectangle 4228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228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228 de 353 </w:t>
                        </w:r>
                      </w:p>
                    </w:txbxContent>
                  </v:textbox>
                </v:rect>
                <w10:wrap type="square"/>
              </v:group>
            </w:pict>
          </mc:Fallback>
        </mc:AlternateContent>
      </w:r>
      <w:r>
        <w:rPr>
          <w:rFonts w:ascii="Arial" w:eastAsia="Arial" w:hAnsi="Arial" w:cs="Arial"/>
        </w:rPr>
        <w:t xml:space="preserve"> </w:t>
      </w:r>
    </w:p>
    <w:p w:rsidR="00FF384B" w:rsidRDefault="003E3BA9">
      <w:pPr>
        <w:spacing w:after="0"/>
        <w:ind w:right="319"/>
        <w:jc w:val="right"/>
      </w:pPr>
      <w:r>
        <w:rPr>
          <w:noProof/>
        </w:rPr>
        <w:drawing>
          <wp:inline distT="0" distB="0" distL="0" distR="0">
            <wp:extent cx="5821680" cy="3169920"/>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88"/>
                    <a:stretch>
                      <a:fillRect/>
                    </a:stretch>
                  </pic:blipFill>
                  <pic:spPr>
                    <a:xfrm>
                      <a:off x="0" y="0"/>
                      <a:ext cx="5821680" cy="316992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996"/>
        <w:jc w:val="center"/>
      </w:pP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tbl>
      <w:tblPr>
        <w:tblStyle w:val="TableGrid"/>
        <w:tblW w:w="10322" w:type="dxa"/>
        <w:tblInd w:w="-847" w:type="dxa"/>
        <w:tblCellMar>
          <w:top w:w="22" w:type="dxa"/>
          <w:left w:w="27" w:type="dxa"/>
          <w:bottom w:w="1" w:type="dxa"/>
          <w:right w:w="40" w:type="dxa"/>
        </w:tblCellMar>
        <w:tblLook w:val="04A0" w:firstRow="1" w:lastRow="0" w:firstColumn="1" w:lastColumn="0" w:noHBand="0" w:noVBand="1"/>
      </w:tblPr>
      <w:tblGrid>
        <w:gridCol w:w="3578"/>
        <w:gridCol w:w="1124"/>
        <w:gridCol w:w="1124"/>
        <w:gridCol w:w="1124"/>
        <w:gridCol w:w="1124"/>
        <w:gridCol w:w="1124"/>
        <w:gridCol w:w="1125"/>
      </w:tblGrid>
      <w:tr w:rsidR="00FF384B">
        <w:trPr>
          <w:trHeight w:val="219"/>
        </w:trPr>
        <w:tc>
          <w:tcPr>
            <w:tcW w:w="3578" w:type="dxa"/>
            <w:tcBorders>
              <w:top w:val="single" w:sz="4" w:space="0" w:color="D4D4D4"/>
              <w:left w:val="single" w:sz="4" w:space="0" w:color="D4D4D4"/>
              <w:bottom w:val="single" w:sz="4" w:space="0" w:color="000000"/>
              <w:right w:val="single" w:sz="4" w:space="0" w:color="D4D4D4"/>
            </w:tcBorders>
          </w:tcPr>
          <w:p w:rsidR="00FF384B" w:rsidRDefault="00FF384B"/>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2"/>
              <w:jc w:val="center"/>
            </w:pPr>
            <w:r>
              <w:rPr>
                <w:rFonts w:ascii="Arial" w:eastAsia="Arial" w:hAnsi="Arial" w:cs="Arial"/>
                <w:sz w:val="18"/>
              </w:rPr>
              <w:t>ago-19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3"/>
              <w:jc w:val="center"/>
            </w:pPr>
            <w:r>
              <w:rPr>
                <w:rFonts w:ascii="Arial" w:eastAsia="Arial" w:hAnsi="Arial" w:cs="Arial"/>
                <w:sz w:val="18"/>
              </w:rPr>
              <w:t>sep-19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3"/>
              <w:jc w:val="center"/>
            </w:pPr>
            <w:r>
              <w:rPr>
                <w:rFonts w:ascii="Arial" w:eastAsia="Arial" w:hAnsi="Arial" w:cs="Arial"/>
                <w:sz w:val="18"/>
              </w:rPr>
              <w:t>oct-19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4"/>
              <w:jc w:val="center"/>
            </w:pPr>
            <w:r>
              <w:rPr>
                <w:rFonts w:ascii="Arial" w:eastAsia="Arial" w:hAnsi="Arial" w:cs="Arial"/>
                <w:sz w:val="18"/>
              </w:rPr>
              <w:t>nov-19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2"/>
              <w:jc w:val="center"/>
            </w:pPr>
            <w:r>
              <w:rPr>
                <w:rFonts w:ascii="Arial" w:eastAsia="Arial" w:hAnsi="Arial" w:cs="Arial"/>
                <w:sz w:val="18"/>
              </w:rPr>
              <w:t>dic-19</w:t>
            </w:r>
          </w:p>
        </w:tc>
        <w:tc>
          <w:tcPr>
            <w:tcW w:w="11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2"/>
              <w:jc w:val="center"/>
            </w:pPr>
            <w:r>
              <w:rPr>
                <w:rFonts w:ascii="Arial" w:eastAsia="Arial" w:hAnsi="Arial" w:cs="Arial"/>
                <w:sz w:val="18"/>
              </w:rPr>
              <w:t>ene-20</w:t>
            </w:r>
          </w:p>
        </w:tc>
      </w:tr>
      <w:tr w:rsidR="00FF384B">
        <w:trPr>
          <w:trHeight w:val="230"/>
        </w:trPr>
        <w:tc>
          <w:tcPr>
            <w:tcW w:w="357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3"/>
              <w:jc w:val="center"/>
            </w:pPr>
            <w:r>
              <w:rPr>
                <w:rFonts w:ascii="Arial" w:eastAsia="Arial" w:hAnsi="Arial" w:cs="Arial"/>
                <w:b/>
                <w:sz w:val="18"/>
              </w:rPr>
              <w:t>Rentabilidad obligaciones a 10 años.</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0,14</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4"/>
              <w:jc w:val="center"/>
            </w:pPr>
            <w:r>
              <w:rPr>
                <w:rFonts w:ascii="Arial" w:eastAsia="Arial" w:hAnsi="Arial" w:cs="Arial"/>
                <w:sz w:val="18"/>
              </w:rPr>
              <w:t>0,18</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0,20</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0,39</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0,44</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2"/>
              <w:jc w:val="center"/>
            </w:pPr>
            <w:r>
              <w:rPr>
                <w:rFonts w:ascii="Arial" w:eastAsia="Arial" w:hAnsi="Arial" w:cs="Arial"/>
                <w:sz w:val="18"/>
              </w:rPr>
              <w:t>0,42</w:t>
            </w:r>
          </w:p>
        </w:tc>
      </w:tr>
      <w:tr w:rsidR="00FF384B">
        <w:trPr>
          <w:trHeight w:val="219"/>
        </w:trPr>
        <w:tc>
          <w:tcPr>
            <w:tcW w:w="4702" w:type="dxa"/>
            <w:gridSpan w:val="2"/>
            <w:vMerge w:val="restart"/>
            <w:tcBorders>
              <w:top w:val="single" w:sz="4" w:space="0" w:color="000000"/>
              <w:left w:val="single" w:sz="4" w:space="0" w:color="D4D4D4"/>
              <w:bottom w:val="single" w:sz="4" w:space="0" w:color="D4D4D4"/>
              <w:right w:val="nil"/>
            </w:tcBorders>
            <w:vAlign w:val="bottom"/>
          </w:tcPr>
          <w:p w:rsidR="00FF384B" w:rsidRDefault="003E3BA9">
            <w:pPr>
              <w:spacing w:after="0"/>
              <w:jc w:val="both"/>
            </w:pPr>
            <w:r>
              <w:rPr>
                <w:rFonts w:ascii="Arial" w:eastAsia="Arial" w:hAnsi="Arial" w:cs="Arial"/>
                <w:color w:val="808080"/>
                <w:sz w:val="14"/>
              </w:rPr>
              <w:t>Fuente: BANCO DE ESPAÑA/ SÍNTESIS DE INDICADORES 02/03/2020</w:t>
            </w:r>
          </w:p>
        </w:tc>
        <w:tc>
          <w:tcPr>
            <w:tcW w:w="1124" w:type="dxa"/>
            <w:vMerge w:val="restart"/>
            <w:tcBorders>
              <w:top w:val="single" w:sz="4" w:space="0" w:color="000000"/>
              <w:left w:val="nil"/>
              <w:bottom w:val="single" w:sz="4" w:space="0" w:color="D4D4D4"/>
              <w:right w:val="single" w:sz="4" w:space="0" w:color="000000"/>
            </w:tcBorders>
          </w:tcPr>
          <w:p w:rsidR="00FF384B" w:rsidRDefault="00FF384B"/>
        </w:tc>
        <w:tc>
          <w:tcPr>
            <w:tcW w:w="1124" w:type="dxa"/>
            <w:tcBorders>
              <w:top w:val="single" w:sz="4" w:space="0" w:color="000000"/>
              <w:left w:val="single" w:sz="4" w:space="0" w:color="D4D4D4"/>
              <w:bottom w:val="single" w:sz="4" w:space="0" w:color="000000"/>
              <w:right w:val="single" w:sz="4" w:space="0" w:color="D4D4D4"/>
            </w:tcBorders>
          </w:tcPr>
          <w:p w:rsidR="00FF384B" w:rsidRDefault="00FF384B"/>
        </w:tc>
        <w:tc>
          <w:tcPr>
            <w:tcW w:w="1124" w:type="dxa"/>
            <w:tcBorders>
              <w:top w:val="single" w:sz="4" w:space="0" w:color="000000"/>
              <w:left w:val="single" w:sz="4" w:space="0" w:color="D4D4D4"/>
              <w:bottom w:val="single" w:sz="4" w:space="0" w:color="000000"/>
              <w:right w:val="single" w:sz="4" w:space="0" w:color="000000"/>
            </w:tcBorders>
          </w:tcPr>
          <w:p w:rsidR="00FF384B" w:rsidRDefault="00FF384B"/>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
            </w:pPr>
            <w:r>
              <w:rPr>
                <w:rFonts w:ascii="Arial" w:eastAsia="Arial" w:hAnsi="Arial" w:cs="Arial"/>
                <w:sz w:val="18"/>
              </w:rPr>
              <w:t>Media</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sz w:val="18"/>
              </w:rPr>
              <w:t>0,30</w:t>
            </w:r>
          </w:p>
        </w:tc>
      </w:tr>
      <w:tr w:rsidR="00FF384B">
        <w:trPr>
          <w:trHeight w:val="230"/>
        </w:trPr>
        <w:tc>
          <w:tcPr>
            <w:tcW w:w="0" w:type="auto"/>
            <w:gridSpan w:val="2"/>
            <w:vMerge/>
            <w:tcBorders>
              <w:top w:val="nil"/>
              <w:left w:val="single" w:sz="4" w:space="0" w:color="D4D4D4"/>
              <w:bottom w:val="single" w:sz="4" w:space="0" w:color="D4D4D4"/>
              <w:right w:val="nil"/>
            </w:tcBorders>
          </w:tcPr>
          <w:p w:rsidR="00FF384B" w:rsidRDefault="00FF384B"/>
        </w:tc>
        <w:tc>
          <w:tcPr>
            <w:tcW w:w="0" w:type="auto"/>
            <w:vMerge/>
            <w:tcBorders>
              <w:top w:val="nil"/>
              <w:left w:val="nil"/>
              <w:bottom w:val="single" w:sz="4" w:space="0" w:color="D4D4D4"/>
              <w:right w:val="single" w:sz="4" w:space="0" w:color="000000"/>
            </w:tcBorders>
          </w:tcPr>
          <w:p w:rsidR="00FF384B" w:rsidRDefault="00FF384B"/>
        </w:tc>
        <w:tc>
          <w:tcPr>
            <w:tcW w:w="3371" w:type="dxa"/>
            <w:gridSpan w:val="3"/>
            <w:tcBorders>
              <w:top w:val="single" w:sz="4" w:space="0" w:color="000000"/>
              <w:left w:val="single" w:sz="4" w:space="0" w:color="000000"/>
              <w:bottom w:val="single" w:sz="4" w:space="0" w:color="000000"/>
              <w:right w:val="single" w:sz="4" w:space="0" w:color="000000"/>
            </w:tcBorders>
          </w:tcPr>
          <w:p w:rsidR="00FF384B" w:rsidRDefault="003E3BA9">
            <w:pPr>
              <w:spacing w:after="0"/>
              <w:ind w:left="11"/>
            </w:pPr>
            <w:r>
              <w:rPr>
                <w:rFonts w:ascii="Arial" w:eastAsia="Arial" w:hAnsi="Arial" w:cs="Arial"/>
                <w:b/>
                <w:sz w:val="18"/>
              </w:rPr>
              <w:t>Tasa de descuento: Media+200 (b)</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b/>
                <w:sz w:val="18"/>
              </w:rPr>
              <w:t>2,30</w:t>
            </w:r>
          </w:p>
        </w:tc>
      </w:tr>
    </w:tbl>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El periodo de recuperación de las inversiones se calcula en base de la normativa de aplicación en el siguiente cuadro:</w:t>
      </w:r>
    </w:p>
    <w:p w:rsidR="00FF384B" w:rsidRDefault="00FF384B">
      <w:pPr>
        <w:sectPr w:rsidR="00FF384B">
          <w:headerReference w:type="even" r:id="rId89"/>
          <w:headerReference w:type="default" r:id="rId90"/>
          <w:footerReference w:type="even" r:id="rId91"/>
          <w:footerReference w:type="default" r:id="rId92"/>
          <w:headerReference w:type="first" r:id="rId93"/>
          <w:footerReference w:type="first" r:id="rId94"/>
          <w:pgSz w:w="14174" w:h="16838"/>
          <w:pgMar w:top="1999" w:right="1780" w:bottom="1552" w:left="2836" w:header="708" w:footer="687" w:gutter="0"/>
          <w:cols w:space="720"/>
        </w:sectPr>
      </w:pPr>
    </w:p>
    <w:p w:rsidR="00FF384B" w:rsidRDefault="003E3BA9">
      <w:pPr>
        <w:spacing w:after="5917"/>
      </w:pPr>
      <w:r>
        <w:rPr>
          <w:noProof/>
        </w:rPr>
        <w:drawing>
          <wp:inline distT="0" distB="0" distL="0" distR="0">
            <wp:extent cx="609600" cy="701040"/>
            <wp:effectExtent l="0" t="0" r="0" b="0"/>
            <wp:docPr id="42335" name="Picture 42335"/>
            <wp:cNvGraphicFramePr/>
            <a:graphic xmlns:a="http://schemas.openxmlformats.org/drawingml/2006/main">
              <a:graphicData uri="http://schemas.openxmlformats.org/drawingml/2006/picture">
                <pic:pic xmlns:pic="http://schemas.openxmlformats.org/drawingml/2006/picture">
                  <pic:nvPicPr>
                    <pic:cNvPr id="42335" name="Picture 42335"/>
                    <pic:cNvPicPr/>
                  </pic:nvPicPr>
                  <pic:blipFill>
                    <a:blip r:embed="rId78"/>
                    <a:stretch>
                      <a:fillRect/>
                    </a:stretch>
                  </pic:blipFill>
                  <pic:spPr>
                    <a:xfrm>
                      <a:off x="0" y="0"/>
                      <a:ext cx="609600" cy="70104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3582"/>
      </w:pPr>
      <w:r>
        <w:rPr>
          <w:rFonts w:ascii="Times New Roman" w:eastAsia="Times New Roman" w:hAnsi="Times New Roman" w:cs="Times New Roman"/>
          <w:sz w:val="24"/>
        </w:rPr>
        <w:t xml:space="preserve"> </w:t>
      </w:r>
    </w:p>
    <w:p w:rsidR="00FF384B" w:rsidRDefault="003E3BA9">
      <w:pPr>
        <w:spacing w:after="0"/>
        <w:ind w:right="3582"/>
      </w:pPr>
      <w:r>
        <w:rPr>
          <w:rFonts w:ascii="Times New Roman" w:eastAsia="Times New Roman" w:hAnsi="Times New Roman" w:cs="Times New Roman"/>
          <w:sz w:val="24"/>
        </w:rPr>
        <w:t xml:space="preserve"> </w:t>
      </w:r>
    </w:p>
    <w:tbl>
      <w:tblPr>
        <w:tblStyle w:val="TableGrid"/>
        <w:tblpPr w:vertAnchor="text" w:tblpX="-280" w:tblpY="-6551"/>
        <w:tblOverlap w:val="never"/>
        <w:tblW w:w="15132" w:type="dxa"/>
        <w:tblInd w:w="0" w:type="dxa"/>
        <w:tblCellMar>
          <w:top w:w="9" w:type="dxa"/>
          <w:left w:w="22" w:type="dxa"/>
          <w:bottom w:w="0" w:type="dxa"/>
          <w:right w:w="23" w:type="dxa"/>
        </w:tblCellMar>
        <w:tblLook w:val="04A0" w:firstRow="1" w:lastRow="0" w:firstColumn="1" w:lastColumn="0" w:noHBand="0" w:noVBand="1"/>
      </w:tblPr>
      <w:tblGrid>
        <w:gridCol w:w="3564"/>
        <w:gridCol w:w="1435"/>
        <w:gridCol w:w="1783"/>
        <w:gridCol w:w="1330"/>
        <w:gridCol w:w="1170"/>
        <w:gridCol w:w="1170"/>
        <w:gridCol w:w="1170"/>
        <w:gridCol w:w="1170"/>
        <w:gridCol w:w="1171"/>
        <w:gridCol w:w="1170"/>
      </w:tblGrid>
      <w:tr w:rsidR="00FF384B">
        <w:trPr>
          <w:trHeight w:val="198"/>
        </w:trPr>
        <w:tc>
          <w:tcPr>
            <w:tcW w:w="3564" w:type="dxa"/>
            <w:tcBorders>
              <w:top w:val="single" w:sz="4" w:space="0" w:color="D4D4D4"/>
              <w:left w:val="single" w:sz="4" w:space="0" w:color="D4D4D4"/>
              <w:bottom w:val="single" w:sz="4" w:space="0" w:color="D4D4D4"/>
              <w:right w:val="nil"/>
            </w:tcBorders>
          </w:tcPr>
          <w:p w:rsidR="00FF384B" w:rsidRDefault="00FF384B"/>
        </w:tc>
        <w:tc>
          <w:tcPr>
            <w:tcW w:w="11568" w:type="dxa"/>
            <w:gridSpan w:val="9"/>
            <w:tcBorders>
              <w:top w:val="single" w:sz="4" w:space="0" w:color="D4D4D4"/>
              <w:left w:val="nil"/>
              <w:bottom w:val="single" w:sz="4" w:space="0" w:color="D4D4D4"/>
              <w:right w:val="single" w:sz="4" w:space="0" w:color="D4D4D4"/>
            </w:tcBorders>
          </w:tcPr>
          <w:p w:rsidR="00FF384B" w:rsidRDefault="003E3BA9">
            <w:pPr>
              <w:spacing w:after="0"/>
              <w:ind w:left="1983"/>
            </w:pPr>
            <w:r>
              <w:rPr>
                <w:rFonts w:ascii="Arial" w:eastAsia="Arial" w:hAnsi="Arial" w:cs="Arial"/>
                <w:b/>
                <w:sz w:val="15"/>
              </w:rPr>
              <w:t>PERIODO DE RECUPERACIÓN DE LA INVERSIÓN (PRI)</w:t>
            </w:r>
          </w:p>
        </w:tc>
      </w:tr>
      <w:tr w:rsidR="00FF384B">
        <w:trPr>
          <w:trHeight w:val="189"/>
        </w:trPr>
        <w:tc>
          <w:tcPr>
            <w:tcW w:w="3564" w:type="dxa"/>
            <w:tcBorders>
              <w:top w:val="single" w:sz="4" w:space="0" w:color="D4D4D4"/>
              <w:left w:val="single" w:sz="4" w:space="0" w:color="D4D4D4"/>
              <w:bottom w:val="single" w:sz="4" w:space="0" w:color="D4D4D4"/>
              <w:right w:val="single" w:sz="4" w:space="0" w:color="D4D4D4"/>
            </w:tcBorders>
          </w:tcPr>
          <w:p w:rsidR="00FF384B" w:rsidRDefault="00FF384B"/>
        </w:tc>
        <w:tc>
          <w:tcPr>
            <w:tcW w:w="1435" w:type="dxa"/>
            <w:tcBorders>
              <w:top w:val="single" w:sz="4" w:space="0" w:color="D4D4D4"/>
              <w:left w:val="single" w:sz="4" w:space="0" w:color="D4D4D4"/>
              <w:bottom w:val="single" w:sz="4" w:space="0" w:color="D4D4D4"/>
              <w:right w:val="single" w:sz="4" w:space="0" w:color="D4D4D4"/>
            </w:tcBorders>
          </w:tcPr>
          <w:p w:rsidR="00FF384B" w:rsidRDefault="00FF384B"/>
        </w:tc>
        <w:tc>
          <w:tcPr>
            <w:tcW w:w="1783" w:type="dxa"/>
            <w:tcBorders>
              <w:top w:val="single" w:sz="4" w:space="0" w:color="D4D4D4"/>
              <w:left w:val="single" w:sz="4" w:space="0" w:color="D4D4D4"/>
              <w:bottom w:val="single" w:sz="4" w:space="0" w:color="D4D4D4"/>
              <w:right w:val="single" w:sz="4" w:space="0" w:color="D4D4D4"/>
            </w:tcBorders>
          </w:tcPr>
          <w:p w:rsidR="00FF384B" w:rsidRDefault="00FF384B"/>
        </w:tc>
        <w:tc>
          <w:tcPr>
            <w:tcW w:w="133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1"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r>
      <w:tr w:rsidR="00FF384B">
        <w:trPr>
          <w:trHeight w:val="197"/>
        </w:trPr>
        <w:tc>
          <w:tcPr>
            <w:tcW w:w="3564" w:type="dxa"/>
            <w:tcBorders>
              <w:top w:val="single" w:sz="4" w:space="0" w:color="D4D4D4"/>
              <w:left w:val="single" w:sz="4" w:space="0" w:color="D4D4D4"/>
              <w:bottom w:val="single" w:sz="4" w:space="0" w:color="000000"/>
              <w:right w:val="nil"/>
            </w:tcBorders>
          </w:tcPr>
          <w:p w:rsidR="00FF384B" w:rsidRDefault="00FF384B"/>
        </w:tc>
        <w:tc>
          <w:tcPr>
            <w:tcW w:w="11568" w:type="dxa"/>
            <w:gridSpan w:val="9"/>
            <w:tcBorders>
              <w:top w:val="single" w:sz="4" w:space="0" w:color="D4D4D4"/>
              <w:left w:val="nil"/>
              <w:bottom w:val="single" w:sz="4" w:space="0" w:color="000000"/>
              <w:right w:val="single" w:sz="4" w:space="0" w:color="D4D4D4"/>
            </w:tcBorders>
          </w:tcPr>
          <w:p w:rsidR="00FF384B" w:rsidRDefault="003E3BA9">
            <w:pPr>
              <w:spacing w:after="0"/>
              <w:ind w:right="14"/>
              <w:jc w:val="right"/>
            </w:pPr>
            <w:r>
              <w:rPr>
                <w:rFonts w:ascii="Arial" w:eastAsia="Arial" w:hAnsi="Arial" w:cs="Arial"/>
                <w:sz w:val="15"/>
              </w:rPr>
              <w:t>EN Miles de €</w:t>
            </w:r>
          </w:p>
        </w:tc>
      </w:tr>
      <w:tr w:rsidR="00FF384B">
        <w:trPr>
          <w:trHeight w:val="200"/>
        </w:trPr>
        <w:tc>
          <w:tcPr>
            <w:tcW w:w="3564" w:type="dxa"/>
            <w:vMerge w:val="restart"/>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6"/>
              <w:jc w:val="center"/>
            </w:pPr>
            <w:r>
              <w:rPr>
                <w:rFonts w:ascii="Arial" w:eastAsia="Arial" w:hAnsi="Arial" w:cs="Arial"/>
                <w:b/>
                <w:sz w:val="18"/>
              </w:rPr>
              <w:t>CONCEPTO</w:t>
            </w:r>
          </w:p>
        </w:tc>
        <w:tc>
          <w:tcPr>
            <w:tcW w:w="11568" w:type="dxa"/>
            <w:gridSpan w:val="9"/>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8"/>
              <w:jc w:val="center"/>
            </w:pPr>
            <w:r>
              <w:rPr>
                <w:rFonts w:ascii="Arial" w:eastAsia="Arial" w:hAnsi="Arial" w:cs="Arial"/>
                <w:b/>
                <w:color w:val="FFFFFF"/>
                <w:sz w:val="15"/>
              </w:rPr>
              <w:t>Años</w:t>
            </w:r>
          </w:p>
        </w:tc>
      </w:tr>
      <w:tr w:rsidR="00FF384B">
        <w:trPr>
          <w:trHeight w:val="200"/>
        </w:trPr>
        <w:tc>
          <w:tcPr>
            <w:tcW w:w="0" w:type="auto"/>
            <w:vMerge/>
            <w:tcBorders>
              <w:top w:val="nil"/>
              <w:left w:val="single" w:sz="4" w:space="0" w:color="000000"/>
              <w:bottom w:val="nil"/>
              <w:right w:val="single" w:sz="4" w:space="0" w:color="000000"/>
            </w:tcBorders>
          </w:tcPr>
          <w:p w:rsidR="00FF384B" w:rsidRDefault="00FF384B"/>
        </w:tc>
        <w:tc>
          <w:tcPr>
            <w:tcW w:w="1435"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10"/>
              <w:jc w:val="center"/>
            </w:pPr>
            <w:r>
              <w:rPr>
                <w:rFonts w:ascii="Arial" w:eastAsia="Arial" w:hAnsi="Arial" w:cs="Arial"/>
                <w:b/>
                <w:color w:val="FFFFFF"/>
                <w:sz w:val="15"/>
              </w:rPr>
              <w:t>2021</w:t>
            </w:r>
          </w:p>
        </w:tc>
        <w:tc>
          <w:tcPr>
            <w:tcW w:w="1783"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right="1"/>
              <w:jc w:val="center"/>
            </w:pPr>
            <w:r>
              <w:rPr>
                <w:rFonts w:ascii="Arial" w:eastAsia="Arial" w:hAnsi="Arial" w:cs="Arial"/>
                <w:b/>
                <w:color w:val="FFFFFF"/>
                <w:sz w:val="15"/>
              </w:rPr>
              <w:t>2022</w:t>
            </w:r>
          </w:p>
        </w:tc>
        <w:tc>
          <w:tcPr>
            <w:tcW w:w="133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right="1"/>
              <w:jc w:val="center"/>
            </w:pPr>
            <w:r>
              <w:rPr>
                <w:rFonts w:ascii="Arial" w:eastAsia="Arial" w:hAnsi="Arial" w:cs="Arial"/>
                <w:b/>
                <w:color w:val="FFFFFF"/>
                <w:sz w:val="15"/>
              </w:rPr>
              <w:t>2023</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2024</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2025</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2026</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2027</w:t>
            </w:r>
          </w:p>
        </w:tc>
        <w:tc>
          <w:tcPr>
            <w:tcW w:w="1171"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8"/>
              <w:jc w:val="center"/>
            </w:pPr>
            <w:r>
              <w:rPr>
                <w:rFonts w:ascii="Arial" w:eastAsia="Arial" w:hAnsi="Arial" w:cs="Arial"/>
                <w:b/>
                <w:color w:val="FFFFFF"/>
                <w:sz w:val="15"/>
              </w:rPr>
              <w:t>2028</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6"/>
              <w:jc w:val="center"/>
            </w:pPr>
            <w:r>
              <w:rPr>
                <w:rFonts w:ascii="Arial" w:eastAsia="Arial" w:hAnsi="Arial" w:cs="Arial"/>
                <w:b/>
                <w:color w:val="FFFFFF"/>
                <w:sz w:val="15"/>
              </w:rPr>
              <w:t>2029</w:t>
            </w:r>
          </w:p>
        </w:tc>
      </w:tr>
      <w:tr w:rsidR="00FF384B">
        <w:trPr>
          <w:trHeight w:val="187"/>
        </w:trPr>
        <w:tc>
          <w:tcPr>
            <w:tcW w:w="0" w:type="auto"/>
            <w:vMerge/>
            <w:tcBorders>
              <w:top w:val="nil"/>
              <w:left w:val="single" w:sz="4" w:space="0" w:color="000000"/>
              <w:bottom w:val="single" w:sz="4" w:space="0" w:color="000000"/>
              <w:right w:val="single" w:sz="4" w:space="0" w:color="000000"/>
            </w:tcBorders>
          </w:tcPr>
          <w:p w:rsidR="00FF384B" w:rsidRDefault="00FF384B"/>
        </w:tc>
        <w:tc>
          <w:tcPr>
            <w:tcW w:w="143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2"/>
              <w:jc w:val="center"/>
            </w:pPr>
            <w:r>
              <w:rPr>
                <w:rFonts w:ascii="Arial" w:eastAsia="Arial" w:hAnsi="Arial" w:cs="Arial"/>
                <w:sz w:val="11"/>
              </w:rPr>
              <w:t>0</w:t>
            </w:r>
          </w:p>
        </w:tc>
        <w:tc>
          <w:tcPr>
            <w:tcW w:w="178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
              <w:jc w:val="center"/>
            </w:pPr>
            <w:r>
              <w:rPr>
                <w:rFonts w:ascii="Arial" w:eastAsia="Arial" w:hAnsi="Arial" w:cs="Arial"/>
                <w:sz w:val="11"/>
              </w:rPr>
              <w:t>1</w:t>
            </w:r>
          </w:p>
        </w:tc>
        <w:tc>
          <w:tcPr>
            <w:tcW w:w="133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
              <w:jc w:val="center"/>
            </w:pPr>
            <w:r>
              <w:rPr>
                <w:rFonts w:ascii="Arial" w:eastAsia="Arial" w:hAnsi="Arial" w:cs="Arial"/>
                <w:sz w:val="11"/>
              </w:rPr>
              <w:t>2</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3</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4</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5</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6</w:t>
            </w:r>
          </w:p>
        </w:tc>
        <w:tc>
          <w:tcPr>
            <w:tcW w:w="11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4"/>
              <w:jc w:val="center"/>
            </w:pPr>
            <w:r>
              <w:rPr>
                <w:rFonts w:ascii="Arial" w:eastAsia="Arial" w:hAnsi="Arial" w:cs="Arial"/>
                <w:sz w:val="11"/>
              </w:rPr>
              <w:t>7</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
              <w:jc w:val="center"/>
            </w:pPr>
            <w:r>
              <w:rPr>
                <w:rFonts w:ascii="Arial" w:eastAsia="Arial" w:hAnsi="Arial" w:cs="Arial"/>
                <w:sz w:val="11"/>
              </w:rPr>
              <w:t>8</w:t>
            </w:r>
          </w:p>
        </w:tc>
      </w:tr>
      <w:tr w:rsidR="00FF384B">
        <w:trPr>
          <w:trHeight w:val="204"/>
        </w:trPr>
        <w:tc>
          <w:tcPr>
            <w:tcW w:w="3564" w:type="dxa"/>
            <w:tcBorders>
              <w:top w:val="single" w:sz="4" w:space="0" w:color="000000"/>
              <w:left w:val="single" w:sz="4" w:space="0" w:color="000000"/>
              <w:bottom w:val="nil"/>
              <w:right w:val="single" w:sz="4" w:space="0" w:color="000000"/>
            </w:tcBorders>
            <w:shd w:val="clear" w:color="auto" w:fill="C4BD97"/>
          </w:tcPr>
          <w:p w:rsidR="00FF384B" w:rsidRDefault="003E3BA9">
            <w:pPr>
              <w:spacing w:after="0"/>
              <w:ind w:left="9"/>
            </w:pPr>
            <w:r>
              <w:rPr>
                <w:rFonts w:ascii="Arial" w:eastAsia="Arial" w:hAnsi="Arial" w:cs="Arial"/>
                <w:b/>
                <w:sz w:val="15"/>
              </w:rPr>
              <w:t>INGRESOS ANUALES ESTIMADOS</w:t>
            </w:r>
          </w:p>
        </w:tc>
        <w:tc>
          <w:tcPr>
            <w:tcW w:w="1435"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783"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33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1"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r>
      <w:tr w:rsidR="00FF384B">
        <w:trPr>
          <w:trHeight w:val="184"/>
        </w:trPr>
        <w:tc>
          <w:tcPr>
            <w:tcW w:w="3564" w:type="dxa"/>
            <w:tcBorders>
              <w:top w:val="nil"/>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Contrato Ayto</w:t>
            </w:r>
          </w:p>
        </w:tc>
        <w:tc>
          <w:tcPr>
            <w:tcW w:w="1435" w:type="dxa"/>
            <w:tcBorders>
              <w:top w:val="nil"/>
              <w:left w:val="single" w:sz="4" w:space="0" w:color="000000"/>
              <w:bottom w:val="single" w:sz="4" w:space="0" w:color="D4D4D4"/>
              <w:right w:val="single" w:sz="4" w:space="0" w:color="000000"/>
            </w:tcBorders>
          </w:tcPr>
          <w:p w:rsidR="00FF384B" w:rsidRDefault="00FF384B"/>
        </w:tc>
        <w:tc>
          <w:tcPr>
            <w:tcW w:w="1783"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33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w:t>
            </w:r>
            <w:r>
              <w:rPr>
                <w:rFonts w:ascii="Arial" w:eastAsia="Arial" w:hAnsi="Arial" w:cs="Arial"/>
                <w:sz w:val="14"/>
              </w:rPr>
              <w:t>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1"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7"/>
            </w:pPr>
            <w:r>
              <w:rPr>
                <w:rFonts w:ascii="Arial" w:eastAsia="Arial" w:hAnsi="Arial" w:cs="Arial"/>
                <w:sz w:val="14"/>
              </w:rPr>
              <w:t xml:space="preserve">    2.757.207,79 €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Venta Selectiva</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7"/>
            </w:pPr>
            <w:r>
              <w:rPr>
                <w:rFonts w:ascii="Arial" w:eastAsia="Arial" w:hAnsi="Arial" w:cs="Arial"/>
                <w:sz w:val="14"/>
              </w:rPr>
              <w:t xml:space="preserve">         80.000,00 €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FF384B"/>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FF384B"/>
        </w:tc>
        <w:tc>
          <w:tcPr>
            <w:tcW w:w="133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1"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FF384B"/>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FF384B"/>
        </w:tc>
        <w:tc>
          <w:tcPr>
            <w:tcW w:w="133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1"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r>
      <w:tr w:rsidR="00FF384B">
        <w:trPr>
          <w:trHeight w:val="184"/>
        </w:trPr>
        <w:tc>
          <w:tcPr>
            <w:tcW w:w="3564" w:type="dxa"/>
            <w:tcBorders>
              <w:top w:val="single" w:sz="4" w:space="0" w:color="D4D4D4"/>
              <w:left w:val="single" w:sz="4" w:space="0" w:color="000000"/>
              <w:bottom w:val="nil"/>
              <w:right w:val="single" w:sz="4" w:space="0" w:color="000000"/>
            </w:tcBorders>
          </w:tcPr>
          <w:p w:rsidR="00FF384B" w:rsidRDefault="00FF384B"/>
        </w:tc>
        <w:tc>
          <w:tcPr>
            <w:tcW w:w="1435" w:type="dxa"/>
            <w:tcBorders>
              <w:top w:val="single" w:sz="4" w:space="0" w:color="D4D4D4"/>
              <w:left w:val="single" w:sz="4" w:space="0" w:color="000000"/>
              <w:bottom w:val="nil"/>
              <w:right w:val="single" w:sz="4" w:space="0" w:color="000000"/>
            </w:tcBorders>
          </w:tcPr>
          <w:p w:rsidR="00FF384B" w:rsidRDefault="00FF384B"/>
        </w:tc>
        <w:tc>
          <w:tcPr>
            <w:tcW w:w="1783" w:type="dxa"/>
            <w:tcBorders>
              <w:top w:val="single" w:sz="4" w:space="0" w:color="D4D4D4"/>
              <w:left w:val="single" w:sz="4" w:space="0" w:color="000000"/>
              <w:bottom w:val="nil"/>
              <w:right w:val="single" w:sz="4" w:space="0" w:color="000000"/>
            </w:tcBorders>
          </w:tcPr>
          <w:p w:rsidR="00FF384B" w:rsidRDefault="00FF384B"/>
        </w:tc>
        <w:tc>
          <w:tcPr>
            <w:tcW w:w="133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1"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r>
      <w:tr w:rsidR="00FF384B">
        <w:trPr>
          <w:trHeight w:val="194"/>
        </w:trPr>
        <w:tc>
          <w:tcPr>
            <w:tcW w:w="3564" w:type="dxa"/>
            <w:tcBorders>
              <w:top w:val="nil"/>
              <w:left w:val="single" w:sz="4" w:space="0" w:color="000000"/>
              <w:bottom w:val="nil"/>
              <w:right w:val="single" w:sz="4" w:space="0" w:color="000000"/>
            </w:tcBorders>
            <w:shd w:val="clear" w:color="auto" w:fill="C4BD97"/>
          </w:tcPr>
          <w:p w:rsidR="00FF384B" w:rsidRDefault="003E3BA9">
            <w:pPr>
              <w:spacing w:after="0"/>
            </w:pPr>
            <w:r>
              <w:rPr>
                <w:rFonts w:ascii="Arial" w:eastAsia="Arial" w:hAnsi="Arial" w:cs="Arial"/>
                <w:sz w:val="14"/>
              </w:rPr>
              <w:t>TOTAL INGRESOS</w:t>
            </w:r>
          </w:p>
        </w:tc>
        <w:tc>
          <w:tcPr>
            <w:tcW w:w="1435" w:type="dxa"/>
            <w:tcBorders>
              <w:top w:val="nil"/>
              <w:left w:val="single" w:sz="4" w:space="0" w:color="000000"/>
              <w:bottom w:val="nil"/>
              <w:right w:val="single" w:sz="4" w:space="0" w:color="000000"/>
            </w:tcBorders>
            <w:shd w:val="clear" w:color="auto" w:fill="C4BD97"/>
          </w:tcPr>
          <w:p w:rsidR="00FF384B" w:rsidRDefault="00FF384B"/>
        </w:tc>
        <w:tc>
          <w:tcPr>
            <w:tcW w:w="1783"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33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9"/>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w:t>
            </w:r>
            <w:r>
              <w:rPr>
                <w:rFonts w:ascii="Arial" w:eastAsia="Arial" w:hAnsi="Arial" w:cs="Arial"/>
                <w:sz w:val="14"/>
              </w:rPr>
              <w:t>2.837.207,79 €</w:t>
            </w:r>
          </w:p>
        </w:tc>
        <w:tc>
          <w:tcPr>
            <w:tcW w:w="1171"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7"/>
            </w:pPr>
            <w:r>
              <w:rPr>
                <w:rFonts w:ascii="Arial" w:eastAsia="Arial" w:hAnsi="Arial" w:cs="Arial"/>
                <w:sz w:val="14"/>
              </w:rPr>
              <w:t xml:space="preserve">    2.837.207,79 €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203"/>
        </w:trPr>
        <w:tc>
          <w:tcPr>
            <w:tcW w:w="3564" w:type="dxa"/>
            <w:tcBorders>
              <w:top w:val="nil"/>
              <w:left w:val="single" w:sz="4" w:space="0" w:color="000000"/>
              <w:bottom w:val="nil"/>
              <w:right w:val="single" w:sz="4" w:space="0" w:color="000000"/>
            </w:tcBorders>
            <w:shd w:val="clear" w:color="auto" w:fill="FABF8F"/>
          </w:tcPr>
          <w:p w:rsidR="00FF384B" w:rsidRDefault="003E3BA9">
            <w:pPr>
              <w:spacing w:after="0"/>
            </w:pPr>
            <w:r>
              <w:rPr>
                <w:rFonts w:ascii="Arial" w:eastAsia="Arial" w:hAnsi="Arial" w:cs="Arial"/>
                <w:b/>
                <w:sz w:val="14"/>
              </w:rPr>
              <w:t>GASTOS ANUALES ESTIMADOS</w:t>
            </w:r>
          </w:p>
        </w:tc>
        <w:tc>
          <w:tcPr>
            <w:tcW w:w="1435" w:type="dxa"/>
            <w:tcBorders>
              <w:top w:val="nil"/>
              <w:left w:val="single" w:sz="4" w:space="0" w:color="000000"/>
              <w:bottom w:val="nil"/>
              <w:right w:val="single" w:sz="4" w:space="0" w:color="000000"/>
            </w:tcBorders>
            <w:shd w:val="clear" w:color="auto" w:fill="FABF8F"/>
          </w:tcPr>
          <w:p w:rsidR="00FF384B" w:rsidRDefault="00FF384B"/>
        </w:tc>
        <w:tc>
          <w:tcPr>
            <w:tcW w:w="1783" w:type="dxa"/>
            <w:tcBorders>
              <w:top w:val="nil"/>
              <w:left w:val="single" w:sz="4" w:space="0" w:color="000000"/>
              <w:bottom w:val="nil"/>
              <w:right w:val="single" w:sz="4" w:space="0" w:color="000000"/>
            </w:tcBorders>
            <w:shd w:val="clear" w:color="auto" w:fill="FABF8F"/>
          </w:tcPr>
          <w:p w:rsidR="00FF384B" w:rsidRDefault="00FF384B"/>
        </w:tc>
        <w:tc>
          <w:tcPr>
            <w:tcW w:w="133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1"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r>
      <w:tr w:rsidR="00FF384B">
        <w:trPr>
          <w:trHeight w:val="184"/>
        </w:trPr>
        <w:tc>
          <w:tcPr>
            <w:tcW w:w="3564" w:type="dxa"/>
            <w:tcBorders>
              <w:top w:val="nil"/>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Inversion parque movil</w:t>
            </w:r>
          </w:p>
        </w:tc>
        <w:tc>
          <w:tcPr>
            <w:tcW w:w="1435" w:type="dxa"/>
            <w:tcBorders>
              <w:top w:val="nil"/>
              <w:left w:val="single" w:sz="4" w:space="0" w:color="000000"/>
              <w:bottom w:val="single" w:sz="4" w:space="0" w:color="D4D4D4"/>
              <w:right w:val="single" w:sz="4" w:space="0" w:color="000000"/>
            </w:tcBorders>
          </w:tcPr>
          <w:p w:rsidR="00FF384B" w:rsidRDefault="003E3BA9">
            <w:pPr>
              <w:spacing w:after="0"/>
              <w:ind w:left="12"/>
            </w:pPr>
            <w:r>
              <w:rPr>
                <w:rFonts w:ascii="Arial" w:eastAsia="Arial" w:hAnsi="Arial" w:cs="Arial"/>
                <w:sz w:val="14"/>
              </w:rPr>
              <w:t>-           3.568.354,60 €</w:t>
            </w:r>
          </w:p>
        </w:tc>
        <w:tc>
          <w:tcPr>
            <w:tcW w:w="1783" w:type="dxa"/>
            <w:tcBorders>
              <w:top w:val="nil"/>
              <w:left w:val="single" w:sz="4" w:space="0" w:color="000000"/>
              <w:bottom w:val="single" w:sz="4" w:space="0" w:color="D4D4D4"/>
              <w:right w:val="single" w:sz="4" w:space="0" w:color="000000"/>
            </w:tcBorders>
          </w:tcPr>
          <w:p w:rsidR="00FF384B" w:rsidRDefault="00FF384B"/>
        </w:tc>
        <w:tc>
          <w:tcPr>
            <w:tcW w:w="133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1"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Personal</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1.734.644,62 €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1.771.072,16 €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1.795.867,17 €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xml:space="preserve">-    </w:t>
            </w:r>
            <w:r>
              <w:rPr>
                <w:rFonts w:ascii="Arial" w:eastAsia="Arial" w:hAnsi="Arial" w:cs="Arial"/>
                <w:sz w:val="14"/>
              </w:rPr>
              <w:t>1.821.009,31 €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1.846.503,44 €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1.872.354,49 €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1.898.567,45 €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9"/>
            </w:pPr>
            <w:r>
              <w:rPr>
                <w:rFonts w:ascii="Arial" w:eastAsia="Arial" w:hAnsi="Arial" w:cs="Arial"/>
                <w:sz w:val="14"/>
              </w:rPr>
              <w:t>-    1.925.147,40 €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coste medios materiales</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278.588,32 €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282.488,56 €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286.443,40 €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290.453,60 €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294.519,95 €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xml:space="preserve">-       </w:t>
            </w:r>
            <w:r>
              <w:rPr>
                <w:rFonts w:ascii="Arial" w:eastAsia="Arial" w:hAnsi="Arial" w:cs="Arial"/>
                <w:sz w:val="14"/>
              </w:rPr>
              <w:t>298.643,23 €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302.824,24 €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9"/>
            </w:pPr>
            <w:r>
              <w:rPr>
                <w:rFonts w:ascii="Arial" w:eastAsia="Arial" w:hAnsi="Arial" w:cs="Arial"/>
                <w:sz w:val="14"/>
              </w:rPr>
              <w:t>-       307.063,78 €</w:t>
            </w:r>
          </w:p>
        </w:tc>
      </w:tr>
      <w:tr w:rsidR="00FF384B">
        <w:trPr>
          <w:trHeight w:val="184"/>
        </w:trPr>
        <w:tc>
          <w:tcPr>
            <w:tcW w:w="3564" w:type="dxa"/>
            <w:tcBorders>
              <w:top w:val="single" w:sz="4" w:space="0" w:color="D4D4D4"/>
              <w:left w:val="single" w:sz="4" w:space="0" w:color="000000"/>
              <w:bottom w:val="nil"/>
              <w:right w:val="single" w:sz="4" w:space="0" w:color="000000"/>
            </w:tcBorders>
          </w:tcPr>
          <w:p w:rsidR="00FF384B" w:rsidRDefault="003E3BA9">
            <w:pPr>
              <w:spacing w:after="0"/>
            </w:pPr>
            <w:r>
              <w:rPr>
                <w:rFonts w:ascii="Arial" w:eastAsia="Arial" w:hAnsi="Arial" w:cs="Arial"/>
                <w:sz w:val="14"/>
              </w:rPr>
              <w:t>Gastos generales</w:t>
            </w:r>
          </w:p>
        </w:tc>
        <w:tc>
          <w:tcPr>
            <w:tcW w:w="1435" w:type="dxa"/>
            <w:tcBorders>
              <w:top w:val="single" w:sz="4" w:space="0" w:color="D4D4D4"/>
              <w:left w:val="single" w:sz="4" w:space="0" w:color="000000"/>
              <w:bottom w:val="nil"/>
              <w:right w:val="single" w:sz="4" w:space="0" w:color="000000"/>
            </w:tcBorders>
          </w:tcPr>
          <w:p w:rsidR="00FF384B" w:rsidRDefault="00FF384B"/>
        </w:tc>
        <w:tc>
          <w:tcPr>
            <w:tcW w:w="1783"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33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1"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9"/>
            </w:pPr>
            <w:r>
              <w:rPr>
                <w:rFonts w:ascii="Arial" w:eastAsia="Arial" w:hAnsi="Arial" w:cs="Arial"/>
                <w:sz w:val="14"/>
              </w:rPr>
              <w:t xml:space="preserve">-       </w:t>
            </w:r>
            <w:r>
              <w:rPr>
                <w:rFonts w:ascii="Arial" w:eastAsia="Arial" w:hAnsi="Arial" w:cs="Arial"/>
                <w:sz w:val="14"/>
              </w:rPr>
              <w:t>127.126,48 €</w:t>
            </w:r>
          </w:p>
        </w:tc>
      </w:tr>
      <w:tr w:rsidR="00FF384B">
        <w:trPr>
          <w:trHeight w:val="194"/>
        </w:trPr>
        <w:tc>
          <w:tcPr>
            <w:tcW w:w="3564" w:type="dxa"/>
            <w:tcBorders>
              <w:top w:val="nil"/>
              <w:left w:val="single" w:sz="4" w:space="0" w:color="000000"/>
              <w:bottom w:val="nil"/>
              <w:right w:val="single" w:sz="4" w:space="0" w:color="000000"/>
            </w:tcBorders>
            <w:shd w:val="clear" w:color="auto" w:fill="F79646"/>
          </w:tcPr>
          <w:p w:rsidR="00FF384B" w:rsidRDefault="003E3BA9">
            <w:pPr>
              <w:spacing w:after="0"/>
            </w:pPr>
            <w:r>
              <w:rPr>
                <w:rFonts w:ascii="Arial" w:eastAsia="Arial" w:hAnsi="Arial" w:cs="Arial"/>
                <w:sz w:val="14"/>
              </w:rPr>
              <w:t>TOTAL DE GASTOS</w:t>
            </w:r>
          </w:p>
        </w:tc>
        <w:tc>
          <w:tcPr>
            <w:tcW w:w="1435" w:type="dxa"/>
            <w:tcBorders>
              <w:top w:val="nil"/>
              <w:left w:val="single" w:sz="4" w:space="0" w:color="000000"/>
              <w:bottom w:val="nil"/>
              <w:right w:val="single" w:sz="4" w:space="0" w:color="000000"/>
            </w:tcBorders>
            <w:shd w:val="clear" w:color="auto" w:fill="F79646"/>
          </w:tcPr>
          <w:p w:rsidR="00FF384B" w:rsidRDefault="003E3BA9">
            <w:pPr>
              <w:spacing w:after="0"/>
              <w:ind w:left="12"/>
            </w:pPr>
            <w:r>
              <w:rPr>
                <w:rFonts w:ascii="Arial" w:eastAsia="Arial" w:hAnsi="Arial" w:cs="Arial"/>
                <w:sz w:val="14"/>
              </w:rPr>
              <w:t>-           3.568.354,60 €</w:t>
            </w:r>
          </w:p>
        </w:tc>
        <w:tc>
          <w:tcPr>
            <w:tcW w:w="1783"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2.140.359,42 €</w:t>
            </w:r>
          </w:p>
        </w:tc>
        <w:tc>
          <w:tcPr>
            <w:tcW w:w="133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2.180.687,19 €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2.209.437,04 €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2.238.589,39 €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2.268.149,87 €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2.298.124,20 €</w:t>
            </w:r>
          </w:p>
        </w:tc>
        <w:tc>
          <w:tcPr>
            <w:tcW w:w="1171"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2.328.518,17 €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9"/>
            </w:pPr>
            <w:r>
              <w:rPr>
                <w:rFonts w:ascii="Arial" w:eastAsia="Arial" w:hAnsi="Arial" w:cs="Arial"/>
                <w:sz w:val="14"/>
              </w:rPr>
              <w:t>-    2.359.337,65 €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vAlign w:val="center"/>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198"/>
        </w:trPr>
        <w:tc>
          <w:tcPr>
            <w:tcW w:w="3564" w:type="dxa"/>
            <w:tcBorders>
              <w:top w:val="nil"/>
              <w:left w:val="single" w:sz="4" w:space="0" w:color="000000"/>
              <w:bottom w:val="nil"/>
              <w:right w:val="single" w:sz="4" w:space="0" w:color="000000"/>
            </w:tcBorders>
            <w:shd w:val="clear" w:color="auto" w:fill="C4D79B"/>
          </w:tcPr>
          <w:p w:rsidR="00FF384B" w:rsidRDefault="003E3BA9">
            <w:pPr>
              <w:spacing w:after="0"/>
              <w:ind w:left="9"/>
            </w:pPr>
            <w:r>
              <w:rPr>
                <w:rFonts w:ascii="Arial" w:eastAsia="Arial" w:hAnsi="Arial" w:cs="Arial"/>
                <w:b/>
                <w:sz w:val="15"/>
              </w:rPr>
              <w:t>Flujo de caja</w:t>
            </w:r>
          </w:p>
        </w:tc>
        <w:tc>
          <w:tcPr>
            <w:tcW w:w="1435" w:type="dxa"/>
            <w:tcBorders>
              <w:top w:val="nil"/>
              <w:left w:val="single" w:sz="4" w:space="0" w:color="000000"/>
              <w:bottom w:val="nil"/>
              <w:right w:val="single" w:sz="4" w:space="0" w:color="000000"/>
            </w:tcBorders>
            <w:shd w:val="clear" w:color="auto" w:fill="C4D79B"/>
          </w:tcPr>
          <w:p w:rsidR="00FF384B" w:rsidRDefault="003E3BA9">
            <w:pPr>
              <w:spacing w:after="0"/>
              <w:ind w:left="12"/>
            </w:pPr>
            <w:r>
              <w:rPr>
                <w:rFonts w:ascii="Arial" w:eastAsia="Arial" w:hAnsi="Arial" w:cs="Arial"/>
                <w:sz w:val="14"/>
              </w:rPr>
              <w:t>-           3.568.354,60 €</w:t>
            </w:r>
          </w:p>
        </w:tc>
        <w:tc>
          <w:tcPr>
            <w:tcW w:w="1783"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696.848,37 €</w:t>
            </w:r>
          </w:p>
        </w:tc>
        <w:tc>
          <w:tcPr>
            <w:tcW w:w="133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656.520,60 €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627.770,75 €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598.618,40 €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569.057,92 €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539.083,59 €</w:t>
            </w:r>
          </w:p>
        </w:tc>
        <w:tc>
          <w:tcPr>
            <w:tcW w:w="1171"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508.689,62 €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7"/>
            </w:pPr>
            <w:r>
              <w:rPr>
                <w:rFonts w:ascii="Arial" w:eastAsia="Arial" w:hAnsi="Arial" w:cs="Arial"/>
                <w:sz w:val="14"/>
              </w:rPr>
              <w:t xml:space="preserve">       477.870,14 €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vAlign w:val="center"/>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236"/>
        </w:trPr>
        <w:tc>
          <w:tcPr>
            <w:tcW w:w="3564" w:type="dxa"/>
            <w:tcBorders>
              <w:top w:val="nil"/>
              <w:left w:val="single" w:sz="4" w:space="0" w:color="000000"/>
              <w:bottom w:val="nil"/>
              <w:right w:val="single" w:sz="4" w:space="0" w:color="000000"/>
            </w:tcBorders>
            <w:shd w:val="clear" w:color="auto" w:fill="C5D9F1"/>
          </w:tcPr>
          <w:p w:rsidR="00FF384B" w:rsidRDefault="003E3BA9">
            <w:pPr>
              <w:spacing w:after="0"/>
            </w:pPr>
            <w:r>
              <w:rPr>
                <w:rFonts w:ascii="Arial" w:eastAsia="Arial" w:hAnsi="Arial" w:cs="Arial"/>
                <w:sz w:val="14"/>
              </w:rPr>
              <w:t>FLUJO NETO DE CAJA Definitivo (FC</w:t>
            </w:r>
            <w:r>
              <w:rPr>
                <w:rFonts w:ascii="Arial" w:eastAsia="Arial" w:hAnsi="Arial" w:cs="Arial"/>
                <w:sz w:val="14"/>
                <w:vertAlign w:val="subscript"/>
              </w:rPr>
              <w:t>t</w:t>
            </w:r>
            <w:r>
              <w:rPr>
                <w:rFonts w:ascii="Arial" w:eastAsia="Arial" w:hAnsi="Arial" w:cs="Arial"/>
                <w:sz w:val="14"/>
              </w:rPr>
              <w:t>)</w:t>
            </w:r>
          </w:p>
        </w:tc>
        <w:tc>
          <w:tcPr>
            <w:tcW w:w="1435" w:type="dxa"/>
            <w:tcBorders>
              <w:top w:val="nil"/>
              <w:left w:val="single" w:sz="4" w:space="0" w:color="000000"/>
              <w:bottom w:val="nil"/>
              <w:right w:val="single" w:sz="4" w:space="0" w:color="000000"/>
            </w:tcBorders>
            <w:shd w:val="clear" w:color="auto" w:fill="C5D9F1"/>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nil"/>
              <w:right w:val="single" w:sz="4" w:space="0" w:color="000000"/>
            </w:tcBorders>
            <w:shd w:val="clear" w:color="auto" w:fill="C5D9F1"/>
          </w:tcPr>
          <w:p w:rsidR="00FF384B" w:rsidRDefault="003E3BA9">
            <w:pPr>
              <w:spacing w:after="0"/>
              <w:ind w:left="3"/>
              <w:jc w:val="center"/>
            </w:pPr>
            <w:r>
              <w:rPr>
                <w:rFonts w:ascii="Arial" w:eastAsia="Arial" w:hAnsi="Arial" w:cs="Arial"/>
                <w:sz w:val="14"/>
              </w:rPr>
              <w:t>696848,37</w:t>
            </w:r>
          </w:p>
        </w:tc>
        <w:tc>
          <w:tcPr>
            <w:tcW w:w="1330" w:type="dxa"/>
            <w:tcBorders>
              <w:top w:val="nil"/>
              <w:left w:val="single" w:sz="4" w:space="0" w:color="000000"/>
              <w:bottom w:val="nil"/>
              <w:right w:val="single" w:sz="4" w:space="0" w:color="000000"/>
            </w:tcBorders>
            <w:shd w:val="clear" w:color="auto" w:fill="C5D9F1"/>
          </w:tcPr>
          <w:p w:rsidR="00FF384B" w:rsidRDefault="003E3BA9">
            <w:pPr>
              <w:spacing w:after="0"/>
              <w:ind w:left="3"/>
              <w:jc w:val="center"/>
            </w:pPr>
            <w:r>
              <w:rPr>
                <w:rFonts w:ascii="Arial" w:eastAsia="Arial" w:hAnsi="Arial" w:cs="Arial"/>
                <w:sz w:val="14"/>
              </w:rPr>
              <w:t>656520,60</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2"/>
              <w:jc w:val="center"/>
            </w:pPr>
            <w:r>
              <w:rPr>
                <w:rFonts w:ascii="Arial" w:eastAsia="Arial" w:hAnsi="Arial" w:cs="Arial"/>
                <w:sz w:val="14"/>
              </w:rPr>
              <w:t>627770,75</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3"/>
              <w:jc w:val="center"/>
            </w:pPr>
            <w:r>
              <w:rPr>
                <w:rFonts w:ascii="Arial" w:eastAsia="Arial" w:hAnsi="Arial" w:cs="Arial"/>
                <w:sz w:val="14"/>
              </w:rPr>
              <w:t>598618,40</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3"/>
              <w:jc w:val="center"/>
            </w:pPr>
            <w:r>
              <w:rPr>
                <w:rFonts w:ascii="Arial" w:eastAsia="Arial" w:hAnsi="Arial" w:cs="Arial"/>
                <w:sz w:val="14"/>
              </w:rPr>
              <w:t>569057,92</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2"/>
              <w:jc w:val="center"/>
            </w:pPr>
            <w:r>
              <w:rPr>
                <w:rFonts w:ascii="Arial" w:eastAsia="Arial" w:hAnsi="Arial" w:cs="Arial"/>
                <w:sz w:val="14"/>
              </w:rPr>
              <w:t>539083,59</w:t>
            </w:r>
          </w:p>
        </w:tc>
        <w:tc>
          <w:tcPr>
            <w:tcW w:w="1171" w:type="dxa"/>
            <w:tcBorders>
              <w:top w:val="nil"/>
              <w:left w:val="single" w:sz="4" w:space="0" w:color="000000"/>
              <w:bottom w:val="nil"/>
              <w:right w:val="single" w:sz="4" w:space="0" w:color="000000"/>
            </w:tcBorders>
            <w:shd w:val="clear" w:color="auto" w:fill="C5D9F1"/>
          </w:tcPr>
          <w:p w:rsidR="00FF384B" w:rsidRDefault="003E3BA9">
            <w:pPr>
              <w:spacing w:after="0"/>
              <w:ind w:left="11"/>
              <w:jc w:val="center"/>
            </w:pPr>
            <w:r>
              <w:rPr>
                <w:rFonts w:ascii="Arial" w:eastAsia="Arial" w:hAnsi="Arial" w:cs="Arial"/>
                <w:sz w:val="14"/>
              </w:rPr>
              <w:t>508689,62</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0"/>
              <w:jc w:val="center"/>
            </w:pPr>
            <w:r>
              <w:rPr>
                <w:rFonts w:ascii="Arial" w:eastAsia="Arial" w:hAnsi="Arial" w:cs="Arial"/>
                <w:sz w:val="14"/>
              </w:rPr>
              <w:t>477870,14</w:t>
            </w:r>
          </w:p>
        </w:tc>
      </w:tr>
      <w:tr w:rsidR="00FF384B">
        <w:trPr>
          <w:trHeight w:val="194"/>
        </w:trPr>
        <w:tc>
          <w:tcPr>
            <w:tcW w:w="3564" w:type="dxa"/>
            <w:tcBorders>
              <w:top w:val="nil"/>
              <w:left w:val="single" w:sz="4" w:space="0" w:color="000000"/>
              <w:bottom w:val="nil"/>
              <w:right w:val="single" w:sz="4" w:space="0" w:color="000000"/>
            </w:tcBorders>
            <w:shd w:val="clear" w:color="auto" w:fill="C5D9F1"/>
          </w:tcPr>
          <w:p w:rsidR="00FF384B" w:rsidRDefault="003E3BA9">
            <w:pPr>
              <w:spacing w:after="0"/>
            </w:pPr>
            <w:r>
              <w:rPr>
                <w:rFonts w:ascii="Arial" w:eastAsia="Arial" w:hAnsi="Arial" w:cs="Arial"/>
                <w:sz w:val="14"/>
              </w:rPr>
              <w:t>Tasa de descuento (b)</w:t>
            </w:r>
          </w:p>
        </w:tc>
        <w:tc>
          <w:tcPr>
            <w:tcW w:w="1435" w:type="dxa"/>
            <w:tcBorders>
              <w:top w:val="nil"/>
              <w:left w:val="single" w:sz="4" w:space="0" w:color="000000"/>
              <w:bottom w:val="nil"/>
              <w:right w:val="single" w:sz="4" w:space="0" w:color="000000"/>
            </w:tcBorders>
            <w:shd w:val="clear" w:color="auto" w:fill="C5D9F1"/>
          </w:tcPr>
          <w:p w:rsidR="00FF384B" w:rsidRDefault="003E3BA9">
            <w:pPr>
              <w:spacing w:after="0"/>
              <w:ind w:left="14"/>
              <w:jc w:val="center"/>
            </w:pPr>
            <w:r>
              <w:rPr>
                <w:rFonts w:ascii="Arial" w:eastAsia="Arial" w:hAnsi="Arial" w:cs="Arial"/>
                <w:sz w:val="14"/>
              </w:rPr>
              <w:t>2,30</w:t>
            </w:r>
          </w:p>
        </w:tc>
        <w:tc>
          <w:tcPr>
            <w:tcW w:w="1783" w:type="dxa"/>
            <w:tcBorders>
              <w:top w:val="nil"/>
              <w:left w:val="single" w:sz="4" w:space="0" w:color="000000"/>
              <w:bottom w:val="nil"/>
              <w:right w:val="single" w:sz="4" w:space="0" w:color="000000"/>
            </w:tcBorders>
            <w:shd w:val="clear" w:color="auto" w:fill="808080"/>
          </w:tcPr>
          <w:p w:rsidR="00FF384B" w:rsidRDefault="00FF384B"/>
        </w:tc>
        <w:tc>
          <w:tcPr>
            <w:tcW w:w="133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1"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r>
      <w:tr w:rsidR="00FF384B">
        <w:trPr>
          <w:trHeight w:val="227"/>
        </w:trPr>
        <w:tc>
          <w:tcPr>
            <w:tcW w:w="3564" w:type="dxa"/>
            <w:tcBorders>
              <w:top w:val="nil"/>
              <w:left w:val="single" w:sz="4" w:space="0" w:color="000000"/>
              <w:bottom w:val="nil"/>
              <w:right w:val="single" w:sz="4" w:space="0" w:color="000000"/>
            </w:tcBorders>
          </w:tcPr>
          <w:p w:rsidR="00FF384B" w:rsidRDefault="003E3BA9">
            <w:pPr>
              <w:spacing w:after="0"/>
              <w:jc w:val="right"/>
            </w:pPr>
            <w:r>
              <w:rPr>
                <w:rFonts w:ascii="Arial" w:eastAsia="Arial" w:hAnsi="Arial" w:cs="Arial"/>
                <w:sz w:val="14"/>
              </w:rPr>
              <w:t>A efectos del pago siguiente:</w:t>
            </w:r>
          </w:p>
        </w:tc>
        <w:tc>
          <w:tcPr>
            <w:tcW w:w="1435" w:type="dxa"/>
            <w:tcBorders>
              <w:top w:val="nil"/>
              <w:left w:val="single" w:sz="4" w:space="0" w:color="000000"/>
              <w:bottom w:val="nil"/>
              <w:right w:val="single" w:sz="4" w:space="0" w:color="000000"/>
            </w:tcBorders>
          </w:tcPr>
          <w:p w:rsidR="00FF384B" w:rsidRDefault="003E3BA9">
            <w:pPr>
              <w:spacing w:after="0"/>
              <w:ind w:left="78"/>
            </w:pPr>
            <w:r>
              <w:rPr>
                <w:rFonts w:ascii="Arial" w:eastAsia="Arial" w:hAnsi="Arial" w:cs="Arial"/>
                <w:sz w:val="14"/>
              </w:rPr>
              <w:t>FC</w:t>
            </w:r>
            <w:r>
              <w:rPr>
                <w:rFonts w:ascii="Arial" w:eastAsia="Arial" w:hAnsi="Arial" w:cs="Arial"/>
                <w:sz w:val="14"/>
                <w:vertAlign w:val="subscript"/>
              </w:rPr>
              <w:t>0</w:t>
            </w:r>
            <w:r>
              <w:rPr>
                <w:rFonts w:ascii="Arial" w:eastAsia="Arial" w:hAnsi="Arial" w:cs="Arial"/>
                <w:sz w:val="14"/>
              </w:rPr>
              <w:t>/(1,0230)^0=FC</w:t>
            </w:r>
            <w:r>
              <w:rPr>
                <w:rFonts w:ascii="Arial" w:eastAsia="Arial" w:hAnsi="Arial" w:cs="Arial"/>
                <w:sz w:val="14"/>
                <w:vertAlign w:val="subscript"/>
              </w:rPr>
              <w:t>0</w:t>
            </w:r>
          </w:p>
        </w:tc>
        <w:tc>
          <w:tcPr>
            <w:tcW w:w="1783" w:type="dxa"/>
            <w:tcBorders>
              <w:top w:val="nil"/>
              <w:left w:val="single" w:sz="4" w:space="0" w:color="000000"/>
              <w:bottom w:val="nil"/>
              <w:right w:val="single" w:sz="4" w:space="0" w:color="000000"/>
            </w:tcBorders>
          </w:tcPr>
          <w:p w:rsidR="00FF384B" w:rsidRDefault="003E3BA9">
            <w:pPr>
              <w:spacing w:after="0"/>
              <w:ind w:left="5"/>
              <w:jc w:val="center"/>
            </w:pPr>
            <w:r>
              <w:rPr>
                <w:rFonts w:ascii="Arial" w:eastAsia="Arial" w:hAnsi="Arial" w:cs="Arial"/>
                <w:sz w:val="14"/>
              </w:rPr>
              <w:t>FC</w:t>
            </w:r>
            <w:r>
              <w:rPr>
                <w:rFonts w:ascii="Arial" w:eastAsia="Arial" w:hAnsi="Arial" w:cs="Arial"/>
                <w:sz w:val="14"/>
                <w:vertAlign w:val="subscript"/>
              </w:rPr>
              <w:t>1</w:t>
            </w:r>
            <w:r>
              <w:rPr>
                <w:rFonts w:ascii="Arial" w:eastAsia="Arial" w:hAnsi="Arial" w:cs="Arial"/>
                <w:sz w:val="14"/>
              </w:rPr>
              <w:t>/(1,0230)=FC</w:t>
            </w:r>
            <w:r>
              <w:rPr>
                <w:rFonts w:ascii="Arial" w:eastAsia="Arial" w:hAnsi="Arial" w:cs="Arial"/>
                <w:sz w:val="14"/>
                <w:vertAlign w:val="subscript"/>
              </w:rPr>
              <w:t>1</w:t>
            </w:r>
          </w:p>
        </w:tc>
        <w:tc>
          <w:tcPr>
            <w:tcW w:w="1330" w:type="dxa"/>
            <w:tcBorders>
              <w:top w:val="nil"/>
              <w:left w:val="single" w:sz="4" w:space="0" w:color="000000"/>
              <w:bottom w:val="nil"/>
              <w:right w:val="single" w:sz="4" w:space="0" w:color="000000"/>
            </w:tcBorders>
          </w:tcPr>
          <w:p w:rsidR="00FF384B" w:rsidRDefault="003E3BA9">
            <w:pPr>
              <w:spacing w:after="0"/>
              <w:ind w:left="13"/>
              <w:jc w:val="center"/>
            </w:pPr>
            <w:r>
              <w:rPr>
                <w:rFonts w:ascii="Arial" w:eastAsia="Arial" w:hAnsi="Arial" w:cs="Arial"/>
                <w:sz w:val="14"/>
              </w:rPr>
              <w:t>FC</w:t>
            </w:r>
            <w:r>
              <w:rPr>
                <w:rFonts w:ascii="Arial" w:eastAsia="Arial" w:hAnsi="Arial" w:cs="Arial"/>
                <w:sz w:val="14"/>
                <w:vertAlign w:val="subscript"/>
              </w:rPr>
              <w:t>2</w:t>
            </w:r>
            <w:r>
              <w:rPr>
                <w:rFonts w:ascii="Arial" w:eastAsia="Arial" w:hAnsi="Arial" w:cs="Arial"/>
                <w:sz w:val="14"/>
              </w:rPr>
              <w:t>/(1,0230)^2</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3</w:t>
            </w:r>
            <w:r>
              <w:rPr>
                <w:rFonts w:ascii="Arial" w:eastAsia="Arial" w:hAnsi="Arial" w:cs="Arial"/>
                <w:sz w:val="14"/>
              </w:rPr>
              <w:t>/(1,0230)^3</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4</w:t>
            </w:r>
            <w:r>
              <w:rPr>
                <w:rFonts w:ascii="Arial" w:eastAsia="Arial" w:hAnsi="Arial" w:cs="Arial"/>
                <w:sz w:val="14"/>
              </w:rPr>
              <w:t>/(1,0230)^4</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5</w:t>
            </w:r>
            <w:r>
              <w:rPr>
                <w:rFonts w:ascii="Arial" w:eastAsia="Arial" w:hAnsi="Arial" w:cs="Arial"/>
                <w:sz w:val="14"/>
              </w:rPr>
              <w:t>/(1,0230)^5</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6</w:t>
            </w:r>
            <w:r>
              <w:rPr>
                <w:rFonts w:ascii="Arial" w:eastAsia="Arial" w:hAnsi="Arial" w:cs="Arial"/>
                <w:sz w:val="14"/>
              </w:rPr>
              <w:t>/(1,0230)^6</w:t>
            </w:r>
          </w:p>
        </w:tc>
        <w:tc>
          <w:tcPr>
            <w:tcW w:w="1171"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7</w:t>
            </w:r>
            <w:r>
              <w:rPr>
                <w:rFonts w:ascii="Arial" w:eastAsia="Arial" w:hAnsi="Arial" w:cs="Arial"/>
                <w:sz w:val="14"/>
              </w:rPr>
              <w:t>/(1,0230)^7</w:t>
            </w:r>
          </w:p>
        </w:tc>
        <w:tc>
          <w:tcPr>
            <w:tcW w:w="1170" w:type="dxa"/>
            <w:tcBorders>
              <w:top w:val="nil"/>
              <w:left w:val="single" w:sz="4" w:space="0" w:color="000000"/>
              <w:bottom w:val="nil"/>
              <w:right w:val="single" w:sz="4" w:space="0" w:color="000000"/>
            </w:tcBorders>
          </w:tcPr>
          <w:p w:rsidR="00FF384B" w:rsidRDefault="003E3BA9">
            <w:pPr>
              <w:spacing w:after="0"/>
              <w:ind w:left="104"/>
            </w:pPr>
            <w:r>
              <w:rPr>
                <w:rFonts w:ascii="Arial" w:eastAsia="Arial" w:hAnsi="Arial" w:cs="Arial"/>
                <w:sz w:val="14"/>
              </w:rPr>
              <w:t>FC</w:t>
            </w:r>
            <w:r>
              <w:rPr>
                <w:rFonts w:ascii="Arial" w:eastAsia="Arial" w:hAnsi="Arial" w:cs="Arial"/>
                <w:sz w:val="14"/>
                <w:vertAlign w:val="subscript"/>
              </w:rPr>
              <w:t>8</w:t>
            </w:r>
            <w:r>
              <w:rPr>
                <w:rFonts w:ascii="Arial" w:eastAsia="Arial" w:hAnsi="Arial" w:cs="Arial"/>
                <w:sz w:val="14"/>
              </w:rPr>
              <w:t>/(1,0230)^8</w:t>
            </w:r>
          </w:p>
        </w:tc>
      </w:tr>
      <w:tr w:rsidR="00FF384B">
        <w:trPr>
          <w:trHeight w:val="198"/>
        </w:trPr>
        <w:tc>
          <w:tcPr>
            <w:tcW w:w="3564" w:type="dxa"/>
            <w:tcBorders>
              <w:top w:val="nil"/>
              <w:left w:val="single" w:sz="4" w:space="0" w:color="000000"/>
              <w:bottom w:val="nil"/>
              <w:right w:val="single" w:sz="4" w:space="0" w:color="000000"/>
            </w:tcBorders>
            <w:shd w:val="clear" w:color="auto" w:fill="E6B8B7"/>
          </w:tcPr>
          <w:p w:rsidR="00FF384B" w:rsidRDefault="003E3BA9">
            <w:pPr>
              <w:spacing w:after="0"/>
            </w:pPr>
            <w:r>
              <w:rPr>
                <w:rFonts w:ascii="Arial" w:eastAsia="Arial" w:hAnsi="Arial" w:cs="Arial"/>
                <w:sz w:val="14"/>
              </w:rPr>
              <w:t>Flujos descontados al origen</w:t>
            </w:r>
          </w:p>
        </w:tc>
        <w:tc>
          <w:tcPr>
            <w:tcW w:w="1435" w:type="dxa"/>
            <w:tcBorders>
              <w:top w:val="nil"/>
              <w:left w:val="single" w:sz="4" w:space="0" w:color="000000"/>
              <w:bottom w:val="nil"/>
              <w:right w:val="single" w:sz="4" w:space="0" w:color="000000"/>
            </w:tcBorders>
            <w:shd w:val="clear" w:color="auto" w:fill="E6B8B7"/>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nil"/>
              <w:right w:val="single" w:sz="4" w:space="0" w:color="000000"/>
            </w:tcBorders>
            <w:shd w:val="clear" w:color="auto" w:fill="E6B8B7"/>
          </w:tcPr>
          <w:p w:rsidR="00FF384B" w:rsidRDefault="003E3BA9">
            <w:pPr>
              <w:spacing w:after="0"/>
              <w:ind w:left="3"/>
              <w:jc w:val="center"/>
            </w:pPr>
            <w:r>
              <w:rPr>
                <w:rFonts w:ascii="Arial" w:eastAsia="Arial" w:hAnsi="Arial" w:cs="Arial"/>
                <w:sz w:val="14"/>
              </w:rPr>
              <w:t>681181,20</w:t>
            </w:r>
          </w:p>
        </w:tc>
        <w:tc>
          <w:tcPr>
            <w:tcW w:w="1330" w:type="dxa"/>
            <w:tcBorders>
              <w:top w:val="nil"/>
              <w:left w:val="single" w:sz="4" w:space="0" w:color="000000"/>
              <w:bottom w:val="nil"/>
              <w:right w:val="single" w:sz="4" w:space="0" w:color="000000"/>
            </w:tcBorders>
            <w:shd w:val="clear" w:color="auto" w:fill="E6B8B7"/>
          </w:tcPr>
          <w:p w:rsidR="00FF384B" w:rsidRDefault="003E3BA9">
            <w:pPr>
              <w:spacing w:after="0"/>
              <w:ind w:left="3"/>
              <w:jc w:val="center"/>
            </w:pPr>
            <w:r>
              <w:rPr>
                <w:rFonts w:ascii="Arial" w:eastAsia="Arial" w:hAnsi="Arial" w:cs="Arial"/>
                <w:sz w:val="14"/>
              </w:rPr>
              <w:t>627331,49</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2"/>
              <w:jc w:val="center"/>
            </w:pPr>
            <w:r>
              <w:rPr>
                <w:rFonts w:ascii="Arial" w:eastAsia="Arial" w:hAnsi="Arial" w:cs="Arial"/>
                <w:sz w:val="14"/>
              </w:rPr>
              <w:t>586373,28</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3"/>
              <w:jc w:val="center"/>
            </w:pPr>
            <w:r>
              <w:rPr>
                <w:rFonts w:ascii="Arial" w:eastAsia="Arial" w:hAnsi="Arial" w:cs="Arial"/>
                <w:sz w:val="14"/>
              </w:rPr>
              <w:t>546572,18</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3"/>
              <w:jc w:val="center"/>
            </w:pPr>
            <w:r>
              <w:rPr>
                <w:rFonts w:ascii="Arial" w:eastAsia="Arial" w:hAnsi="Arial" w:cs="Arial"/>
                <w:sz w:val="14"/>
              </w:rPr>
              <w:t>507900,10</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2"/>
              <w:jc w:val="center"/>
            </w:pPr>
            <w:r>
              <w:rPr>
                <w:rFonts w:ascii="Arial" w:eastAsia="Arial" w:hAnsi="Arial" w:cs="Arial"/>
                <w:sz w:val="14"/>
              </w:rPr>
              <w:t>470329,60</w:t>
            </w:r>
          </w:p>
        </w:tc>
        <w:tc>
          <w:tcPr>
            <w:tcW w:w="1171" w:type="dxa"/>
            <w:tcBorders>
              <w:top w:val="nil"/>
              <w:left w:val="single" w:sz="4" w:space="0" w:color="000000"/>
              <w:bottom w:val="nil"/>
              <w:right w:val="single" w:sz="4" w:space="0" w:color="000000"/>
            </w:tcBorders>
            <w:shd w:val="clear" w:color="auto" w:fill="E6B8B7"/>
          </w:tcPr>
          <w:p w:rsidR="00FF384B" w:rsidRDefault="003E3BA9">
            <w:pPr>
              <w:spacing w:after="0"/>
              <w:ind w:left="11"/>
              <w:jc w:val="center"/>
            </w:pPr>
            <w:r>
              <w:rPr>
                <w:rFonts w:ascii="Arial" w:eastAsia="Arial" w:hAnsi="Arial" w:cs="Arial"/>
                <w:sz w:val="14"/>
              </w:rPr>
              <w:t>433833,86</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0"/>
              <w:jc w:val="center"/>
            </w:pPr>
            <w:r>
              <w:rPr>
                <w:rFonts w:ascii="Arial" w:eastAsia="Arial" w:hAnsi="Arial" w:cs="Arial"/>
                <w:sz w:val="14"/>
              </w:rPr>
              <w:t>398386,69</w:t>
            </w:r>
          </w:p>
        </w:tc>
      </w:tr>
      <w:tr w:rsidR="00FF384B">
        <w:trPr>
          <w:trHeight w:val="183"/>
        </w:trPr>
        <w:tc>
          <w:tcPr>
            <w:tcW w:w="3564"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sz w:val="14"/>
              </w:rPr>
              <w:t>FLUJOS DE CAJA ACUMULADOS DESCONTADOS</w:t>
            </w:r>
          </w:p>
        </w:tc>
        <w:tc>
          <w:tcPr>
            <w:tcW w:w="1435" w:type="dxa"/>
            <w:tcBorders>
              <w:top w:val="nil"/>
              <w:left w:val="single" w:sz="4" w:space="0" w:color="000000"/>
              <w:bottom w:val="single" w:sz="4" w:space="0" w:color="000000"/>
              <w:right w:val="single" w:sz="4" w:space="0" w:color="000000"/>
            </w:tcBorders>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single" w:sz="4" w:space="0" w:color="000000"/>
              <w:right w:val="single" w:sz="4" w:space="0" w:color="000000"/>
            </w:tcBorders>
          </w:tcPr>
          <w:p w:rsidR="00FF384B" w:rsidRDefault="003E3BA9">
            <w:pPr>
              <w:spacing w:after="0"/>
              <w:ind w:left="12"/>
              <w:jc w:val="center"/>
            </w:pPr>
            <w:r>
              <w:rPr>
                <w:rFonts w:ascii="Arial" w:eastAsia="Arial" w:hAnsi="Arial" w:cs="Arial"/>
                <w:sz w:val="14"/>
              </w:rPr>
              <w:t>-2887173,40</w:t>
            </w:r>
          </w:p>
        </w:tc>
        <w:tc>
          <w:tcPr>
            <w:tcW w:w="1330" w:type="dxa"/>
            <w:tcBorders>
              <w:top w:val="nil"/>
              <w:left w:val="single" w:sz="4" w:space="0" w:color="000000"/>
              <w:bottom w:val="single" w:sz="4" w:space="0" w:color="000000"/>
              <w:right w:val="single" w:sz="4" w:space="0" w:color="000000"/>
            </w:tcBorders>
          </w:tcPr>
          <w:p w:rsidR="00FF384B" w:rsidRDefault="003E3BA9">
            <w:pPr>
              <w:spacing w:after="0"/>
              <w:ind w:left="13"/>
              <w:jc w:val="center"/>
            </w:pPr>
            <w:r>
              <w:rPr>
                <w:rFonts w:ascii="Arial" w:eastAsia="Arial" w:hAnsi="Arial" w:cs="Arial"/>
                <w:sz w:val="14"/>
              </w:rPr>
              <w:t>-2259841,91</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-1673468,63</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-1126896,44</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-618996,34</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-148666,74</w:t>
            </w:r>
          </w:p>
        </w:tc>
        <w:tc>
          <w:tcPr>
            <w:tcW w:w="1171" w:type="dxa"/>
            <w:tcBorders>
              <w:top w:val="nil"/>
              <w:left w:val="single" w:sz="4" w:space="0" w:color="000000"/>
              <w:bottom w:val="single" w:sz="4" w:space="0" w:color="000000"/>
              <w:right w:val="single" w:sz="4" w:space="0" w:color="000000"/>
            </w:tcBorders>
          </w:tcPr>
          <w:p w:rsidR="00FF384B" w:rsidRDefault="003E3BA9">
            <w:pPr>
              <w:spacing w:after="0"/>
              <w:ind w:left="11"/>
              <w:jc w:val="center"/>
            </w:pPr>
            <w:r>
              <w:rPr>
                <w:rFonts w:ascii="Arial" w:eastAsia="Arial" w:hAnsi="Arial" w:cs="Arial"/>
                <w:sz w:val="14"/>
              </w:rPr>
              <w:t>285167,12</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10"/>
              <w:jc w:val="center"/>
            </w:pPr>
            <w:r>
              <w:rPr>
                <w:rFonts w:ascii="Arial" w:eastAsia="Arial" w:hAnsi="Arial" w:cs="Arial"/>
                <w:sz w:val="14"/>
              </w:rPr>
              <w:t>683553,81</w:t>
            </w:r>
          </w:p>
        </w:tc>
      </w:tr>
      <w:tr w:rsidR="00FF384B">
        <w:trPr>
          <w:trHeight w:val="229"/>
        </w:trPr>
        <w:tc>
          <w:tcPr>
            <w:tcW w:w="3564" w:type="dxa"/>
            <w:tcBorders>
              <w:top w:val="single" w:sz="4" w:space="0" w:color="000000"/>
              <w:left w:val="single" w:sz="4" w:space="0" w:color="D4D4D4"/>
              <w:bottom w:val="single" w:sz="4" w:space="0" w:color="D4D4D4"/>
              <w:right w:val="nil"/>
            </w:tcBorders>
          </w:tcPr>
          <w:p w:rsidR="00FF384B" w:rsidRDefault="00FF384B"/>
        </w:tc>
        <w:tc>
          <w:tcPr>
            <w:tcW w:w="1435" w:type="dxa"/>
            <w:vMerge w:val="restart"/>
            <w:tcBorders>
              <w:top w:val="single" w:sz="4" w:space="0" w:color="000000"/>
              <w:left w:val="nil"/>
              <w:bottom w:val="single" w:sz="4" w:space="0" w:color="D4D4D4"/>
              <w:right w:val="single" w:sz="4" w:space="0" w:color="000000"/>
            </w:tcBorders>
          </w:tcPr>
          <w:p w:rsidR="00FF384B" w:rsidRDefault="00FF384B"/>
        </w:tc>
        <w:tc>
          <w:tcPr>
            <w:tcW w:w="7792" w:type="dxa"/>
            <w:gridSpan w:val="6"/>
            <w:tcBorders>
              <w:top w:val="single" w:sz="4" w:space="0" w:color="000000"/>
              <w:left w:val="single" w:sz="4" w:space="0" w:color="000000"/>
              <w:bottom w:val="single" w:sz="4" w:space="0" w:color="000000"/>
              <w:right w:val="nil"/>
            </w:tcBorders>
            <w:shd w:val="clear" w:color="auto" w:fill="FF0000"/>
          </w:tcPr>
          <w:p w:rsidR="00FF384B" w:rsidRDefault="003E3BA9">
            <w:pPr>
              <w:spacing w:after="0"/>
              <w:ind w:left="596"/>
            </w:pPr>
            <w:r>
              <w:rPr>
                <w:rFonts w:ascii="Arial" w:eastAsia="Arial" w:hAnsi="Arial" w:cs="Arial"/>
                <w:b/>
                <w:sz w:val="18"/>
              </w:rPr>
              <w:t>años de recuperacion de inversión</w:t>
            </w:r>
          </w:p>
        </w:tc>
        <w:tc>
          <w:tcPr>
            <w:tcW w:w="1171" w:type="dxa"/>
            <w:tcBorders>
              <w:top w:val="single" w:sz="4" w:space="0" w:color="000000"/>
              <w:left w:val="nil"/>
              <w:bottom w:val="single" w:sz="4" w:space="0" w:color="000000"/>
              <w:right w:val="single" w:sz="4" w:space="0" w:color="000000"/>
            </w:tcBorders>
            <w:shd w:val="clear" w:color="auto" w:fill="00B050"/>
          </w:tcPr>
          <w:p w:rsidR="00FF384B" w:rsidRDefault="00FF384B"/>
        </w:tc>
        <w:tc>
          <w:tcPr>
            <w:tcW w:w="1170" w:type="dxa"/>
            <w:tcBorders>
              <w:top w:val="single" w:sz="4" w:space="0" w:color="000000"/>
              <w:left w:val="single" w:sz="4" w:space="0" w:color="000000"/>
              <w:bottom w:val="single" w:sz="4" w:space="0" w:color="D4D4D4"/>
              <w:right w:val="single" w:sz="4" w:space="0" w:color="D4D4D4"/>
            </w:tcBorders>
          </w:tcPr>
          <w:p w:rsidR="00FF384B" w:rsidRDefault="00FF384B"/>
        </w:tc>
      </w:tr>
      <w:tr w:rsidR="00FF384B">
        <w:trPr>
          <w:trHeight w:val="176"/>
        </w:trPr>
        <w:tc>
          <w:tcPr>
            <w:tcW w:w="3564" w:type="dxa"/>
            <w:tcBorders>
              <w:top w:val="single" w:sz="4" w:space="0" w:color="D4D4D4"/>
              <w:left w:val="single" w:sz="4" w:space="0" w:color="D4D4D4"/>
              <w:bottom w:val="single" w:sz="11" w:space="0" w:color="000000"/>
              <w:right w:val="single" w:sz="4" w:space="0" w:color="D4D4D4"/>
            </w:tcBorders>
          </w:tcPr>
          <w:p w:rsidR="00FF384B" w:rsidRDefault="00FF384B"/>
        </w:tc>
        <w:tc>
          <w:tcPr>
            <w:tcW w:w="0" w:type="auto"/>
            <w:vMerge/>
            <w:tcBorders>
              <w:top w:val="nil"/>
              <w:left w:val="nil"/>
              <w:bottom w:val="single" w:sz="4" w:space="0" w:color="D4D4D4"/>
              <w:right w:val="single" w:sz="4" w:space="0" w:color="000000"/>
            </w:tcBorders>
          </w:tcPr>
          <w:p w:rsidR="00FF384B" w:rsidRDefault="00FF384B"/>
        </w:tc>
        <w:tc>
          <w:tcPr>
            <w:tcW w:w="8963" w:type="dxa"/>
            <w:gridSpan w:val="7"/>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center"/>
            </w:pPr>
            <w:r>
              <w:rPr>
                <w:rFonts w:ascii="Arial" w:eastAsia="Arial" w:hAnsi="Arial" w:cs="Arial"/>
                <w:sz w:val="14"/>
              </w:rPr>
              <w:t>duracion del contrato 7 años</w:t>
            </w:r>
          </w:p>
        </w:tc>
        <w:tc>
          <w:tcPr>
            <w:tcW w:w="1170" w:type="dxa"/>
            <w:tcBorders>
              <w:top w:val="single" w:sz="4" w:space="0" w:color="D4D4D4"/>
              <w:left w:val="single" w:sz="4" w:space="0" w:color="000000"/>
              <w:bottom w:val="single" w:sz="4" w:space="0" w:color="D4D4D4"/>
              <w:right w:val="single" w:sz="4" w:space="0" w:color="D4D4D4"/>
            </w:tcBorders>
          </w:tcPr>
          <w:p w:rsidR="00FF384B" w:rsidRDefault="00FF384B"/>
        </w:tc>
      </w:tr>
    </w:tbl>
    <w:p w:rsidR="00FF384B" w:rsidRDefault="003E3BA9">
      <w:pPr>
        <w:spacing w:after="5" w:line="247" w:lineRule="auto"/>
        <w:ind w:left="10" w:right="1087" w:hanging="10"/>
        <w:jc w:val="both"/>
      </w:pPr>
      <w:r>
        <w:rPr>
          <w:noProof/>
        </w:rPr>
        <mc:AlternateContent>
          <mc:Choice Requires="wpg">
            <w:drawing>
              <wp:anchor distT="0" distB="0" distL="114300" distR="114300" simplePos="0" relativeHeight="251893760" behindDoc="0" locked="0" layoutInCell="1" allowOverlap="1">
                <wp:simplePos x="0" y="0"/>
                <wp:positionH relativeFrom="column">
                  <wp:posOffset>1851660</wp:posOffset>
                </wp:positionH>
                <wp:positionV relativeFrom="paragraph">
                  <wp:posOffset>-1935464</wp:posOffset>
                </wp:positionV>
                <wp:extent cx="5353958" cy="3797300"/>
                <wp:effectExtent l="0" t="0" r="0" b="0"/>
                <wp:wrapSquare wrapText="bothSides"/>
                <wp:docPr id="547569" name="Group 547569"/>
                <wp:cNvGraphicFramePr/>
                <a:graphic xmlns:a="http://schemas.openxmlformats.org/drawingml/2006/main">
                  <a:graphicData uri="http://schemas.microsoft.com/office/word/2010/wordprocessingGroup">
                    <wpg:wgp>
                      <wpg:cNvGrpSpPr/>
                      <wpg:grpSpPr>
                        <a:xfrm>
                          <a:off x="0" y="0"/>
                          <a:ext cx="5353958" cy="3797300"/>
                          <a:chOff x="0" y="0"/>
                          <a:chExt cx="5353958" cy="3797300"/>
                        </a:xfrm>
                      </wpg:grpSpPr>
                      <pic:pic xmlns:pic="http://schemas.openxmlformats.org/drawingml/2006/picture">
                        <pic:nvPicPr>
                          <pic:cNvPr id="42338" name="Picture 42338"/>
                          <pic:cNvPicPr/>
                        </pic:nvPicPr>
                        <pic:blipFill>
                          <a:blip r:embed="rId79"/>
                          <a:stretch>
                            <a:fillRect/>
                          </a:stretch>
                        </pic:blipFill>
                        <pic:spPr>
                          <a:xfrm>
                            <a:off x="0" y="3442208"/>
                            <a:ext cx="5189220" cy="266700"/>
                          </a:xfrm>
                          <a:prstGeom prst="rect">
                            <a:avLst/>
                          </a:prstGeom>
                        </pic:spPr>
                      </pic:pic>
                      <pic:pic xmlns:pic="http://schemas.openxmlformats.org/drawingml/2006/picture">
                        <pic:nvPicPr>
                          <pic:cNvPr id="42931" name="Picture 42931"/>
                          <pic:cNvPicPr/>
                        </pic:nvPicPr>
                        <pic:blipFill>
                          <a:blip r:embed="rId62"/>
                          <a:stretch>
                            <a:fillRect/>
                          </a:stretch>
                        </pic:blipFill>
                        <pic:spPr>
                          <a:xfrm rot="-5399999">
                            <a:off x="3108960" y="1720850"/>
                            <a:ext cx="3797299" cy="355600"/>
                          </a:xfrm>
                          <a:prstGeom prst="rect">
                            <a:avLst/>
                          </a:prstGeom>
                        </pic:spPr>
                      </pic:pic>
                      <wps:wsp>
                        <wps:cNvPr id="42932" name="Rectangle 42932"/>
                        <wps:cNvSpPr/>
                        <wps:spPr>
                          <a:xfrm rot="-5399999">
                            <a:off x="2881291"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2933" name="Rectangle 42933"/>
                        <wps:cNvSpPr/>
                        <wps:spPr>
                          <a:xfrm rot="-5399999">
                            <a:off x="3094054"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229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7569" style="width:421.572pt;height:299pt;position:absolute;mso-position-horizontal-relative:text;mso-position-horizontal:absolute;margin-left:145.8pt;mso-position-vertical-relative:text;margin-top:-152.399pt;" coordsize="53539,37973">
                <v:shape id="Picture 42338" style="position:absolute;width:51892;height:2667;left:0;top:34422;" filled="f">
                  <v:imagedata r:id="rId80"/>
                </v:shape>
                <v:shape id="Picture 42931" style="position:absolute;width:37972;height:3556;left:31089;top:17208;rotation:-89;" filled="f">
                  <v:imagedata r:id="rId63"/>
                </v:shape>
                <v:rect id="Rectangle 42932" style="position:absolute;width:47358;height:1132;left:28812;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2933" style="position:absolute;width:44627;height:1132;left:30940;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229 de 353 </w:t>
                        </w:r>
                      </w:p>
                    </w:txbxContent>
                  </v:textbox>
                </v:rect>
                <w10:wrap type="square"/>
              </v:group>
            </w:pict>
          </mc:Fallback>
        </mc:AlternateContent>
      </w:r>
      <w:r>
        <w:rPr>
          <w:rFonts w:ascii="Arial" w:eastAsia="Arial" w:hAnsi="Arial" w:cs="Arial"/>
        </w:rPr>
        <w:t>En base a la fórmula del Artículo 10 del Real Decreto 55/2017</w:t>
      </w:r>
      <w:r>
        <w:rPr>
          <w:rFonts w:ascii="Arial" w:eastAsia="Arial" w:hAnsi="Arial" w:cs="Arial"/>
        </w:rPr>
        <w:t xml:space="preserve">, las inversiones se recuperarán el año en el que el valor capital en el origen sea mayor que cero, por tanto, el estudio determina que el plazo para recuperar las inversiones es de </w:t>
      </w:r>
      <w:r>
        <w:rPr>
          <w:rFonts w:ascii="Arial" w:eastAsia="Arial" w:hAnsi="Arial" w:cs="Arial"/>
          <w:b/>
          <w:u w:val="single" w:color="000000"/>
        </w:rPr>
        <w:t>7 AÑOS.</w:t>
      </w:r>
      <w:r>
        <w:rPr>
          <w:rFonts w:ascii="Times New Roman" w:eastAsia="Times New Roman" w:hAnsi="Times New Roman" w:cs="Times New Roman"/>
          <w:sz w:val="24"/>
        </w:rPr>
        <w:t xml:space="preserve"> </w:t>
      </w:r>
    </w:p>
    <w:p w:rsidR="00FF384B" w:rsidRDefault="003E3BA9">
      <w:pPr>
        <w:spacing w:after="0"/>
        <w:ind w:right="3582"/>
      </w:pPr>
      <w:r>
        <w:rPr>
          <w:rFonts w:ascii="Times New Roman" w:eastAsia="Times New Roman" w:hAnsi="Times New Roman" w:cs="Times New Roman"/>
          <w:sz w:val="24"/>
        </w:rPr>
        <w:t xml:space="preserve"> </w:t>
      </w:r>
    </w:p>
    <w:p w:rsidR="00FF384B" w:rsidRDefault="003E3BA9">
      <w:pPr>
        <w:spacing w:after="1544"/>
        <w:ind w:left="360" w:right="3582"/>
      </w:pPr>
      <w:r>
        <w:rPr>
          <w:rFonts w:ascii="Arial" w:eastAsia="Arial" w:hAnsi="Arial" w:cs="Arial"/>
        </w:rPr>
        <w:t xml:space="preserve"> </w:t>
      </w:r>
    </w:p>
    <w:p w:rsidR="00FF384B" w:rsidRDefault="003E3BA9">
      <w:pPr>
        <w:spacing w:after="345"/>
        <w:ind w:left="10" w:right="1491" w:hanging="10"/>
        <w:jc w:val="right"/>
      </w:pPr>
      <w:r>
        <w:rPr>
          <w:rFonts w:ascii="Times New Roman" w:eastAsia="Times New Roman" w:hAnsi="Times New Roman" w:cs="Times New Roman"/>
          <w:sz w:val="24"/>
        </w:rPr>
        <w:t xml:space="preserve">                                   </w:t>
      </w:r>
      <w:r>
        <w:rPr>
          <w:rFonts w:ascii="Arial" w:eastAsia="Arial" w:hAnsi="Arial" w:cs="Arial"/>
          <w:sz w:val="14"/>
        </w:rPr>
        <w:t>229</w:t>
      </w:r>
      <w:r>
        <w:rPr>
          <w:rFonts w:ascii="Times New Roman" w:eastAsia="Times New Roman" w:hAnsi="Times New Roman" w:cs="Times New Roman"/>
          <w:sz w:val="24"/>
        </w:rPr>
        <w:t xml:space="preserve"> </w:t>
      </w:r>
    </w:p>
    <w:p w:rsidR="00FF384B" w:rsidRDefault="00FF384B">
      <w:pPr>
        <w:sectPr w:rsidR="00FF384B">
          <w:headerReference w:type="even" r:id="rId95"/>
          <w:headerReference w:type="default" r:id="rId96"/>
          <w:footerReference w:type="even" r:id="rId97"/>
          <w:footerReference w:type="default" r:id="rId98"/>
          <w:headerReference w:type="first" r:id="rId99"/>
          <w:footerReference w:type="first" r:id="rId100"/>
          <w:pgSz w:w="19106" w:h="11906" w:orient="landscape"/>
          <w:pgMar w:top="708" w:right="1625" w:bottom="1440" w:left="2552" w:header="720" w:footer="720" w:gutter="0"/>
          <w:cols w:space="720"/>
        </w:sectPr>
      </w:pPr>
    </w:p>
    <w:p w:rsidR="00FF384B" w:rsidRDefault="003E3BA9">
      <w:pPr>
        <w:pStyle w:val="Ttulo2"/>
        <w:shd w:val="clear" w:color="auto" w:fill="E0E0E0"/>
        <w:spacing w:after="233" w:line="249" w:lineRule="auto"/>
        <w:ind w:left="197" w:right="447"/>
      </w:pPr>
      <w:r>
        <w:t xml:space="preserve">DURACIÓN DEL CONTRATO </w:t>
      </w:r>
    </w:p>
    <w:p w:rsidR="00FF384B" w:rsidRDefault="003E3BA9">
      <w:pPr>
        <w:spacing w:after="216" w:line="247" w:lineRule="auto"/>
        <w:ind w:left="10" w:right="244" w:hanging="10"/>
        <w:jc w:val="both"/>
      </w:pPr>
      <w:r>
        <w:rPr>
          <w:rFonts w:ascii="Arial" w:eastAsia="Arial" w:hAnsi="Arial" w:cs="Arial"/>
        </w:rPr>
        <w:t xml:space="preserve">Conforme lo dispuesto en el artículo 29.4 de la </w:t>
      </w:r>
      <w:r>
        <w:rPr>
          <w:rFonts w:ascii="Arial" w:eastAsia="Arial" w:hAnsi="Arial" w:cs="Arial"/>
          <w:b/>
        </w:rPr>
        <w:t xml:space="preserve">Ley 9/2017 de Contratos del Sector Público, </w:t>
      </w:r>
      <w:r>
        <w:rPr>
          <w:rFonts w:ascii="Arial" w:eastAsia="Arial" w:hAnsi="Arial" w:cs="Arial"/>
        </w:rPr>
        <w:t xml:space="preserve">se recoge que un contrato de servicios se podrá establecer un plazo de duración superior al establecido cuando </w:t>
      </w:r>
      <w:r>
        <w:rPr>
          <w:rFonts w:ascii="Arial" w:eastAsia="Arial" w:hAnsi="Arial" w:cs="Arial"/>
          <w:b/>
          <w:u w:val="single" w:color="000000"/>
        </w:rPr>
        <w:t>lo exija el periodo de recuperación de la</w:t>
      </w:r>
      <w:r>
        <w:rPr>
          <w:rFonts w:ascii="Arial" w:eastAsia="Arial" w:hAnsi="Arial" w:cs="Arial"/>
          <w:b/>
        </w:rPr>
        <w:t xml:space="preserve"> </w:t>
      </w:r>
      <w:r>
        <w:rPr>
          <w:rFonts w:ascii="Arial" w:eastAsia="Arial" w:hAnsi="Arial" w:cs="Arial"/>
          <w:b/>
          <w:u w:val="single" w:color="000000"/>
        </w:rPr>
        <w:t>inversión directamente relacionadas con el contrato</w:t>
      </w:r>
      <w:r>
        <w:rPr>
          <w:rFonts w:ascii="Arial" w:eastAsia="Arial" w:hAnsi="Arial" w:cs="Arial"/>
        </w:rPr>
        <w:t xml:space="preserve"> y estas no sean susceptibles de utilizarse en el resto de la actividad productiva del contratista o </w:t>
      </w:r>
      <w:r>
        <w:rPr>
          <w:rFonts w:ascii="Arial" w:eastAsia="Arial" w:hAnsi="Arial" w:cs="Arial"/>
          <w:b/>
          <w:u w:val="single" w:color="000000"/>
        </w:rPr>
        <w:t>su utilización fuera</w:t>
      </w:r>
      <w:r>
        <w:rPr>
          <w:rFonts w:ascii="Arial" w:eastAsia="Arial" w:hAnsi="Arial" w:cs="Arial"/>
          <w:b/>
        </w:rPr>
        <w:t xml:space="preserve"> </w:t>
      </w:r>
      <w:r>
        <w:rPr>
          <w:rFonts w:ascii="Arial" w:eastAsia="Arial" w:hAnsi="Arial" w:cs="Arial"/>
          <w:b/>
          <w:u w:val="single" w:color="000000"/>
        </w:rPr>
        <w:t>antieconómica</w:t>
      </w:r>
      <w:r>
        <w:rPr>
          <w:rFonts w:ascii="Arial" w:eastAsia="Arial" w:hAnsi="Arial" w:cs="Arial"/>
        </w:rPr>
        <w:t>, siempre que la amortizació</w:t>
      </w:r>
      <w:r>
        <w:rPr>
          <w:rFonts w:ascii="Arial" w:eastAsia="Arial" w:hAnsi="Arial" w:cs="Arial"/>
        </w:rPr>
        <w:t>n de dichas inversiones sea un coste relevante en la prestación del suministro o servicio.</w:t>
      </w:r>
      <w:r>
        <w:rPr>
          <w:rFonts w:ascii="Times New Roman" w:eastAsia="Times New Roman" w:hAnsi="Times New Roman" w:cs="Times New Roman"/>
          <w:sz w:val="24"/>
        </w:rPr>
        <w:t xml:space="preserve"> </w:t>
      </w:r>
    </w:p>
    <w:p w:rsidR="00FF384B" w:rsidRDefault="003E3BA9">
      <w:pPr>
        <w:spacing w:after="234" w:line="247" w:lineRule="auto"/>
        <w:ind w:left="10" w:right="244" w:hanging="10"/>
        <w:jc w:val="both"/>
      </w:pPr>
      <w:r>
        <w:rPr>
          <w:rFonts w:ascii="Arial" w:eastAsia="Arial" w:hAnsi="Arial" w:cs="Arial"/>
        </w:rPr>
        <w:t>La inversión inicial para este tipo de contrato es para la adquisición de contenedores, maquinaria y equipos, siendo este coste amortizable un coste relevante en el</w:t>
      </w:r>
      <w:r>
        <w:rPr>
          <w:rFonts w:ascii="Arial" w:eastAsia="Arial" w:hAnsi="Arial" w:cs="Arial"/>
        </w:rPr>
        <w:t xml:space="preserve"> servicio. </w:t>
      </w:r>
    </w:p>
    <w:p w:rsidR="00FF384B" w:rsidRDefault="003E3BA9">
      <w:pPr>
        <w:spacing w:after="234" w:line="247" w:lineRule="auto"/>
        <w:ind w:left="10" w:right="244" w:hanging="10"/>
        <w:jc w:val="both"/>
      </w:pPr>
      <w:r>
        <w:rPr>
          <w:rFonts w:ascii="Arial" w:eastAsia="Arial" w:hAnsi="Arial" w:cs="Arial"/>
        </w:rPr>
        <w:t>Los vehículos utilizados en el contrato se componen de cabezas tractoras y equipos, las cabezas tractoras tienen una vida útil de 10-</w:t>
      </w:r>
      <w:r>
        <w:rPr>
          <w:rFonts w:ascii="Arial" w:eastAsia="Arial" w:hAnsi="Arial" w:cs="Arial"/>
        </w:rPr>
        <w:t xml:space="preserve">14 años pero los equipos montados a estas (cajas compactadoras, multilifts, cubas, etc.) su vida útil se reduce a 8 años. </w:t>
      </w:r>
    </w:p>
    <w:p w:rsidR="00FF384B" w:rsidRDefault="003E3BA9">
      <w:pPr>
        <w:spacing w:after="232" w:line="247" w:lineRule="auto"/>
        <w:ind w:left="10" w:right="244" w:hanging="10"/>
        <w:jc w:val="both"/>
      </w:pPr>
      <w:r>
        <w:rPr>
          <w:rFonts w:ascii="Arial" w:eastAsia="Arial" w:hAnsi="Arial" w:cs="Arial"/>
        </w:rPr>
        <w:t xml:space="preserve">Estos equipos, a partir del año 8 los costes de mantenimiento y reparación ya son considerables, siendo su utilización antieconómica </w:t>
      </w:r>
      <w:r>
        <w:rPr>
          <w:rFonts w:ascii="Arial" w:eastAsia="Arial" w:hAnsi="Arial" w:cs="Arial"/>
        </w:rPr>
        <w:t xml:space="preserve">frente a nuevos equipos con tecnologías más eficientes. </w:t>
      </w:r>
    </w:p>
    <w:p w:rsidR="00FF384B" w:rsidRDefault="003E3BA9">
      <w:pPr>
        <w:spacing w:after="235" w:line="247" w:lineRule="auto"/>
        <w:ind w:left="10" w:right="244" w:hanging="10"/>
        <w:jc w:val="both"/>
      </w:pPr>
      <w:r>
        <w:rPr>
          <w:rFonts w:ascii="Arial" w:eastAsia="Arial" w:hAnsi="Arial" w:cs="Arial"/>
        </w:rPr>
        <w:t xml:space="preserve">Por tanto la duración del contrato tendrá una duración de 7 años como refleja el estudio de la recuperación de la inversión. </w:t>
      </w:r>
    </w:p>
    <w:p w:rsidR="00FF384B" w:rsidRDefault="003E3BA9">
      <w:pPr>
        <w:spacing w:after="229"/>
      </w:pPr>
      <w:r>
        <w:rPr>
          <w:rFonts w:ascii="Arial" w:eastAsia="Arial" w:hAnsi="Arial" w:cs="Arial"/>
        </w:rPr>
        <w:t xml:space="preserve"> </w:t>
      </w:r>
    </w:p>
    <w:p w:rsidR="00FF384B" w:rsidRDefault="003E3BA9">
      <w:pPr>
        <w:pStyle w:val="Ttulo2"/>
        <w:shd w:val="clear" w:color="auto" w:fill="E0E0E0"/>
        <w:spacing w:after="209" w:line="249" w:lineRule="auto"/>
        <w:ind w:left="197" w:right="448"/>
      </w:pPr>
      <w:r>
        <w:rPr>
          <w:noProof/>
        </w:rPr>
        <mc:AlternateContent>
          <mc:Choice Requires="wpg">
            <w:drawing>
              <wp:anchor distT="0" distB="0" distL="114300" distR="114300" simplePos="0" relativeHeight="2518947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1073" name="Group 49107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247" name="Picture 43247"/>
                          <pic:cNvPicPr/>
                        </pic:nvPicPr>
                        <pic:blipFill>
                          <a:blip r:embed="rId62"/>
                          <a:stretch>
                            <a:fillRect/>
                          </a:stretch>
                        </pic:blipFill>
                        <pic:spPr>
                          <a:xfrm rot="-5399999">
                            <a:off x="-1720849" y="1720849"/>
                            <a:ext cx="3797300" cy="355601"/>
                          </a:xfrm>
                          <a:prstGeom prst="rect">
                            <a:avLst/>
                          </a:prstGeom>
                        </pic:spPr>
                      </pic:pic>
                      <wps:wsp>
                        <wps:cNvPr id="43248" name="Rectangle 4324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w:t>
                              </w:r>
                              <w:r>
                                <w:rPr>
                                  <w:rFonts w:ascii="Arial" w:eastAsia="Arial" w:hAnsi="Arial" w:cs="Arial"/>
                                  <w:sz w:val="12"/>
                                </w:rPr>
                                <w:t xml:space="preserve">andelaria.sedelectronica.es/ </w:t>
                              </w:r>
                            </w:p>
                          </w:txbxContent>
                        </wps:txbx>
                        <wps:bodyPr horzOverflow="overflow" vert="horz" lIns="0" tIns="0" rIns="0" bIns="0" rtlCol="0">
                          <a:noAutofit/>
                        </wps:bodyPr>
                      </wps:wsp>
                      <wps:wsp>
                        <wps:cNvPr id="43249" name="Rectangle 4324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1073" style="width:41.2715pt;height:299pt;position:absolute;mso-position-horizontal-relative:page;mso-position-horizontal:absolute;margin-left:653.71pt;mso-position-vertical-relative:page;margin-top:512.92pt;" coordsize="5241,37973">
                <v:shape id="Picture 43247" style="position:absolute;width:37973;height:3556;left:-17208;top:17208;rotation:-89;" filled="f">
                  <v:imagedata r:id="rId63"/>
                </v:shape>
                <v:rect id="Rectangle 4324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24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230 de 353 </w:t>
                        </w:r>
                      </w:p>
                    </w:txbxContent>
                  </v:textbox>
                </v:rect>
                <w10:wrap type="square"/>
              </v:group>
            </w:pict>
          </mc:Fallback>
        </mc:AlternateContent>
      </w:r>
      <w:r>
        <w:t>REVISIÓN DE PRECIOS DEL CONTRATO</w:t>
      </w:r>
      <w:r>
        <w:rPr>
          <w:rFonts w:ascii="Times New Roman" w:eastAsia="Times New Roman" w:hAnsi="Times New Roman" w:cs="Times New Roman"/>
          <w:b w:val="0"/>
          <w:sz w:val="24"/>
        </w:rPr>
        <w:t xml:space="preserve"> </w:t>
      </w:r>
    </w:p>
    <w:p w:rsidR="00FF384B" w:rsidRDefault="003E3BA9">
      <w:pPr>
        <w:spacing w:after="5" w:line="247" w:lineRule="auto"/>
        <w:ind w:left="10" w:right="244" w:hanging="10"/>
        <w:jc w:val="both"/>
      </w:pPr>
      <w:r>
        <w:rPr>
          <w:rFonts w:ascii="Arial" w:eastAsia="Arial" w:hAnsi="Arial" w:cs="Arial"/>
        </w:rPr>
        <w:t xml:space="preserve">El </w:t>
      </w:r>
      <w:r>
        <w:rPr>
          <w:rFonts w:ascii="Arial" w:eastAsia="Arial" w:hAnsi="Arial" w:cs="Arial"/>
          <w:b/>
        </w:rPr>
        <w:t>Real Decreto 55/2017</w:t>
      </w:r>
      <w:r>
        <w:rPr>
          <w:rFonts w:ascii="Arial" w:eastAsia="Arial" w:hAnsi="Arial" w:cs="Arial"/>
        </w:rPr>
        <w:t>, de 3 de febrero, por el que se desarrolla la Ley 2/2015, de 30 de marz</w:t>
      </w:r>
      <w:r>
        <w:rPr>
          <w:rFonts w:ascii="Arial" w:eastAsia="Arial" w:hAnsi="Arial" w:cs="Arial"/>
        </w:rPr>
        <w:t>o, de desindexación de la economía española, fija un nuevo sistema de actualización de valores monetarios de las variables económicas, con el que se pretende implantar la desindexación en los contratos del sector público, dificultando que sus precios pueda</w:t>
      </w:r>
      <w:r>
        <w:rPr>
          <w:rFonts w:ascii="Arial" w:eastAsia="Arial" w:hAnsi="Arial" w:cs="Arial"/>
        </w:rPr>
        <w:t>n ser objeto de revisión, tal y como sucedía tradicionalmente mediante la aplicación de índices generales de precios tales como el Índice de Precios de Consumo (IPC).</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En este sentido, la aplicación de este nuevo régimen de revisión de precios se amplía </w:t>
      </w:r>
      <w:r>
        <w:rPr>
          <w:rFonts w:ascii="Arial" w:eastAsia="Arial" w:hAnsi="Arial" w:cs="Arial"/>
        </w:rPr>
        <w:t xml:space="preserve">sobre todos los contratos del sector público.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Por tanto, se reduce la posibilidad de revisión periódica y predeterminada de los contratos del sector público, en los supuestos y términos establecidos en el LCSP y RD de desarrollo de la Ley de desindexación (el RD 55/2017). De modo que no procede la rev</w:t>
      </w:r>
      <w:r>
        <w:rPr>
          <w:rFonts w:ascii="Arial" w:eastAsia="Arial" w:hAnsi="Arial" w:cs="Arial"/>
        </w:rPr>
        <w:t xml:space="preserve">isión periódica no predeterminada ni la no periódica, a la vez que </w:t>
      </w:r>
      <w:r>
        <w:rPr>
          <w:rFonts w:ascii="Arial" w:eastAsia="Arial" w:hAnsi="Arial" w:cs="Arial"/>
          <w:b/>
        </w:rPr>
        <w:t>sólo pueden ser objeto de revisión, previa justificación en el expediente:</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b/>
        </w:rPr>
        <w:t xml:space="preserve"> </w:t>
      </w:r>
    </w:p>
    <w:p w:rsidR="00FF384B" w:rsidRDefault="003E3BA9">
      <w:pPr>
        <w:numPr>
          <w:ilvl w:val="0"/>
          <w:numId w:val="278"/>
        </w:numPr>
        <w:spacing w:after="5" w:line="247" w:lineRule="auto"/>
        <w:ind w:right="244" w:hanging="266"/>
        <w:jc w:val="both"/>
      </w:pPr>
      <w:r>
        <w:rPr>
          <w:rFonts w:ascii="Arial" w:eastAsia="Arial" w:hAnsi="Arial" w:cs="Arial"/>
        </w:rPr>
        <w:t xml:space="preserve">Contratos de obras; </w:t>
      </w:r>
    </w:p>
    <w:p w:rsidR="00FF384B" w:rsidRDefault="003E3BA9">
      <w:pPr>
        <w:numPr>
          <w:ilvl w:val="0"/>
          <w:numId w:val="278"/>
        </w:numPr>
        <w:spacing w:after="5" w:line="247" w:lineRule="auto"/>
        <w:ind w:right="244" w:hanging="266"/>
        <w:jc w:val="both"/>
      </w:pPr>
      <w:r>
        <w:rPr>
          <w:rFonts w:ascii="Arial" w:eastAsia="Arial" w:hAnsi="Arial" w:cs="Arial"/>
        </w:rPr>
        <w:t xml:space="preserve">Contratos de suministro de fabricación de armamento y equipamiento de las </w:t>
      </w:r>
    </w:p>
    <w:p w:rsidR="00FF384B" w:rsidRDefault="003E3BA9">
      <w:pPr>
        <w:spacing w:after="5" w:line="247" w:lineRule="auto"/>
        <w:ind w:left="730" w:right="244" w:hanging="10"/>
        <w:jc w:val="both"/>
      </w:pPr>
      <w:r>
        <w:rPr>
          <w:rFonts w:ascii="Arial" w:eastAsia="Arial" w:hAnsi="Arial" w:cs="Arial"/>
        </w:rPr>
        <w:t>Administracione</w:t>
      </w:r>
      <w:r>
        <w:rPr>
          <w:rFonts w:ascii="Arial" w:eastAsia="Arial" w:hAnsi="Arial" w:cs="Arial"/>
        </w:rPr>
        <w:t xml:space="preserve">s Públicas; </w:t>
      </w:r>
    </w:p>
    <w:p w:rsidR="00FF384B" w:rsidRDefault="003E3BA9">
      <w:pPr>
        <w:numPr>
          <w:ilvl w:val="0"/>
          <w:numId w:val="278"/>
        </w:numPr>
        <w:spacing w:after="5" w:line="247" w:lineRule="auto"/>
        <w:ind w:right="244" w:hanging="266"/>
        <w:jc w:val="both"/>
      </w:pPr>
      <w:r>
        <w:rPr>
          <w:rFonts w:ascii="Arial" w:eastAsia="Arial" w:hAnsi="Arial" w:cs="Arial"/>
          <w:b/>
        </w:rPr>
        <w:t>Contratos en los que el período de recuperación de la inversión sea igual o</w:t>
      </w:r>
      <w:r>
        <w:rPr>
          <w:rFonts w:ascii="Times New Roman" w:eastAsia="Times New Roman" w:hAnsi="Times New Roman" w:cs="Times New Roman"/>
          <w:b/>
          <w:sz w:val="24"/>
        </w:rPr>
        <w:t xml:space="preserve"> </w:t>
      </w:r>
      <w:r>
        <w:rPr>
          <w:rFonts w:ascii="Arial" w:eastAsia="Arial" w:hAnsi="Arial" w:cs="Arial"/>
          <w:b/>
        </w:rPr>
        <w:t>superior a cinco años</w:t>
      </w:r>
      <w:r>
        <w:rPr>
          <w:rFonts w:ascii="Arial" w:eastAsia="Arial" w:hAnsi="Arial" w:cs="Arial"/>
        </w:rPr>
        <w:t>, en la medida que el artículo 10 del Real Decreto 55/2017define dicho periodo y establece una fórmula para su cálculo.</w:t>
      </w:r>
      <w:r>
        <w:rPr>
          <w:rFonts w:ascii="Times New Roman" w:eastAsia="Times New Roman" w:hAnsi="Times New Roman" w:cs="Times New Roman"/>
          <w:sz w:val="24"/>
        </w:rPr>
        <w:t xml:space="preserve"> </w:t>
      </w:r>
    </w:p>
    <w:p w:rsidR="00FF384B" w:rsidRDefault="003E3BA9">
      <w:pPr>
        <w:spacing w:after="0"/>
        <w:ind w:left="72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Los precios de estos contratos sólo podrán ser objeto de revisión periódica y predeterminada, sin perjuicio del derecho al reequilibrio económico financiero, estableciéndose los siguientes requisitos: </w:t>
      </w:r>
    </w:p>
    <w:p w:rsidR="00FF384B" w:rsidRDefault="003E3BA9">
      <w:pPr>
        <w:spacing w:after="0"/>
        <w:ind w:left="360"/>
      </w:pPr>
      <w:r>
        <w:rPr>
          <w:rFonts w:ascii="Times New Roman" w:eastAsia="Times New Roman" w:hAnsi="Times New Roman" w:cs="Times New Roman"/>
          <w:sz w:val="24"/>
        </w:rPr>
        <w:t xml:space="preserve"> </w:t>
      </w:r>
    </w:p>
    <w:p w:rsidR="00FF384B" w:rsidRDefault="003E3BA9">
      <w:pPr>
        <w:numPr>
          <w:ilvl w:val="0"/>
          <w:numId w:val="279"/>
        </w:numPr>
        <w:spacing w:after="5" w:line="247" w:lineRule="auto"/>
        <w:ind w:right="244" w:hanging="360"/>
        <w:jc w:val="both"/>
      </w:pPr>
      <w:r>
        <w:rPr>
          <w:rFonts w:ascii="Arial" w:eastAsia="Arial" w:hAnsi="Arial" w:cs="Arial"/>
        </w:rPr>
        <w:t>Que hayan transcurrido 2 años desde la formalización</w:t>
      </w:r>
      <w:r>
        <w:rPr>
          <w:rFonts w:ascii="Arial" w:eastAsia="Arial" w:hAnsi="Arial" w:cs="Arial"/>
        </w:rPr>
        <w:t xml:space="preserve"> del contrato y haber ejecutado, al menos, un 20 por ciento de su importe, salvo para contratos de gestión de servicios públicos. </w:t>
      </w:r>
    </w:p>
    <w:p w:rsidR="00FF384B" w:rsidRDefault="003E3BA9">
      <w:pPr>
        <w:numPr>
          <w:ilvl w:val="0"/>
          <w:numId w:val="279"/>
        </w:numPr>
        <w:spacing w:after="5" w:line="247" w:lineRule="auto"/>
        <w:ind w:right="244" w:hanging="360"/>
        <w:jc w:val="both"/>
      </w:pPr>
      <w:r>
        <w:rPr>
          <w:rFonts w:ascii="Arial" w:eastAsia="Arial" w:hAnsi="Arial" w:cs="Arial"/>
        </w:rPr>
        <w:t xml:space="preserve">La procedencia de la revisión de precios debe justificarse en el expediente de contratación. </w:t>
      </w:r>
    </w:p>
    <w:p w:rsidR="00FF384B" w:rsidRDefault="003E3BA9">
      <w:pPr>
        <w:numPr>
          <w:ilvl w:val="0"/>
          <w:numId w:val="279"/>
        </w:numPr>
        <w:spacing w:after="1" w:line="239" w:lineRule="auto"/>
        <w:ind w:right="244" w:hanging="360"/>
        <w:jc w:val="both"/>
      </w:pPr>
      <w:r>
        <w:rPr>
          <w:rFonts w:ascii="Arial" w:eastAsia="Arial" w:hAnsi="Arial" w:cs="Arial"/>
        </w:rPr>
        <w:t xml:space="preserve">El órgano de contratación debe </w:t>
      </w:r>
      <w:r>
        <w:rPr>
          <w:rFonts w:ascii="Arial" w:eastAsia="Arial" w:hAnsi="Arial" w:cs="Arial"/>
        </w:rPr>
        <w:t xml:space="preserve">establecer la fórmula de revisión de precios aplicable, que se determinará en función de la naturaleza del contrato y de la estructura y evolución de los costes de la actividad que constituye su objeto. </w:t>
      </w:r>
    </w:p>
    <w:p w:rsidR="00FF384B" w:rsidRDefault="003E3BA9">
      <w:pPr>
        <w:numPr>
          <w:ilvl w:val="0"/>
          <w:numId w:val="279"/>
        </w:numPr>
        <w:spacing w:after="5" w:line="247" w:lineRule="auto"/>
        <w:ind w:right="244" w:hanging="360"/>
        <w:jc w:val="both"/>
      </w:pPr>
      <w:r>
        <w:rPr>
          <w:rFonts w:ascii="Arial" w:eastAsia="Arial" w:hAnsi="Arial" w:cs="Arial"/>
        </w:rPr>
        <w:t xml:space="preserve">Previsión de la revisión en pliegos, los cuales han </w:t>
      </w:r>
      <w:r>
        <w:rPr>
          <w:rFonts w:ascii="Arial" w:eastAsia="Arial" w:hAnsi="Arial" w:cs="Arial"/>
        </w:rPr>
        <w:t xml:space="preserve">de detallar la fórmula aplicable. </w:t>
      </w:r>
    </w:p>
    <w:p w:rsidR="00FF384B" w:rsidRDefault="003E3BA9">
      <w:pPr>
        <w:numPr>
          <w:ilvl w:val="0"/>
          <w:numId w:val="279"/>
        </w:numPr>
        <w:spacing w:after="5" w:line="247" w:lineRule="auto"/>
        <w:ind w:right="244" w:hanging="360"/>
        <w:jc w:val="both"/>
      </w:pPr>
      <w:r>
        <w:rPr>
          <w:rFonts w:ascii="Arial" w:eastAsia="Arial" w:hAnsi="Arial" w:cs="Arial"/>
        </w:rPr>
        <w:t xml:space="preserve">La fórmula de revisión de precios no podrá modificarse durante la vigencia del contrato. </w:t>
      </w:r>
    </w:p>
    <w:p w:rsidR="00FF384B" w:rsidRDefault="003E3BA9">
      <w:pPr>
        <w:numPr>
          <w:ilvl w:val="0"/>
          <w:numId w:val="279"/>
        </w:numPr>
        <w:spacing w:after="5" w:line="247" w:lineRule="auto"/>
        <w:ind w:right="244" w:hanging="360"/>
        <w:jc w:val="both"/>
      </w:pPr>
      <w:r>
        <w:rPr>
          <w:rFonts w:ascii="Arial" w:eastAsia="Arial" w:hAnsi="Arial" w:cs="Arial"/>
        </w:rPr>
        <w:t xml:space="preserve">La fórmula de revisión de precios establecida se aplicará en cada fecha periódica determinada respecto a la fecha de adjudicación del contrato, si ésta tiene lugar en el plazo de tres meses desde la finalización del plazo de presentación de proposiciones, </w:t>
      </w:r>
      <w:r>
        <w:rPr>
          <w:rFonts w:ascii="Arial" w:eastAsia="Arial" w:hAnsi="Arial" w:cs="Arial"/>
        </w:rPr>
        <w:t xml:space="preserve">o respecto a la fecha en que termine dicho plazo de tres meses si la adjudicación es posterior. </w:t>
      </w:r>
    </w:p>
    <w:p w:rsidR="00FF384B" w:rsidRDefault="003E3BA9">
      <w:pPr>
        <w:numPr>
          <w:ilvl w:val="0"/>
          <w:numId w:val="279"/>
        </w:numPr>
        <w:spacing w:after="5" w:line="247" w:lineRule="auto"/>
        <w:ind w:right="244" w:hanging="360"/>
        <w:jc w:val="both"/>
      </w:pPr>
      <w:r>
        <w:rPr>
          <w:noProof/>
        </w:rPr>
        <mc:AlternateContent>
          <mc:Choice Requires="wpg">
            <w:drawing>
              <wp:anchor distT="0" distB="0" distL="114300" distR="114300" simplePos="0" relativeHeight="2518958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0809" name="Group 49080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371" name="Picture 43371"/>
                          <pic:cNvPicPr/>
                        </pic:nvPicPr>
                        <pic:blipFill>
                          <a:blip r:embed="rId62"/>
                          <a:stretch>
                            <a:fillRect/>
                          </a:stretch>
                        </pic:blipFill>
                        <pic:spPr>
                          <a:xfrm rot="-5399999">
                            <a:off x="-1720849" y="1720849"/>
                            <a:ext cx="3797300" cy="355601"/>
                          </a:xfrm>
                          <a:prstGeom prst="rect">
                            <a:avLst/>
                          </a:prstGeom>
                        </pic:spPr>
                      </pic:pic>
                      <wps:wsp>
                        <wps:cNvPr id="43372" name="Rectangle 4337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373" name="Rectangle 4337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w:t>
                              </w:r>
                              <w:r>
                                <w:rPr>
                                  <w:rFonts w:ascii="Arial" w:eastAsia="Arial" w:hAnsi="Arial" w:cs="Arial"/>
                                  <w:sz w:val="12"/>
                                </w:rPr>
                                <w:t xml:space="preserve">sPublico Gestiona | Página 231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0809" style="width:41.2715pt;height:299pt;position:absolute;mso-position-horizontal-relative:page;mso-position-horizontal:absolute;margin-left:653.71pt;mso-position-vertical-relative:page;margin-top:512.92pt;" coordsize="5241,37973">
                <v:shape id="Picture 43371" style="position:absolute;width:37973;height:3556;left:-17208;top:17208;rotation:-89;" filled="f">
                  <v:imagedata r:id="rId63"/>
                </v:shape>
                <v:rect id="Rectangle 4337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37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231 de 353 </w:t>
                        </w:r>
                      </w:p>
                    </w:txbxContent>
                  </v:textbox>
                </v:rect>
                <w10:wrap type="square"/>
              </v:group>
            </w:pict>
          </mc:Fallback>
        </mc:AlternateContent>
      </w:r>
      <w:r>
        <w:rPr>
          <w:rFonts w:ascii="Arial" w:eastAsia="Arial" w:hAnsi="Arial" w:cs="Arial"/>
        </w:rPr>
        <w:t>Vinculación a los costes directos, indispensables y significativos para el cumplimiento del objeto del contrato, los cuales han de que representar al menos el 1 por 100 de valor íntegro de la actividad y no estar some</w:t>
      </w:r>
      <w:r>
        <w:rPr>
          <w:rFonts w:ascii="Arial" w:eastAsia="Arial" w:hAnsi="Arial" w:cs="Arial"/>
        </w:rPr>
        <w:t xml:space="preserve">tidos al control del contratista. Las revisiones podrán ser, en consecuencia, al alza o a la baja en función de la variación de tales costes. </w:t>
      </w:r>
    </w:p>
    <w:p w:rsidR="00FF384B" w:rsidRDefault="003E3BA9">
      <w:pPr>
        <w:numPr>
          <w:ilvl w:val="0"/>
          <w:numId w:val="279"/>
        </w:numPr>
        <w:spacing w:after="5" w:line="247" w:lineRule="auto"/>
        <w:ind w:right="244" w:hanging="360"/>
        <w:jc w:val="both"/>
      </w:pPr>
      <w:r>
        <w:rPr>
          <w:rFonts w:ascii="Arial" w:eastAsia="Arial" w:hAnsi="Arial" w:cs="Arial"/>
        </w:rPr>
        <w:t xml:space="preserve">No serán revisables los costes asociados a las amortizaciones, los costes financieros, los gastos generales o de </w:t>
      </w:r>
      <w:r>
        <w:rPr>
          <w:rFonts w:ascii="Arial" w:eastAsia="Arial" w:hAnsi="Arial" w:cs="Arial"/>
        </w:rPr>
        <w:t xml:space="preserve">estructura, ni el beneficio industrial. </w:t>
      </w:r>
    </w:p>
    <w:p w:rsidR="00FF384B" w:rsidRDefault="003E3BA9">
      <w:pPr>
        <w:numPr>
          <w:ilvl w:val="0"/>
          <w:numId w:val="279"/>
        </w:numPr>
        <w:spacing w:after="5" w:line="247" w:lineRule="auto"/>
        <w:ind w:right="244" w:hanging="360"/>
        <w:jc w:val="both"/>
      </w:pPr>
      <w:r>
        <w:rPr>
          <w:rFonts w:ascii="Arial" w:eastAsia="Arial" w:hAnsi="Arial" w:cs="Arial"/>
        </w:rPr>
        <w:t>El incremento repercutible de los costes de mano de obra no podrá ser superior al incremento experimentado por la retribución del personal al servicio del sector público, conforme a las Leyes de Presupuestos General</w:t>
      </w:r>
      <w:r>
        <w:rPr>
          <w:rFonts w:ascii="Arial" w:eastAsia="Arial" w:hAnsi="Arial" w:cs="Arial"/>
        </w:rPr>
        <w:t xml:space="preserve">es del Estado.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Ante este nuevo contexto, el desarrollo reglamentario establece unos principios a los que habrán de sujetarse todas las variaciones de valores monetarios motivadas por variación de costes: </w:t>
      </w:r>
    </w:p>
    <w:p w:rsidR="00FF384B" w:rsidRDefault="003E3BA9">
      <w:pPr>
        <w:spacing w:after="0"/>
      </w:pPr>
      <w:r>
        <w:rPr>
          <w:rFonts w:ascii="Times New Roman" w:eastAsia="Times New Roman" w:hAnsi="Times New Roman" w:cs="Times New Roman"/>
          <w:sz w:val="24"/>
        </w:rPr>
        <w:t xml:space="preserve"> </w:t>
      </w:r>
    </w:p>
    <w:p w:rsidR="00FF384B" w:rsidRDefault="003E3BA9">
      <w:pPr>
        <w:numPr>
          <w:ilvl w:val="0"/>
          <w:numId w:val="279"/>
        </w:numPr>
        <w:spacing w:after="5" w:line="247" w:lineRule="auto"/>
        <w:ind w:right="244" w:hanging="360"/>
        <w:jc w:val="both"/>
      </w:pPr>
      <w:r>
        <w:rPr>
          <w:rFonts w:ascii="Arial" w:eastAsia="Arial" w:hAnsi="Arial" w:cs="Arial"/>
        </w:rPr>
        <w:t>Principio de referenciación a costes, confor</w:t>
      </w:r>
      <w:r>
        <w:rPr>
          <w:rFonts w:ascii="Arial" w:eastAsia="Arial" w:hAnsi="Arial" w:cs="Arial"/>
        </w:rPr>
        <w:t>me al cual será necesario tomar como referencia la estructura de costes de la actividad de que se trate y ponderar los distintos componentes de costes indispensables para la correcta realización de la actividad en función de su concreto peso relativo en el</w:t>
      </w:r>
      <w:r>
        <w:rPr>
          <w:rFonts w:ascii="Arial" w:eastAsia="Arial" w:hAnsi="Arial" w:cs="Arial"/>
        </w:rPr>
        <w:t xml:space="preserve"> valor de la misma. </w:t>
      </w:r>
    </w:p>
    <w:p w:rsidR="00FF384B" w:rsidRDefault="003E3BA9">
      <w:pPr>
        <w:numPr>
          <w:ilvl w:val="0"/>
          <w:numId w:val="279"/>
        </w:numPr>
        <w:spacing w:after="5" w:line="247" w:lineRule="auto"/>
        <w:ind w:right="244" w:hanging="360"/>
        <w:jc w:val="both"/>
      </w:pPr>
      <w:r>
        <w:rPr>
          <w:rFonts w:ascii="Arial" w:eastAsia="Arial" w:hAnsi="Arial" w:cs="Arial"/>
        </w:rPr>
        <w:t>Principio de eficiencia y buena gestión empresarial, que implica que sólo podrán trasladarse a precios las variaciones de costes que hubiesen sido asumidos por una empresa eficiente y bien gestionada, identificada atendiendo a las mejo</w:t>
      </w:r>
      <w:r>
        <w:rPr>
          <w:rFonts w:ascii="Arial" w:eastAsia="Arial" w:hAnsi="Arial" w:cs="Arial"/>
        </w:rPr>
        <w:t xml:space="preserve">res prácticas en el sector.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De conformidad con lo previsto en el artículo 3 del RD 55/2017 relativo al principio de referenciación a costes, todo régimen de revisión </w:t>
      </w:r>
      <w:r>
        <w:rPr>
          <w:rFonts w:ascii="Arial" w:eastAsia="Arial" w:hAnsi="Arial" w:cs="Arial"/>
          <w:b/>
        </w:rPr>
        <w:t>deberá tomar como referencia la estructura de costes de la actividad</w:t>
      </w:r>
      <w:r>
        <w:rPr>
          <w:rFonts w:ascii="Arial" w:eastAsia="Arial" w:hAnsi="Arial" w:cs="Arial"/>
        </w:rPr>
        <w:t>, ponderándose cada</w:t>
      </w:r>
      <w:r>
        <w:rPr>
          <w:rFonts w:ascii="Arial" w:eastAsia="Arial" w:hAnsi="Arial" w:cs="Arial"/>
        </w:rPr>
        <w:t xml:space="preserve"> componente de costes en función de su peso relativo en el valor íntegro de dicha actividad, entendiendo dicho valor como el precio global del contrato al hacer referencia al ámbito de la contratación pública.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Conforme lo dispuesto en el </w:t>
      </w:r>
      <w:r>
        <w:rPr>
          <w:rFonts w:ascii="Arial" w:eastAsia="Arial" w:hAnsi="Arial" w:cs="Arial"/>
          <w:b/>
        </w:rPr>
        <w:t>artículo 9</w:t>
      </w:r>
      <w:r>
        <w:rPr>
          <w:rFonts w:ascii="Arial" w:eastAsia="Arial" w:hAnsi="Arial" w:cs="Arial"/>
        </w:rPr>
        <w:t xml:space="preserve"> del </w:t>
      </w:r>
      <w:r>
        <w:rPr>
          <w:rFonts w:ascii="Arial" w:eastAsia="Arial" w:hAnsi="Arial" w:cs="Arial"/>
        </w:rPr>
        <w:t>Real Decreto 55/2017, de 3 de febrero, se recoge la revisión periódica y predeterminada de precios en los contratos del sector público distintos a los contratos de obras y a los contratos de suministro de fabricación de armamento y equipamiento de las Admi</w:t>
      </w:r>
      <w:r>
        <w:rPr>
          <w:rFonts w:ascii="Arial" w:eastAsia="Arial" w:hAnsi="Arial" w:cs="Arial"/>
        </w:rPr>
        <w:t>nistraciones Públicas.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Se procederá la revisión periódica y predeterminada de dichos precios, transcurridos dos años desde la formalización del contrato y ejecutado al menos el 20 por ciento de su importe, cuando concurran acumulativamente las siguiente</w:t>
      </w:r>
      <w:r>
        <w:rPr>
          <w:rFonts w:ascii="Arial" w:eastAsia="Arial" w:hAnsi="Arial" w:cs="Arial"/>
        </w:rPr>
        <w:t xml:space="preserve">s circunstancias: </w:t>
      </w:r>
    </w:p>
    <w:p w:rsidR="00FF384B" w:rsidRDefault="003E3BA9">
      <w:pPr>
        <w:spacing w:after="0"/>
      </w:pPr>
      <w:r>
        <w:rPr>
          <w:rFonts w:ascii="Arial" w:eastAsia="Arial" w:hAnsi="Arial" w:cs="Arial"/>
        </w:rPr>
        <w:t xml:space="preserve"> </w:t>
      </w:r>
    </w:p>
    <w:p w:rsidR="00FF384B" w:rsidRDefault="003E3BA9">
      <w:pPr>
        <w:numPr>
          <w:ilvl w:val="0"/>
          <w:numId w:val="280"/>
        </w:numPr>
        <w:spacing w:after="15" w:line="247" w:lineRule="auto"/>
        <w:ind w:hanging="3"/>
        <w:jc w:val="both"/>
      </w:pPr>
      <w:r>
        <w:rPr>
          <w:rFonts w:ascii="Arial" w:eastAsia="Arial" w:hAnsi="Arial" w:cs="Arial"/>
        </w:rPr>
        <w:t xml:space="preserve">Que el </w:t>
      </w:r>
      <w:r>
        <w:rPr>
          <w:rFonts w:ascii="Arial" w:eastAsia="Arial" w:hAnsi="Arial" w:cs="Arial"/>
          <w:b/>
        </w:rPr>
        <w:t>período de recuperación de la inversión del contrato sea igual o superior a cinco años</w:t>
      </w:r>
      <w:r>
        <w:rPr>
          <w:rFonts w:ascii="Arial" w:eastAsia="Arial" w:hAnsi="Arial" w:cs="Arial"/>
        </w:rPr>
        <w:t>, justificado conforme al criterio establecido en el artículo 10.</w:t>
      </w:r>
      <w:r>
        <w:rPr>
          <w:rFonts w:ascii="Times New Roman" w:eastAsia="Times New Roman" w:hAnsi="Times New Roman" w:cs="Times New Roman"/>
          <w:sz w:val="24"/>
        </w:rPr>
        <w:t xml:space="preserve"> </w:t>
      </w:r>
    </w:p>
    <w:p w:rsidR="00FF384B" w:rsidRDefault="003E3BA9">
      <w:pPr>
        <w:numPr>
          <w:ilvl w:val="0"/>
          <w:numId w:val="280"/>
        </w:numPr>
        <w:spacing w:after="15" w:line="247" w:lineRule="auto"/>
        <w:ind w:hanging="3"/>
        <w:jc w:val="both"/>
      </w:pPr>
      <w:r>
        <w:rPr>
          <w:rFonts w:ascii="Arial" w:eastAsia="Arial" w:hAnsi="Arial" w:cs="Arial"/>
        </w:rPr>
        <w:t xml:space="preserve">Que así esté </w:t>
      </w:r>
      <w:r>
        <w:rPr>
          <w:rFonts w:ascii="Arial" w:eastAsia="Arial" w:hAnsi="Arial" w:cs="Arial"/>
          <w:b/>
        </w:rPr>
        <w:t>previsto en los pliegos, que deberán detallar la fórmula de revisión aplicable</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A tales efectos, en la memoria que acompañe al expediente de contratación, el órgano de contratación deberá justificar el carácter recurrente de la variación de los distinto</w:t>
      </w:r>
      <w:r>
        <w:rPr>
          <w:rFonts w:ascii="Arial" w:eastAsia="Arial" w:hAnsi="Arial" w:cs="Arial"/>
        </w:rPr>
        <w:t>s componentes de coste a considerar en la fórmula de revisión de precios, el cumplimiento de los principios y límites contenidos en los artículos 3, 4, 5 y 7, así como el período de recuperación de la inversión del contrato. Deberá justificarse asimismo qu</w:t>
      </w:r>
      <w:r>
        <w:rPr>
          <w:rFonts w:ascii="Arial" w:eastAsia="Arial" w:hAnsi="Arial" w:cs="Arial"/>
        </w:rPr>
        <w:t xml:space="preserve">e los índices elegidos son aquellos que, con la mayor desagregación posible de entre los disponibles al público, mejor reflejen la evolución del componente de coste susceptible de revisión en cuestión. </w:t>
      </w:r>
    </w:p>
    <w:p w:rsidR="00FF384B" w:rsidRDefault="003E3BA9">
      <w:pPr>
        <w:spacing w:after="0"/>
      </w:pPr>
      <w:r>
        <w:rPr>
          <w:rFonts w:ascii="Arial" w:eastAsia="Arial" w:hAnsi="Arial" w:cs="Arial"/>
        </w:rPr>
        <w:t xml:space="preserve"> </w:t>
      </w:r>
    </w:p>
    <w:p w:rsidR="00FF384B" w:rsidRDefault="003E3BA9">
      <w:pPr>
        <w:spacing w:after="0"/>
      </w:pPr>
      <w:r>
        <w:rPr>
          <w:noProof/>
        </w:rPr>
        <mc:AlternateContent>
          <mc:Choice Requires="wpg">
            <w:drawing>
              <wp:anchor distT="0" distB="0" distL="114300" distR="114300" simplePos="0" relativeHeight="2518968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2579" name="Group 49257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515" name="Picture 43515"/>
                          <pic:cNvPicPr/>
                        </pic:nvPicPr>
                        <pic:blipFill>
                          <a:blip r:embed="rId62"/>
                          <a:stretch>
                            <a:fillRect/>
                          </a:stretch>
                        </pic:blipFill>
                        <pic:spPr>
                          <a:xfrm rot="-5399999">
                            <a:off x="-1720849" y="1720849"/>
                            <a:ext cx="3797300" cy="355601"/>
                          </a:xfrm>
                          <a:prstGeom prst="rect">
                            <a:avLst/>
                          </a:prstGeom>
                        </pic:spPr>
                      </pic:pic>
                      <wps:wsp>
                        <wps:cNvPr id="43516" name="Rectangle 4351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517" name="Rectangle 4351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2579" style="width:41.2715pt;height:299pt;position:absolute;mso-position-horizontal-relative:page;mso-position-horizontal:absolute;margin-left:653.71pt;mso-position-vertical-relative:page;margin-top:512.92pt;" coordsize="5241,37973">
                <v:shape id="Picture 43515" style="position:absolute;width:37973;height:3556;left:-17208;top:17208;rotation:-89;" filled="f">
                  <v:imagedata r:id="rId63"/>
                </v:shape>
                <v:rect id="Rectangle 4351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51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232 de 353 </w:t>
                        </w:r>
                      </w:p>
                    </w:txbxContent>
                  </v:textbox>
                </v:rect>
                <w10:wrap type="square"/>
              </v:group>
            </w:pict>
          </mc:Fallback>
        </mc:AlternateContent>
      </w: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En caso de que no exista fórmula tipo, el órgano de contrat</w:t>
      </w:r>
      <w:r>
        <w:rPr>
          <w:rFonts w:ascii="Arial" w:eastAsia="Arial" w:hAnsi="Arial" w:cs="Arial"/>
        </w:rPr>
        <w:t xml:space="preserve">ación justificará el cumplimiento del principio de eficiencia y buena gestión empresarial mencionado en el artículo 4, según lo dispuesto en los apartados 7 y 8.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Para los contratos con un precio igual o superior a cinco millones de euros, el órgano de c</w:t>
      </w:r>
      <w:r>
        <w:rPr>
          <w:rFonts w:ascii="Arial" w:eastAsia="Arial" w:hAnsi="Arial" w:cs="Arial"/>
        </w:rPr>
        <w:t xml:space="preserve">ontratación incluirá en el expediente de contratación un informe preceptivo valorativo de la estructura de costes, emitido por el Comité Superior de Precios de Contratos del Estado. </w:t>
      </w:r>
    </w:p>
    <w:p w:rsidR="00FF384B" w:rsidRDefault="003E3BA9">
      <w:pPr>
        <w:spacing w:after="0"/>
      </w:pPr>
      <w:r>
        <w:rPr>
          <w:rFonts w:ascii="Times New Roman" w:eastAsia="Times New Roman" w:hAnsi="Times New Roman" w:cs="Times New Roman"/>
          <w:sz w:val="24"/>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rPr>
        <w:t xml:space="preserve">A tales efectos, el órgano de contratación deberá: </w:t>
      </w:r>
    </w:p>
    <w:p w:rsidR="00FF384B" w:rsidRDefault="003E3BA9">
      <w:pPr>
        <w:pBdr>
          <w:top w:val="single" w:sz="4" w:space="0" w:color="000000"/>
          <w:left w:val="single" w:sz="4" w:space="0" w:color="000000"/>
          <w:bottom w:val="single" w:sz="4" w:space="0" w:color="000000"/>
          <w:right w:val="single" w:sz="4" w:space="0" w:color="000000"/>
        </w:pBdr>
        <w:spacing w:after="0"/>
        <w:ind w:left="-15" w:right="242"/>
      </w:pPr>
      <w:r>
        <w:rPr>
          <w:rFonts w:ascii="Arial" w:eastAsia="Arial" w:hAnsi="Arial" w:cs="Arial"/>
        </w:rPr>
        <w:t xml:space="preserve"> </w:t>
      </w:r>
    </w:p>
    <w:p w:rsidR="00FF384B" w:rsidRDefault="003E3BA9">
      <w:pPr>
        <w:numPr>
          <w:ilvl w:val="0"/>
          <w:numId w:val="281"/>
        </w:numPr>
        <w:pBdr>
          <w:top w:val="single" w:sz="4" w:space="0" w:color="000000"/>
          <w:left w:val="single" w:sz="4" w:space="0" w:color="000000"/>
          <w:bottom w:val="single" w:sz="4" w:space="0" w:color="000000"/>
          <w:right w:val="single" w:sz="4" w:space="0" w:color="000000"/>
        </w:pBdr>
        <w:spacing w:after="0"/>
        <w:ind w:left="-15" w:right="242" w:firstLine="720"/>
        <w:jc w:val="both"/>
      </w:pPr>
      <w:r>
        <w:rPr>
          <w:rFonts w:ascii="Arial" w:eastAsia="Arial" w:hAnsi="Arial" w:cs="Arial"/>
        </w:rPr>
        <w:t xml:space="preserve">Solicitar a cinco operadores económicos del sector la remisión de su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rPr>
        <w:t xml:space="preserve">estructura de costes. </w:t>
      </w:r>
    </w:p>
    <w:p w:rsidR="00FF384B" w:rsidRDefault="003E3BA9">
      <w:pPr>
        <w:numPr>
          <w:ilvl w:val="0"/>
          <w:numId w:val="281"/>
        </w:numPr>
        <w:pBdr>
          <w:top w:val="single" w:sz="4" w:space="0" w:color="000000"/>
          <w:left w:val="single" w:sz="4" w:space="0" w:color="000000"/>
          <w:bottom w:val="single" w:sz="4" w:space="0" w:color="000000"/>
          <w:right w:val="single" w:sz="4" w:space="0" w:color="000000"/>
        </w:pBdr>
        <w:spacing w:after="5" w:line="249" w:lineRule="auto"/>
        <w:ind w:left="-15" w:right="242" w:firstLine="720"/>
        <w:jc w:val="both"/>
      </w:pPr>
      <w:r>
        <w:rPr>
          <w:rFonts w:ascii="Arial" w:eastAsia="Arial" w:hAnsi="Arial" w:cs="Arial"/>
        </w:rPr>
        <w:t>Elaborar una propuesta de estructura de costes de la actividad. Para ello utilizará, siempre que sea posible, la información de las respuestas que reciba de los op</w:t>
      </w:r>
      <w:r>
        <w:rPr>
          <w:rFonts w:ascii="Arial" w:eastAsia="Arial" w:hAnsi="Arial" w:cs="Arial"/>
        </w:rPr>
        <w:t xml:space="preserve">eradores económicos mencionados en la letra anterior. </w:t>
      </w:r>
    </w:p>
    <w:p w:rsidR="00FF384B" w:rsidRDefault="003E3BA9">
      <w:pPr>
        <w:numPr>
          <w:ilvl w:val="0"/>
          <w:numId w:val="281"/>
        </w:numPr>
        <w:pBdr>
          <w:top w:val="single" w:sz="4" w:space="0" w:color="000000"/>
          <w:left w:val="single" w:sz="4" w:space="0" w:color="000000"/>
          <w:bottom w:val="single" w:sz="4" w:space="0" w:color="000000"/>
          <w:right w:val="single" w:sz="4" w:space="0" w:color="000000"/>
        </w:pBdr>
        <w:spacing w:after="5" w:line="249" w:lineRule="auto"/>
        <w:ind w:left="-15" w:right="242" w:firstLine="720"/>
        <w:jc w:val="both"/>
      </w:pPr>
      <w:r>
        <w:rPr>
          <w:rFonts w:ascii="Arial" w:eastAsia="Arial" w:hAnsi="Arial" w:cs="Arial"/>
        </w:rPr>
        <w:t>Someter su propuesta de estructura de costes a un trámite de información pública por un plazo de 20 días. En caso de que se presenten alegaciones en dicho trámite</w:t>
      </w:r>
      <w:r>
        <w:rPr>
          <w:rFonts w:ascii="Times New Roman" w:eastAsia="Times New Roman" w:hAnsi="Times New Roman" w:cs="Times New Roman"/>
          <w:sz w:val="24"/>
        </w:rPr>
        <w:t xml:space="preserve">, </w:t>
      </w:r>
      <w:r>
        <w:rPr>
          <w:rFonts w:ascii="Arial" w:eastAsia="Arial" w:hAnsi="Arial" w:cs="Arial"/>
        </w:rPr>
        <w:t>el órgano de contratación deberá valorar su aceptación o rechazo de forma motivada en la memoria.</w:t>
      </w:r>
      <w:r>
        <w:rPr>
          <w:rFonts w:ascii="Times New Roman" w:eastAsia="Times New Roman" w:hAnsi="Times New Roman" w:cs="Times New Roman"/>
          <w:sz w:val="24"/>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0"/>
        <w:ind w:left="-15" w:right="242"/>
      </w:pPr>
      <w:r>
        <w:rPr>
          <w:rFonts w:ascii="Arial" w:eastAsia="Arial" w:hAnsi="Arial" w:cs="Arial"/>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rPr>
        <w:t>En el caso de los contratos de concesión de obra pública, el órgano de contratación podrá optar por incluir este trámite de información como parte del prev</w:t>
      </w:r>
      <w:r>
        <w:rPr>
          <w:rFonts w:ascii="Arial" w:eastAsia="Arial" w:hAnsi="Arial" w:cs="Arial"/>
        </w:rPr>
        <w:t xml:space="preserve">isto en el apartado 3 del artículo 128 del texto refundido de la Ley de Contratos del Sector Público, aprobado por Real Decreto legislativo 3/2011, de 14 de noviembre. </w:t>
      </w:r>
    </w:p>
    <w:p w:rsidR="00FF384B" w:rsidRDefault="003E3BA9">
      <w:pPr>
        <w:pBdr>
          <w:top w:val="single" w:sz="4" w:space="0" w:color="000000"/>
          <w:left w:val="single" w:sz="4" w:space="0" w:color="000000"/>
          <w:bottom w:val="single" w:sz="4" w:space="0" w:color="000000"/>
          <w:right w:val="single" w:sz="4" w:space="0" w:color="000000"/>
        </w:pBdr>
        <w:spacing w:after="0"/>
        <w:ind w:right="242"/>
      </w:pPr>
      <w:r>
        <w:rPr>
          <w:rFonts w:ascii="Arial" w:eastAsia="Arial" w:hAnsi="Arial" w:cs="Arial"/>
        </w:rPr>
        <w:t xml:space="preserve"> </w:t>
      </w:r>
    </w:p>
    <w:p w:rsidR="00FF384B" w:rsidRDefault="003E3BA9">
      <w:pPr>
        <w:numPr>
          <w:ilvl w:val="0"/>
          <w:numId w:val="281"/>
        </w:numPr>
        <w:pBdr>
          <w:top w:val="single" w:sz="4" w:space="0" w:color="000000"/>
          <w:left w:val="single" w:sz="4" w:space="0" w:color="000000"/>
          <w:bottom w:val="single" w:sz="4" w:space="0" w:color="000000"/>
          <w:right w:val="single" w:sz="4" w:space="0" w:color="000000"/>
        </w:pBdr>
        <w:spacing w:after="0"/>
        <w:ind w:right="242" w:firstLine="720"/>
        <w:jc w:val="both"/>
      </w:pPr>
      <w:r>
        <w:rPr>
          <w:rFonts w:ascii="Arial" w:eastAsia="Arial" w:hAnsi="Arial" w:cs="Arial"/>
        </w:rPr>
        <w:t xml:space="preserve">Remitir su propuesta de estructura de costes al Comité Superior de Precios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10" w:right="242" w:hanging="10"/>
        <w:jc w:val="both"/>
      </w:pPr>
      <w:r>
        <w:rPr>
          <w:rFonts w:ascii="Arial" w:eastAsia="Arial" w:hAnsi="Arial" w:cs="Arial"/>
        </w:rPr>
        <w:t xml:space="preserve">de Contratos del Estado. </w:t>
      </w:r>
    </w:p>
    <w:p w:rsidR="00FF384B" w:rsidRDefault="003E3BA9">
      <w:pPr>
        <w:pBdr>
          <w:top w:val="single" w:sz="4" w:space="0" w:color="000000"/>
          <w:left w:val="single" w:sz="4" w:space="0" w:color="000000"/>
          <w:bottom w:val="single" w:sz="4" w:space="0" w:color="000000"/>
          <w:right w:val="single" w:sz="4" w:space="0" w:color="000000"/>
        </w:pBdr>
        <w:spacing w:after="0"/>
        <w:ind w:right="242"/>
      </w:pPr>
      <w:r>
        <w:rPr>
          <w:rFonts w:ascii="Arial" w:eastAsia="Arial" w:hAnsi="Arial" w:cs="Arial"/>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10" w:right="242" w:hanging="10"/>
        <w:jc w:val="both"/>
      </w:pPr>
      <w:r>
        <w:rPr>
          <w:rFonts w:ascii="Arial" w:eastAsia="Arial" w:hAnsi="Arial" w:cs="Arial"/>
        </w:rPr>
        <w:t>En el caso de las Comunidades Autónomas y de las Entidades Locales, así como de los organismos y entidades de ellas dependientes, este informe podrá ser recabado del órgano autonómico consultivo en materia de contratación públic</w:t>
      </w:r>
      <w:r>
        <w:rPr>
          <w:rFonts w:ascii="Arial" w:eastAsia="Arial" w:hAnsi="Arial" w:cs="Arial"/>
        </w:rPr>
        <w:t xml:space="preserve">a, si existiera. En caso contrario, deberá ser recabado del Comité Superior de Precios de Contratos del Estado. </w:t>
      </w:r>
    </w:p>
    <w:p w:rsidR="00FF384B" w:rsidRDefault="003E3BA9">
      <w:pPr>
        <w:pBdr>
          <w:top w:val="single" w:sz="4" w:space="0" w:color="000000"/>
          <w:left w:val="single" w:sz="4" w:space="0" w:color="000000"/>
          <w:bottom w:val="single" w:sz="4" w:space="0" w:color="000000"/>
          <w:right w:val="single" w:sz="4" w:space="0" w:color="000000"/>
        </w:pBdr>
        <w:spacing w:after="0"/>
        <w:ind w:right="242"/>
      </w:pPr>
      <w:r>
        <w:rPr>
          <w:rFonts w:ascii="Arial" w:eastAsia="Arial" w:hAnsi="Arial" w:cs="Arial"/>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10" w:right="242" w:hanging="10"/>
        <w:jc w:val="both"/>
      </w:pPr>
      <w:r>
        <w:rPr>
          <w:rFonts w:ascii="Arial" w:eastAsia="Arial" w:hAnsi="Arial" w:cs="Arial"/>
        </w:rPr>
        <w:t>En todo caso, el órgano de contratación deberá comunicar a efectos informativos al Comité Superior de Precios de Contratos del Estado y, en s</w:t>
      </w:r>
      <w:r>
        <w:rPr>
          <w:rFonts w:ascii="Arial" w:eastAsia="Arial" w:hAnsi="Arial" w:cs="Arial"/>
        </w:rPr>
        <w:t xml:space="preserve">u caso, al órgano autonómico consultivo correspondiente, la estructura de costes incluida en el pliego. </w:t>
      </w:r>
    </w:p>
    <w:p w:rsidR="00FF384B" w:rsidRDefault="003E3BA9">
      <w:pPr>
        <w:spacing w:after="100"/>
        <w:ind w:left="360"/>
      </w:pPr>
      <w:r>
        <w:rPr>
          <w:rFonts w:ascii="Arial" w:eastAsia="Arial" w:hAnsi="Arial" w:cs="Arial"/>
        </w:rPr>
        <w:t xml:space="preserve"> </w:t>
      </w:r>
    </w:p>
    <w:p w:rsidR="00FF384B" w:rsidRDefault="003E3BA9">
      <w:pPr>
        <w:spacing w:after="109"/>
        <w:ind w:left="360"/>
      </w:pPr>
      <w:r>
        <w:rPr>
          <w:rFonts w:ascii="Arial" w:eastAsia="Arial" w:hAnsi="Arial" w:cs="Arial"/>
        </w:rPr>
        <w:t xml:space="preserve"> </w:t>
      </w:r>
    </w:p>
    <w:p w:rsidR="00FF384B" w:rsidRDefault="003E3BA9">
      <w:pPr>
        <w:pStyle w:val="Ttulo2"/>
        <w:shd w:val="clear" w:color="auto" w:fill="E0E0E0"/>
        <w:spacing w:after="233" w:line="249" w:lineRule="auto"/>
        <w:ind w:left="197" w:right="441"/>
      </w:pPr>
      <w:r>
        <w:t>CONCLUSIÓN</w:t>
      </w:r>
      <w:r>
        <w:rPr>
          <w:rFonts w:ascii="Times New Roman" w:eastAsia="Times New Roman" w:hAnsi="Times New Roman" w:cs="Times New Roman"/>
          <w:b w:val="0"/>
          <w:sz w:val="24"/>
        </w:rPr>
        <w:t xml:space="preserve"> </w:t>
      </w:r>
    </w:p>
    <w:p w:rsidR="00FF384B" w:rsidRDefault="003E3BA9">
      <w:pPr>
        <w:spacing w:after="5" w:line="247" w:lineRule="auto"/>
        <w:ind w:left="10" w:right="244" w:hanging="10"/>
        <w:jc w:val="both"/>
      </w:pPr>
      <w:r>
        <w:rPr>
          <w:rFonts w:ascii="Arial" w:eastAsia="Arial" w:hAnsi="Arial" w:cs="Arial"/>
        </w:rPr>
        <w:t xml:space="preserve"> </w:t>
      </w:r>
      <w:r>
        <w:rPr>
          <w:rFonts w:ascii="Arial" w:eastAsia="Arial" w:hAnsi="Arial" w:cs="Arial"/>
        </w:rPr>
        <w:t xml:space="preserve">En virtud de lo expuesto anteriormente, se informa que el contrato de servicios de Gestión de residuos, limpieza viaria y del litoral del municipio Candelaria tendrá una duración de </w:t>
      </w:r>
      <w:r>
        <w:rPr>
          <w:rFonts w:ascii="Arial" w:eastAsia="Arial" w:hAnsi="Arial" w:cs="Arial"/>
          <w:b/>
        </w:rPr>
        <w:t>7 años,</w:t>
      </w:r>
      <w:r>
        <w:rPr>
          <w:rFonts w:ascii="Arial" w:eastAsia="Arial" w:hAnsi="Arial" w:cs="Arial"/>
        </w:rPr>
        <w:t xml:space="preserve"> según lo reflejado en el estudio de la recuperación de la inversió</w:t>
      </w:r>
      <w:r>
        <w:rPr>
          <w:rFonts w:ascii="Arial" w:eastAsia="Arial" w:hAnsi="Arial" w:cs="Arial"/>
        </w:rPr>
        <w:t>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 Para la determinación de la fórmula de revisión de precios del futuro contrato se solicita al órgano de contratación lo siguiente: </w:t>
      </w:r>
    </w:p>
    <w:p w:rsidR="00FF384B" w:rsidRDefault="003E3BA9">
      <w:pPr>
        <w:spacing w:after="0"/>
      </w:pPr>
      <w:r>
        <w:rPr>
          <w:rFonts w:ascii="Arial" w:eastAsia="Arial" w:hAnsi="Arial" w:cs="Arial"/>
        </w:rPr>
        <w:t xml:space="preserve"> </w:t>
      </w:r>
    </w:p>
    <w:p w:rsidR="00FF384B" w:rsidRDefault="003E3BA9">
      <w:pPr>
        <w:tabs>
          <w:tab w:val="center" w:pos="411"/>
          <w:tab w:val="center" w:pos="3777"/>
        </w:tabs>
        <w:spacing w:after="5" w:line="249"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u w:val="single" w:color="000000"/>
        </w:rPr>
        <w:t>Solicitar la estructura de costes de 5 operadores del sector.</w:t>
      </w:r>
      <w:r>
        <w:rPr>
          <w:rFonts w:ascii="Arial" w:eastAsia="Arial" w:hAnsi="Arial" w:cs="Arial"/>
          <w:b/>
        </w:rPr>
        <w:t xml:space="preserve"> </w:t>
      </w:r>
    </w:p>
    <w:p w:rsidR="00FF384B" w:rsidRDefault="003E3BA9">
      <w:pPr>
        <w:spacing w:after="0"/>
        <w:ind w:left="72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89785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3524" name="Group 4935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658" name="Picture 43658"/>
                          <pic:cNvPicPr/>
                        </pic:nvPicPr>
                        <pic:blipFill>
                          <a:blip r:embed="rId62"/>
                          <a:stretch>
                            <a:fillRect/>
                          </a:stretch>
                        </pic:blipFill>
                        <pic:spPr>
                          <a:xfrm rot="-5399999">
                            <a:off x="-1720849" y="1720849"/>
                            <a:ext cx="3797300" cy="355601"/>
                          </a:xfrm>
                          <a:prstGeom prst="rect">
                            <a:avLst/>
                          </a:prstGeom>
                        </pic:spPr>
                      </pic:pic>
                      <wps:wsp>
                        <wps:cNvPr id="43659" name="Rectangle 4365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660" name="Rectangle 4366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3524" style="width:41.2715pt;height:299pt;position:absolute;mso-position-horizontal-relative:page;mso-position-horizontal:absolute;margin-left:653.71pt;mso-position-vertical-relative:page;margin-top:512.92pt;" coordsize="5241,37973">
                <v:shape id="Picture 43658" style="position:absolute;width:37973;height:3556;left:-17208;top:17208;rotation:-89;" filled="f">
                  <v:imagedata r:id="rId63"/>
                </v:shape>
                <v:rect id="Rectangle 4365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66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233 de 353 </w:t>
                        </w:r>
                      </w:p>
                    </w:txbxContent>
                  </v:textbox>
                </v:rect>
                <w10:wrap type="square"/>
              </v:group>
            </w:pict>
          </mc:Fallback>
        </mc:AlternateContent>
      </w:r>
      <w:r>
        <w:rPr>
          <w:rFonts w:ascii="Arial" w:eastAsia="Arial" w:hAnsi="Arial" w:cs="Arial"/>
        </w:rPr>
        <w:t xml:space="preserve"> La fórmula de revisión de precios determinada en base a la e</w:t>
      </w:r>
      <w:r>
        <w:rPr>
          <w:rFonts w:ascii="Arial" w:eastAsia="Arial" w:hAnsi="Arial" w:cs="Arial"/>
        </w:rPr>
        <w:t xml:space="preserve">structura de costes de los 5 operadores del sector, se deberá dar trámite de información pública durante 20 días. </w:t>
      </w:r>
    </w:p>
    <w:p w:rsidR="00FF384B" w:rsidRDefault="003E3BA9">
      <w:pPr>
        <w:spacing w:after="0"/>
      </w:pPr>
      <w:r>
        <w:rPr>
          <w:rFonts w:ascii="Arial" w:eastAsia="Arial" w:hAnsi="Arial" w:cs="Arial"/>
        </w:rPr>
        <w:t xml:space="preserve"> </w:t>
      </w:r>
    </w:p>
    <w:p w:rsidR="00FF384B" w:rsidRDefault="003E3BA9">
      <w:pPr>
        <w:spacing w:after="112" w:line="247" w:lineRule="auto"/>
        <w:ind w:right="244" w:firstLine="432"/>
        <w:jc w:val="both"/>
      </w:pPr>
      <w:r>
        <w:rPr>
          <w:rFonts w:ascii="Arial" w:eastAsia="Arial" w:hAnsi="Arial" w:cs="Arial"/>
        </w:rPr>
        <w:t xml:space="preserve">Es cuanto se tiene que informar al respecto para los efectos que se estimen oportunos. </w:t>
      </w:r>
    </w:p>
    <w:p w:rsidR="00FF384B" w:rsidRDefault="003E3BA9">
      <w:pPr>
        <w:spacing w:after="98"/>
      </w:pPr>
      <w:r>
        <w:rPr>
          <w:rFonts w:ascii="Arial" w:eastAsia="Arial" w:hAnsi="Arial" w:cs="Arial"/>
          <w:b/>
        </w:rPr>
        <w:t xml:space="preserve"> </w:t>
      </w:r>
    </w:p>
    <w:p w:rsidR="00FF384B" w:rsidRDefault="003E3BA9">
      <w:pPr>
        <w:spacing w:after="112" w:line="247" w:lineRule="auto"/>
        <w:ind w:left="10" w:right="244" w:hanging="10"/>
        <w:jc w:val="both"/>
      </w:pPr>
      <w:r>
        <w:rPr>
          <w:rFonts w:ascii="Arial" w:eastAsia="Arial" w:hAnsi="Arial" w:cs="Arial"/>
          <w:b/>
        </w:rPr>
        <w:t xml:space="preserve">TERCERO.- </w:t>
      </w:r>
      <w:r>
        <w:rPr>
          <w:rFonts w:ascii="Arial" w:eastAsia="Arial" w:hAnsi="Arial" w:cs="Arial"/>
        </w:rPr>
        <w:t xml:space="preserve">Consta remisión de oficio a cinco operadores del sector solicitándole su estructura de costes, y más concretamente a las siguientes empresas:  </w:t>
      </w:r>
    </w:p>
    <w:p w:rsidR="00FF384B" w:rsidRDefault="003E3BA9">
      <w:pPr>
        <w:tabs>
          <w:tab w:val="center" w:pos="1295"/>
        </w:tabs>
        <w:spacing w:after="119" w:line="247" w:lineRule="auto"/>
      </w:pPr>
      <w:r>
        <w:rPr>
          <w:rFonts w:ascii="Arial" w:eastAsia="Arial" w:hAnsi="Arial" w:cs="Arial"/>
        </w:rPr>
        <w:t xml:space="preserve"> </w:t>
      </w:r>
      <w:r>
        <w:rPr>
          <w:rFonts w:ascii="Arial" w:eastAsia="Arial" w:hAnsi="Arial" w:cs="Arial"/>
        </w:rPr>
        <w:tab/>
        <w:t xml:space="preserve">ASCAN, SA </w:t>
      </w:r>
    </w:p>
    <w:p w:rsidR="00FF384B" w:rsidRDefault="003E3BA9">
      <w:pPr>
        <w:tabs>
          <w:tab w:val="center" w:pos="3484"/>
        </w:tabs>
        <w:spacing w:after="116" w:line="247" w:lineRule="auto"/>
      </w:pPr>
      <w:r>
        <w:rPr>
          <w:rFonts w:ascii="Arial" w:eastAsia="Arial" w:hAnsi="Arial" w:cs="Arial"/>
        </w:rPr>
        <w:t xml:space="preserve"> </w:t>
      </w:r>
      <w:r>
        <w:rPr>
          <w:rFonts w:ascii="Arial" w:eastAsia="Arial" w:hAnsi="Arial" w:cs="Arial"/>
        </w:rPr>
        <w:tab/>
        <w:t xml:space="preserve">FOMENTO DE CONSTRUCCIONES Y CONTRATAS,SA </w:t>
      </w:r>
    </w:p>
    <w:p w:rsidR="00FF384B" w:rsidRDefault="003E3BA9">
      <w:pPr>
        <w:tabs>
          <w:tab w:val="center" w:pos="1416"/>
        </w:tabs>
        <w:spacing w:after="116" w:line="247" w:lineRule="auto"/>
      </w:pPr>
      <w:r>
        <w:rPr>
          <w:rFonts w:ascii="Arial" w:eastAsia="Arial" w:hAnsi="Arial" w:cs="Arial"/>
        </w:rPr>
        <w:t xml:space="preserve"> </w:t>
      </w:r>
      <w:r>
        <w:rPr>
          <w:rFonts w:ascii="Arial" w:eastAsia="Arial" w:hAnsi="Arial" w:cs="Arial"/>
        </w:rPr>
        <w:tab/>
        <w:t xml:space="preserve">URBASER,SA </w:t>
      </w:r>
    </w:p>
    <w:p w:rsidR="00FF384B" w:rsidRDefault="003E3BA9">
      <w:pPr>
        <w:tabs>
          <w:tab w:val="center" w:pos="2387"/>
        </w:tabs>
        <w:spacing w:after="119" w:line="247" w:lineRule="auto"/>
      </w:pPr>
      <w:r>
        <w:rPr>
          <w:rFonts w:ascii="Arial" w:eastAsia="Arial" w:hAnsi="Arial" w:cs="Arial"/>
        </w:rPr>
        <w:t xml:space="preserve"> </w:t>
      </w:r>
      <w:r>
        <w:rPr>
          <w:rFonts w:ascii="Arial" w:eastAsia="Arial" w:hAnsi="Arial" w:cs="Arial"/>
        </w:rPr>
        <w:tab/>
        <w:t xml:space="preserve">MARTINEZ CANO CANARIAS,SA </w:t>
      </w:r>
    </w:p>
    <w:p w:rsidR="00FF384B" w:rsidRDefault="003E3BA9">
      <w:pPr>
        <w:tabs>
          <w:tab w:val="center" w:pos="3250"/>
        </w:tabs>
        <w:spacing w:after="116" w:line="247" w:lineRule="auto"/>
      </w:pPr>
      <w:r>
        <w:rPr>
          <w:rFonts w:ascii="Arial" w:eastAsia="Arial" w:hAnsi="Arial" w:cs="Arial"/>
        </w:rPr>
        <w:t xml:space="preserve"> </w:t>
      </w:r>
      <w:r>
        <w:rPr>
          <w:rFonts w:ascii="Arial" w:eastAsia="Arial" w:hAnsi="Arial" w:cs="Arial"/>
        </w:rPr>
        <w:tab/>
        <w:t>VALORIZA S</w:t>
      </w:r>
      <w:r>
        <w:rPr>
          <w:rFonts w:ascii="Arial" w:eastAsia="Arial" w:hAnsi="Arial" w:cs="Arial"/>
        </w:rPr>
        <w:t xml:space="preserve">ERVICIOS MEDIO  AMBIENTALES,SA </w:t>
      </w:r>
    </w:p>
    <w:p w:rsidR="00FF384B" w:rsidRDefault="003E3BA9">
      <w:pPr>
        <w:spacing w:after="98"/>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b/>
        </w:rPr>
        <w:t xml:space="preserve">CUARTO.- </w:t>
      </w:r>
      <w:r>
        <w:rPr>
          <w:rFonts w:ascii="Arial" w:eastAsia="Arial" w:hAnsi="Arial" w:cs="Arial"/>
        </w:rPr>
        <w:t>Consta informe firmado por el Ingeniero técnico industrial municipal, Arquitecto técnico municipal y por el Agente de Empleo y Desarrollo Local de fecha 21 de abril de 2021, una vez recibidas las estructuras de co</w:t>
      </w:r>
      <w:r>
        <w:rPr>
          <w:rFonts w:ascii="Arial" w:eastAsia="Arial" w:hAnsi="Arial" w:cs="Arial"/>
        </w:rPr>
        <w:t>stes de las empresas a las que se le solicitó a excepción de la empresa MARTINEZ CANO CANARIAS,SA, que no la presentó, referido a la aprobación de la estructura de costes de la presente licitación, así como establecer la fórmula de revisión de precios, tod</w:t>
      </w:r>
      <w:r>
        <w:rPr>
          <w:rFonts w:ascii="Arial" w:eastAsia="Arial" w:hAnsi="Arial" w:cs="Arial"/>
        </w:rPr>
        <w:t xml:space="preserve">o ello en virtud del Real </w:t>
      </w:r>
    </w:p>
    <w:p w:rsidR="00FF384B" w:rsidRDefault="003E3BA9">
      <w:pPr>
        <w:spacing w:after="111" w:line="247" w:lineRule="auto"/>
        <w:ind w:left="10" w:right="244" w:hanging="10"/>
        <w:jc w:val="both"/>
      </w:pPr>
      <w:r>
        <w:rPr>
          <w:rFonts w:ascii="Arial" w:eastAsia="Arial" w:hAnsi="Arial" w:cs="Arial"/>
        </w:rPr>
        <w:t xml:space="preserve">Decreto 55/2017, de 3 de febrero, por el que se desarrolla la Ley 2/2015, de 30 de marzo de desindexación de la economía española, cuyo texto dice: </w:t>
      </w:r>
    </w:p>
    <w:p w:rsidR="00FF384B" w:rsidRDefault="003E3BA9">
      <w:pPr>
        <w:spacing w:after="98"/>
      </w:pPr>
      <w:r>
        <w:rPr>
          <w:rFonts w:ascii="Arial" w:eastAsia="Arial" w:hAnsi="Arial" w:cs="Arial"/>
        </w:rPr>
        <w:t xml:space="preserve"> </w:t>
      </w:r>
    </w:p>
    <w:p w:rsidR="00FF384B" w:rsidRDefault="003E3BA9">
      <w:pPr>
        <w:pStyle w:val="Ttulo2"/>
        <w:spacing w:after="106"/>
        <w:ind w:left="767" w:right="1009"/>
      </w:pPr>
      <w:r>
        <w:rPr>
          <w:b w:val="0"/>
        </w:rPr>
        <w:t>“</w:t>
      </w:r>
      <w:r>
        <w:t>INFORME</w:t>
      </w:r>
      <w:r>
        <w:rPr>
          <w:b w:val="0"/>
        </w:rPr>
        <w:t xml:space="preserve"> </w:t>
      </w:r>
    </w:p>
    <w:p w:rsidR="00FF384B" w:rsidRDefault="003E3BA9">
      <w:pPr>
        <w:spacing w:after="15" w:line="247" w:lineRule="auto"/>
        <w:ind w:left="3" w:right="318" w:hanging="3"/>
        <w:jc w:val="both"/>
      </w:pPr>
      <w:r>
        <w:rPr>
          <w:rFonts w:ascii="Arial" w:eastAsia="Arial" w:hAnsi="Arial" w:cs="Arial"/>
          <w:b/>
        </w:rPr>
        <w:t>Visto el expediente antedicho, el funcionario, D. Daniel Espejo Cómez, que desempeña el puesto de trabajo de Ingeniero Técnico Industrial, en la oficina técnica de la Concejalía de Planificación y Gestión Urbanística y Ambiental, el personal laboral D. Jai</w:t>
      </w:r>
      <w:r>
        <w:rPr>
          <w:rFonts w:ascii="Arial" w:eastAsia="Arial" w:hAnsi="Arial" w:cs="Arial"/>
          <w:b/>
        </w:rPr>
        <w:t>me Mayor Llinares que desempeña el puesto de trabajo de Técnico de la Agencia de Desarrollo Local y el funcionario D Javier González Gómez que desarrolla el puesto de trabajo de Arquitecto Técnico en la Concejalía de Obras, Servicios, Parques y Jardines, e</w:t>
      </w:r>
      <w:r>
        <w:rPr>
          <w:rFonts w:ascii="Arial" w:eastAsia="Arial" w:hAnsi="Arial" w:cs="Arial"/>
          <w:b/>
        </w:rPr>
        <w:t xml:space="preserve">miten el siguiente informe: </w:t>
      </w:r>
    </w:p>
    <w:p w:rsidR="00FF384B" w:rsidRDefault="003E3BA9">
      <w:pPr>
        <w:spacing w:after="109"/>
      </w:pPr>
      <w:r>
        <w:rPr>
          <w:rFonts w:ascii="Arial" w:eastAsia="Arial" w:hAnsi="Arial" w:cs="Arial"/>
        </w:rPr>
        <w:t xml:space="preserve"> </w:t>
      </w:r>
    </w:p>
    <w:p w:rsidR="00FF384B" w:rsidRDefault="003E3BA9">
      <w:pPr>
        <w:pStyle w:val="Ttulo2"/>
        <w:shd w:val="clear" w:color="auto" w:fill="E0E0E0"/>
        <w:spacing w:after="209" w:line="249" w:lineRule="auto"/>
        <w:ind w:left="197" w:right="443"/>
      </w:pPr>
      <w:r>
        <w:t>OBJETO</w:t>
      </w:r>
      <w:r>
        <w:rPr>
          <w:rFonts w:ascii="Times New Roman" w:eastAsia="Times New Roman" w:hAnsi="Times New Roman" w:cs="Times New Roman"/>
          <w:b w:val="0"/>
          <w:sz w:val="24"/>
        </w:rPr>
        <w:t xml:space="preserve"> </w:t>
      </w:r>
    </w:p>
    <w:p w:rsidR="00FF384B" w:rsidRDefault="003E3BA9">
      <w:pPr>
        <w:spacing w:after="5" w:line="247" w:lineRule="auto"/>
        <w:ind w:left="10" w:right="244" w:hanging="10"/>
        <w:jc w:val="both"/>
      </w:pPr>
      <w:r>
        <w:rPr>
          <w:rFonts w:ascii="Arial" w:eastAsia="Arial" w:hAnsi="Arial" w:cs="Arial"/>
        </w:rPr>
        <w:t>El objeto del presente informe es describir la estructura de costes del servicio de gestión de residuos, limpieza viaria y del litoral del Ayuntamiento de Candelaria, así como definir una fórmula de revisión de precio</w:t>
      </w:r>
      <w:r>
        <w:rPr>
          <w:rFonts w:ascii="Arial" w:eastAsia="Arial" w:hAnsi="Arial" w:cs="Arial"/>
        </w:rPr>
        <w:t xml:space="preserve">s, todo ello en virtud del Real Decreto 55/2017, de 3 de febrero, por el que se desarrolla la Ley 2/2015, de 30 de marzo, de desindexación de la economía española.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pStyle w:val="Ttulo2"/>
        <w:shd w:val="clear" w:color="auto" w:fill="E0E0E0"/>
        <w:spacing w:after="233" w:line="249" w:lineRule="auto"/>
        <w:ind w:left="197" w:right="444"/>
      </w:pPr>
      <w:r>
        <w:t xml:space="preserve">MARCO NORMATIVO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rPr>
        <w:t xml:space="preserve">La </w:t>
      </w:r>
      <w:r>
        <w:rPr>
          <w:rFonts w:ascii="Arial" w:eastAsia="Arial" w:hAnsi="Arial" w:cs="Arial"/>
          <w:b/>
        </w:rPr>
        <w:t xml:space="preserve">Ley 9/2017, de 8 de noviembre, </w:t>
      </w:r>
      <w:r>
        <w:rPr>
          <w:rFonts w:ascii="Arial" w:eastAsia="Arial" w:hAnsi="Arial" w:cs="Arial"/>
        </w:rPr>
        <w:t xml:space="preserve">en su </w:t>
      </w:r>
      <w:r>
        <w:rPr>
          <w:rFonts w:ascii="Arial" w:eastAsia="Arial" w:hAnsi="Arial" w:cs="Arial"/>
          <w:b/>
        </w:rPr>
        <w:t xml:space="preserve">artículo 103 </w:t>
      </w:r>
      <w:r>
        <w:rPr>
          <w:rFonts w:ascii="Arial" w:eastAsia="Arial" w:hAnsi="Arial" w:cs="Arial"/>
        </w:rPr>
        <w:t>establece:</w:t>
      </w:r>
      <w:r>
        <w:rPr>
          <w:rFonts w:ascii="Times New Roman" w:eastAsia="Times New Roman" w:hAnsi="Times New Roman" w:cs="Times New Roman"/>
          <w:sz w:val="24"/>
        </w:rPr>
        <w:t xml:space="preserve"> </w:t>
      </w:r>
    </w:p>
    <w:p w:rsidR="00FF384B" w:rsidRDefault="003E3BA9">
      <w:pPr>
        <w:spacing w:after="0"/>
      </w:pPr>
      <w:r>
        <w:rPr>
          <w:noProof/>
        </w:rPr>
        <mc:AlternateContent>
          <mc:Choice Requires="wpg">
            <w:drawing>
              <wp:anchor distT="0" distB="0" distL="114300" distR="114300" simplePos="0" relativeHeight="25189888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3087" name="Group 49308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764" name="Picture 43764"/>
                          <pic:cNvPicPr/>
                        </pic:nvPicPr>
                        <pic:blipFill>
                          <a:blip r:embed="rId62"/>
                          <a:stretch>
                            <a:fillRect/>
                          </a:stretch>
                        </pic:blipFill>
                        <pic:spPr>
                          <a:xfrm rot="-5399999">
                            <a:off x="-1720849" y="1720849"/>
                            <a:ext cx="3797300" cy="355601"/>
                          </a:xfrm>
                          <a:prstGeom prst="rect">
                            <a:avLst/>
                          </a:prstGeom>
                        </pic:spPr>
                      </pic:pic>
                      <wps:wsp>
                        <wps:cNvPr id="43765" name="Rectangle 4376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766" name="Rectangle 4376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3087" style="width:41.2715pt;height:299pt;position:absolute;mso-position-horizontal-relative:page;mso-position-horizontal:absolute;margin-left:653.71pt;mso-position-vertical-relative:page;margin-top:512.92pt;" coordsize="5241,37973">
                <v:shape id="Picture 43764" style="position:absolute;width:37973;height:3556;left:-17208;top:17208;rotation:-89;" filled="f">
                  <v:imagedata r:id="rId63"/>
                </v:shape>
                <v:rect id="Rectangle 4376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76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234 de 353 </w:t>
                        </w:r>
                      </w:p>
                    </w:txbxContent>
                  </v:textbox>
                </v:rect>
                <w10:wrap type="square"/>
              </v:group>
            </w:pict>
          </mc:Fallback>
        </mc:AlternateContent>
      </w:r>
      <w:r>
        <w:rPr>
          <w:rFonts w:ascii="Arial" w:eastAsia="Arial" w:hAnsi="Arial" w:cs="Arial"/>
        </w:rPr>
        <w:t xml:space="preserve"> </w:t>
      </w:r>
    </w:p>
    <w:p w:rsidR="00FF384B" w:rsidRDefault="003E3BA9">
      <w:pPr>
        <w:spacing w:after="4" w:line="247" w:lineRule="auto"/>
        <w:ind w:left="718" w:right="244" w:hanging="10"/>
        <w:jc w:val="both"/>
      </w:pPr>
      <w:r>
        <w:rPr>
          <w:rFonts w:ascii="Arial" w:eastAsia="Arial" w:hAnsi="Arial" w:cs="Arial"/>
          <w:i/>
        </w:rPr>
        <w:t xml:space="preserve">“Previa justificación en el expediente y de conformidad con lo previsto en el Real Decreto al que se refieren los artículos 4 y 5 de la Ley 2/2015, de 30 de marzo, de desindexación de la economía española, la revisión periódica y predeterminada de precios </w:t>
      </w:r>
      <w:r>
        <w:rPr>
          <w:rFonts w:ascii="Arial" w:eastAsia="Arial" w:hAnsi="Arial" w:cs="Arial"/>
          <w:i/>
        </w:rPr>
        <w:t xml:space="preserve">solo se podrá llevar a cabo en los contratos de obra, en los contratos de suministros de fabricación de armamento y equipamiento de las Administraciones Públicas, en los contratos de suministro de energía y en aquellos otros contratos en los que </w:t>
      </w:r>
      <w:r>
        <w:rPr>
          <w:rFonts w:ascii="Arial" w:eastAsia="Arial" w:hAnsi="Arial" w:cs="Arial"/>
          <w:b/>
          <w:i/>
        </w:rPr>
        <w:t>el período</w:t>
      </w:r>
      <w:r>
        <w:rPr>
          <w:rFonts w:ascii="Arial" w:eastAsia="Arial" w:hAnsi="Arial" w:cs="Arial"/>
          <w:b/>
          <w:i/>
        </w:rPr>
        <w:t xml:space="preserve"> de recuperación de la inversión sea igual o superior a cinco años. Dicho período se calculará conforme a lo dispuesto en el Real Decreto anteriormente citado</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0"/>
        <w:ind w:left="708"/>
      </w:pPr>
      <w:r>
        <w:rPr>
          <w:rFonts w:ascii="Arial" w:eastAsia="Arial" w:hAnsi="Arial" w:cs="Arial"/>
          <w:i/>
        </w:rPr>
        <w:t xml:space="preserve"> </w:t>
      </w:r>
    </w:p>
    <w:p w:rsidR="00FF384B" w:rsidRDefault="003E3BA9">
      <w:pPr>
        <w:spacing w:after="13" w:line="247" w:lineRule="auto"/>
        <w:ind w:left="708" w:right="239"/>
        <w:jc w:val="both"/>
      </w:pPr>
      <w:r>
        <w:rPr>
          <w:rFonts w:ascii="Arial" w:eastAsia="Arial" w:hAnsi="Arial" w:cs="Arial"/>
          <w:b/>
          <w:i/>
        </w:rPr>
        <w:t>No se considerarán revisables en ningún caso los costes asociados a las amortizaciones, los c</w:t>
      </w:r>
      <w:r>
        <w:rPr>
          <w:rFonts w:ascii="Arial" w:eastAsia="Arial" w:hAnsi="Arial" w:cs="Arial"/>
          <w:b/>
          <w:i/>
        </w:rPr>
        <w:t>ostes financieros, los gastos generales o de estructura ni el beneficio industrial</w:t>
      </w:r>
      <w:r>
        <w:rPr>
          <w:rFonts w:ascii="Arial" w:eastAsia="Arial" w:hAnsi="Arial" w:cs="Arial"/>
          <w:i/>
        </w:rPr>
        <w:t xml:space="preserve">. </w:t>
      </w:r>
      <w:r>
        <w:rPr>
          <w:rFonts w:ascii="Arial" w:eastAsia="Arial" w:hAnsi="Arial" w:cs="Arial"/>
          <w:b/>
          <w:i/>
        </w:rPr>
        <w:t xml:space="preserve">Los costes de mano de obra </w:t>
      </w:r>
      <w:r>
        <w:rPr>
          <w:rFonts w:ascii="Arial" w:eastAsia="Arial" w:hAnsi="Arial" w:cs="Arial"/>
          <w:i/>
        </w:rPr>
        <w:t xml:space="preserve">de los contratos distintos de los de obra, suministro de fabricación de armamento y equipamiento de las Administraciones Públicas, </w:t>
      </w:r>
      <w:r>
        <w:rPr>
          <w:rFonts w:ascii="Arial" w:eastAsia="Arial" w:hAnsi="Arial" w:cs="Arial"/>
          <w:b/>
          <w:i/>
        </w:rPr>
        <w:t>se revisarán c</w:t>
      </w:r>
      <w:r>
        <w:rPr>
          <w:rFonts w:ascii="Arial" w:eastAsia="Arial" w:hAnsi="Arial" w:cs="Arial"/>
          <w:b/>
          <w:i/>
        </w:rPr>
        <w:t>uando el período de recuperación de la inversión sea igual o superior a cinco años y la intensidad en el uso del factor trabajo sea considerada significativa</w:t>
      </w:r>
      <w:r>
        <w:rPr>
          <w:rFonts w:ascii="Arial" w:eastAsia="Arial" w:hAnsi="Arial" w:cs="Arial"/>
          <w:i/>
        </w:rPr>
        <w:t>, de acuerdo con los supuestos y límites establecidos en el Real Decreto.”</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El </w:t>
      </w:r>
      <w:r>
        <w:rPr>
          <w:rFonts w:ascii="Arial" w:eastAsia="Arial" w:hAnsi="Arial" w:cs="Arial"/>
          <w:b/>
        </w:rPr>
        <w:t>Real Decreto 55/20</w:t>
      </w:r>
      <w:r>
        <w:rPr>
          <w:rFonts w:ascii="Arial" w:eastAsia="Arial" w:hAnsi="Arial" w:cs="Arial"/>
          <w:b/>
        </w:rPr>
        <w:t>17</w:t>
      </w:r>
      <w:r>
        <w:rPr>
          <w:rFonts w:ascii="Arial" w:eastAsia="Arial" w:hAnsi="Arial" w:cs="Arial"/>
        </w:rPr>
        <w:t xml:space="preserve">, de 3 de febrero que desarrolla la Ley 2/2015, de 30 de marzo, de desindexación de la economía española. Aplica al presente contrato en virtud de los establecido en tu </w:t>
      </w:r>
      <w:r>
        <w:rPr>
          <w:rFonts w:ascii="Arial" w:eastAsia="Arial" w:hAnsi="Arial" w:cs="Arial"/>
          <w:b/>
        </w:rPr>
        <w:t>artículo 9</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4" w:line="247" w:lineRule="auto"/>
        <w:ind w:left="718" w:right="244" w:hanging="10"/>
        <w:jc w:val="both"/>
      </w:pPr>
      <w:r>
        <w:rPr>
          <w:rFonts w:ascii="Arial" w:eastAsia="Arial" w:hAnsi="Arial" w:cs="Arial"/>
          <w:i/>
        </w:rPr>
        <w:t>“Procederá la revisión periódica y predeterminada de dichos precios, t</w:t>
      </w:r>
      <w:r>
        <w:rPr>
          <w:rFonts w:ascii="Arial" w:eastAsia="Arial" w:hAnsi="Arial" w:cs="Arial"/>
          <w:i/>
        </w:rPr>
        <w:t xml:space="preserve">ranscurridos dos años desde la formalización del contrato y ejecutado al menos el 20 por ciento de su importe, cuando concurran acumulativamente las siguientes circunstancias: </w:t>
      </w:r>
    </w:p>
    <w:p w:rsidR="00FF384B" w:rsidRDefault="003E3BA9">
      <w:pPr>
        <w:spacing w:after="0"/>
        <w:ind w:left="708"/>
      </w:pPr>
      <w:r>
        <w:rPr>
          <w:rFonts w:ascii="Arial" w:eastAsia="Arial" w:hAnsi="Arial" w:cs="Arial"/>
          <w:i/>
        </w:rPr>
        <w:t xml:space="preserve"> </w:t>
      </w:r>
    </w:p>
    <w:p w:rsidR="00FF384B" w:rsidRDefault="003E3BA9">
      <w:pPr>
        <w:numPr>
          <w:ilvl w:val="0"/>
          <w:numId w:val="282"/>
        </w:numPr>
        <w:spacing w:after="4" w:line="247" w:lineRule="auto"/>
        <w:ind w:right="244" w:hanging="10"/>
        <w:jc w:val="both"/>
      </w:pPr>
      <w:r>
        <w:rPr>
          <w:rFonts w:ascii="Arial" w:eastAsia="Arial" w:hAnsi="Arial" w:cs="Arial"/>
          <w:i/>
        </w:rPr>
        <w:t>Que el período de recuperación de la inversión del contrato sea igual o super</w:t>
      </w:r>
      <w:r>
        <w:rPr>
          <w:rFonts w:ascii="Arial" w:eastAsia="Arial" w:hAnsi="Arial" w:cs="Arial"/>
          <w:i/>
        </w:rPr>
        <w:t xml:space="preserve">ior a cinco años, justificado conforme al criterio establecido en el artículo 10. </w:t>
      </w:r>
    </w:p>
    <w:p w:rsidR="00FF384B" w:rsidRDefault="003E3BA9">
      <w:pPr>
        <w:numPr>
          <w:ilvl w:val="0"/>
          <w:numId w:val="282"/>
        </w:numPr>
        <w:spacing w:after="4" w:line="247" w:lineRule="auto"/>
        <w:ind w:right="244" w:hanging="10"/>
        <w:jc w:val="both"/>
      </w:pPr>
      <w:r>
        <w:rPr>
          <w:rFonts w:ascii="Arial" w:eastAsia="Arial" w:hAnsi="Arial" w:cs="Arial"/>
          <w:i/>
        </w:rPr>
        <w:t xml:space="preserve">Que así esté previsto en los pliegos, que deberán detallar la fórmula de revisión aplicable.”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El RD 55/2017 establece, para las revisiones de precios, la obligación de ju</w:t>
      </w:r>
      <w:r>
        <w:rPr>
          <w:rFonts w:ascii="Arial" w:eastAsia="Arial" w:hAnsi="Arial" w:cs="Arial"/>
        </w:rPr>
        <w:t>stificar su procedencia en el expediente de contratación y que deberá establecerse en los pliegos la fórmula de revisión de precios aplicable, que se determinará en función de la naturaleza del contrato y de la estructura y evolución de los costes de la ac</w:t>
      </w:r>
      <w:r>
        <w:rPr>
          <w:rFonts w:ascii="Arial" w:eastAsia="Arial" w:hAnsi="Arial" w:cs="Arial"/>
        </w:rPr>
        <w:t xml:space="preserve">tividad que constituye su objeto.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Esta fórmula, que no será modificable, se vinculará únicamente a los costes directos, indispensables y significativos para el cumplimiento del objeto del contrato que no estén sometidos al control del contratista. No se</w:t>
      </w:r>
      <w:r>
        <w:rPr>
          <w:rFonts w:ascii="Arial" w:eastAsia="Arial" w:hAnsi="Arial" w:cs="Arial"/>
        </w:rPr>
        <w:t xml:space="preserve">rán revisables los costes asociados a las amortizaciones, los costes financieros, los gastos generales o de estructura, ni el beneficio industrial.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incremento repercutible de los costes de mano de obra no podrá ser superior al incremento experimentado por la retribución del personal al servicio del sector público, conforme a las Leyes de Presupuestos Generales del Estado.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8999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2688" name="Group 49268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3860" name="Picture 43860"/>
                          <pic:cNvPicPr/>
                        </pic:nvPicPr>
                        <pic:blipFill>
                          <a:blip r:embed="rId62"/>
                          <a:stretch>
                            <a:fillRect/>
                          </a:stretch>
                        </pic:blipFill>
                        <pic:spPr>
                          <a:xfrm rot="-5399999">
                            <a:off x="-1720849" y="1720849"/>
                            <a:ext cx="3797300" cy="355601"/>
                          </a:xfrm>
                          <a:prstGeom prst="rect">
                            <a:avLst/>
                          </a:prstGeom>
                        </pic:spPr>
                      </pic:pic>
                      <wps:wsp>
                        <wps:cNvPr id="43861" name="Rectangle 4386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3862" name="Rectangle 4386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2688" style="width:41.2715pt;height:299pt;position:absolute;mso-position-horizontal-relative:page;mso-position-horizontal:absolute;margin-left:653.71pt;mso-position-vertical-relative:page;margin-top:512.92pt;" coordsize="5241,37973">
                <v:shape id="Picture 43860" style="position:absolute;width:37973;height:3556;left:-17208;top:17208;rotation:-89;" filled="f">
                  <v:imagedata r:id="rId63"/>
                </v:shape>
                <v:rect id="Rectangle 4386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386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235 de 353 </w:t>
                        </w:r>
                      </w:p>
                    </w:txbxContent>
                  </v:textbox>
                </v:rect>
                <w10:wrap type="square"/>
              </v:group>
            </w:pict>
          </mc:Fallback>
        </mc:AlternateContent>
      </w:r>
      <w:r>
        <w:rPr>
          <w:rFonts w:ascii="Arial" w:eastAsia="Arial" w:hAnsi="Arial" w:cs="Arial"/>
        </w:rPr>
        <w:t>El RD 55/2017 establece además, en el caso que nos ocupa, que</w:t>
      </w:r>
      <w:r>
        <w:rPr>
          <w:rFonts w:ascii="Arial" w:eastAsia="Arial" w:hAnsi="Arial" w:cs="Arial"/>
        </w:rPr>
        <w:t xml:space="preserve"> para la aplicación de la fórmula deberán haber transcurrido 2 años desde la formalización del contrato y ejecutado, al menos, un 20 por ciento de su importe y podrán ser tanto al alza como a la baja.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 este modo, conforme establece dicho RD en su artí</w:t>
      </w:r>
      <w:r>
        <w:rPr>
          <w:rFonts w:ascii="Arial" w:eastAsia="Arial" w:hAnsi="Arial" w:cs="Arial"/>
        </w:rPr>
        <w:t xml:space="preserve">culo 9, se ha solicitado su estructura de costes a cinco operadores económicos significativos del sector.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A partir de las estructuras de costes facilitadas por los operadores, se ha elaborado una propuesta de estructura de costes para la actividad en Ca</w:t>
      </w:r>
      <w:r>
        <w:rPr>
          <w:rFonts w:ascii="Arial" w:eastAsia="Arial" w:hAnsi="Arial" w:cs="Arial"/>
        </w:rPr>
        <w:t xml:space="preserve">ndelaria, al objeto de poder someterla al preceptivo trámite de información pública por un plazo de 20 días previo a la aprobación de los pliegos y posteriormente remitirla a la Junta Consultiva de Contratación Administrativa para su informe.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hd w:val="clear" w:color="auto" w:fill="E0E0E0"/>
        <w:spacing w:after="233" w:line="249" w:lineRule="auto"/>
        <w:ind w:left="197" w:right="451" w:hanging="10"/>
        <w:jc w:val="center"/>
      </w:pPr>
      <w:r>
        <w:rPr>
          <w:rFonts w:ascii="Arial" w:eastAsia="Arial" w:hAnsi="Arial" w:cs="Arial"/>
          <w:b/>
        </w:rPr>
        <w:t>DESARROL</w:t>
      </w:r>
      <w:r>
        <w:rPr>
          <w:rFonts w:ascii="Arial" w:eastAsia="Arial" w:hAnsi="Arial" w:cs="Arial"/>
          <w:b/>
        </w:rPr>
        <w:t xml:space="preserve">LO DE LA PROPUESTA DE LA ESTRUCTURA DE COSTES. </w:t>
      </w:r>
    </w:p>
    <w:p w:rsidR="00FF384B" w:rsidRDefault="003E3BA9">
      <w:pPr>
        <w:spacing w:after="5" w:line="247" w:lineRule="auto"/>
        <w:ind w:left="10" w:right="244" w:hanging="10"/>
        <w:jc w:val="both"/>
      </w:pPr>
      <w:r>
        <w:rPr>
          <w:rFonts w:ascii="Arial" w:eastAsia="Arial" w:hAnsi="Arial" w:cs="Arial"/>
        </w:rPr>
        <w:t>El servicio de gestión de residuos, limpieza viaria y del litoral presenta como objetivo llevar a cabo la recogida y transporte de residuos municipales hasta la planta de tratamiento correspondiente y la limp</w:t>
      </w:r>
      <w:r>
        <w:rPr>
          <w:rFonts w:ascii="Arial" w:eastAsia="Arial" w:hAnsi="Arial" w:cs="Arial"/>
        </w:rPr>
        <w:t>ieza viaria del municipio, junto con aquellos otros servicios complementarios a estos principales. Dichos servicios conforman un proceso global integrado en un mismo contrato, con el objetivo de garantizar la vinculación de las diferentes partes del proces</w:t>
      </w:r>
      <w:r>
        <w:rPr>
          <w:rFonts w:ascii="Arial" w:eastAsia="Arial" w:hAnsi="Arial" w:cs="Arial"/>
        </w:rPr>
        <w:t>o de forma sinérgica y complementaria.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Del mismo modo, de conformidad con lo previsto en el artículo 3 del RD 55/2017 relativo</w:t>
      </w:r>
      <w:r>
        <w:rPr>
          <w:rFonts w:ascii="Times New Roman" w:eastAsia="Times New Roman" w:hAnsi="Times New Roman" w:cs="Times New Roman"/>
          <w:sz w:val="24"/>
        </w:rPr>
        <w:t xml:space="preserve"> </w:t>
      </w:r>
      <w:r>
        <w:rPr>
          <w:rFonts w:ascii="Arial" w:eastAsia="Arial" w:hAnsi="Arial" w:cs="Arial"/>
        </w:rPr>
        <w:t xml:space="preserve">al principio de referenciación a costes, todo régimen de revisión </w:t>
      </w:r>
      <w:r>
        <w:rPr>
          <w:rFonts w:ascii="Arial" w:eastAsia="Arial" w:hAnsi="Arial" w:cs="Arial"/>
          <w:b/>
        </w:rPr>
        <w:t>deberá tomar como referencia la estructura de costes de la a</w:t>
      </w:r>
      <w:r>
        <w:rPr>
          <w:rFonts w:ascii="Arial" w:eastAsia="Arial" w:hAnsi="Arial" w:cs="Arial"/>
          <w:b/>
        </w:rPr>
        <w:t>ctividad</w:t>
      </w:r>
      <w:r>
        <w:rPr>
          <w:rFonts w:ascii="Arial" w:eastAsia="Arial" w:hAnsi="Arial" w:cs="Arial"/>
        </w:rPr>
        <w:t>, ponderándose cada componente de costes en función de su peso relativo.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En consecuencia, los elementos y ponderación que forman parte de la estructura de costes, y de la consiguiente fórmula de revisión, han sido determinados en función de los </w:t>
      </w:r>
      <w:r>
        <w:rPr>
          <w:rFonts w:ascii="Arial" w:eastAsia="Arial" w:hAnsi="Arial" w:cs="Arial"/>
        </w:rPr>
        <w:t>requerimientos del Real Decreto 55/2017, de 3 de febrero, por el que se desarrolla la Ley 2/2015, considerando las respuestas de operadores representativos del sector, quienes han facilitado las estructuras de costes referidos al servicio de gestión de res</w:t>
      </w:r>
      <w:r>
        <w:rPr>
          <w:rFonts w:ascii="Arial" w:eastAsia="Arial" w:hAnsi="Arial" w:cs="Arial"/>
        </w:rPr>
        <w:t xml:space="preserve">iduos, limpieza viaria y del litoral.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Se ha solicitado su estructura de costes a los siguientes cinco operadores económicos del sector, todos ellos relevantes y con implantación en la isla de Tenerife. </w:t>
      </w:r>
    </w:p>
    <w:p w:rsidR="00FF384B" w:rsidRDefault="003E3BA9">
      <w:pPr>
        <w:spacing w:after="0"/>
      </w:pPr>
      <w:r>
        <w:rPr>
          <w:rFonts w:ascii="Arial" w:eastAsia="Arial" w:hAnsi="Arial" w:cs="Arial"/>
        </w:rPr>
        <w:t xml:space="preserve"> </w:t>
      </w:r>
    </w:p>
    <w:p w:rsidR="00FF384B" w:rsidRDefault="003E3BA9">
      <w:pPr>
        <w:numPr>
          <w:ilvl w:val="0"/>
          <w:numId w:val="283"/>
        </w:numPr>
        <w:spacing w:after="5" w:line="247" w:lineRule="auto"/>
        <w:ind w:right="244" w:hanging="360"/>
        <w:jc w:val="both"/>
      </w:pPr>
      <w:r>
        <w:rPr>
          <w:rFonts w:ascii="Arial" w:eastAsia="Arial" w:hAnsi="Arial" w:cs="Arial"/>
        </w:rPr>
        <w:t xml:space="preserve">VALORIZA SERVICIOS MEDIOAMBIENTALES. S.A. </w:t>
      </w:r>
    </w:p>
    <w:p w:rsidR="00FF384B" w:rsidRDefault="003E3BA9">
      <w:pPr>
        <w:numPr>
          <w:ilvl w:val="0"/>
          <w:numId w:val="283"/>
        </w:numPr>
        <w:spacing w:after="5" w:line="247" w:lineRule="auto"/>
        <w:ind w:right="244" w:hanging="360"/>
        <w:jc w:val="both"/>
      </w:pPr>
      <w:r>
        <w:rPr>
          <w:rFonts w:ascii="Arial" w:eastAsia="Arial" w:hAnsi="Arial" w:cs="Arial"/>
        </w:rPr>
        <w:t xml:space="preserve">MARTINEZ CANO CANARIAS S.A. </w:t>
      </w:r>
    </w:p>
    <w:p w:rsidR="00FF384B" w:rsidRDefault="003E3BA9">
      <w:pPr>
        <w:numPr>
          <w:ilvl w:val="0"/>
          <w:numId w:val="283"/>
        </w:numPr>
        <w:spacing w:after="5" w:line="247" w:lineRule="auto"/>
        <w:ind w:right="244" w:hanging="360"/>
        <w:jc w:val="both"/>
      </w:pPr>
      <w:r>
        <w:rPr>
          <w:rFonts w:ascii="Arial" w:eastAsia="Arial" w:hAnsi="Arial" w:cs="Arial"/>
        </w:rPr>
        <w:t xml:space="preserve">ASCAN SERVICIOS URBANOS S.L. </w:t>
      </w:r>
    </w:p>
    <w:p w:rsidR="00FF384B" w:rsidRDefault="003E3BA9">
      <w:pPr>
        <w:numPr>
          <w:ilvl w:val="0"/>
          <w:numId w:val="283"/>
        </w:numPr>
        <w:spacing w:after="5" w:line="247" w:lineRule="auto"/>
        <w:ind w:right="244" w:hanging="360"/>
        <w:jc w:val="both"/>
      </w:pPr>
      <w:r>
        <w:rPr>
          <w:rFonts w:ascii="Arial" w:eastAsia="Arial" w:hAnsi="Arial" w:cs="Arial"/>
        </w:rPr>
        <w:t xml:space="preserve">FCC. FOMENTO DE CONSTRUCCIONES Y CONTRATAS S.A. </w:t>
      </w:r>
    </w:p>
    <w:p w:rsidR="00FF384B" w:rsidRDefault="003E3BA9">
      <w:pPr>
        <w:numPr>
          <w:ilvl w:val="0"/>
          <w:numId w:val="283"/>
        </w:numPr>
        <w:spacing w:after="5" w:line="247" w:lineRule="auto"/>
        <w:ind w:right="244" w:hanging="360"/>
        <w:jc w:val="both"/>
      </w:pPr>
      <w:r>
        <w:rPr>
          <w:rFonts w:ascii="Arial" w:eastAsia="Arial" w:hAnsi="Arial" w:cs="Arial"/>
        </w:rPr>
        <w:t xml:space="preserve">URBASER S.A.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Los operadores consultados, VALORIZA SERVICIOS MEDIOAMBIENTALES. S.A., ASCAN SERVICIOS URBANOS S.L., FCC. FOMENTO DE CONSTRUCCIONES </w:t>
      </w:r>
      <w:r>
        <w:rPr>
          <w:rFonts w:ascii="Arial" w:eastAsia="Arial" w:hAnsi="Arial" w:cs="Arial"/>
        </w:rPr>
        <w:t xml:space="preserve">Y CONTRATAS S.A. y URBASER S.A., aportaron sus respectivas estructuras de costes para el </w:t>
      </w:r>
      <w:r>
        <w:rPr>
          <w:rFonts w:ascii="Arial" w:eastAsia="Arial" w:hAnsi="Arial" w:cs="Arial"/>
          <w:u w:val="single" w:color="000000"/>
        </w:rPr>
        <w:t>Servicio de gestión de residuos, limpieza viaria y del litoral</w:t>
      </w:r>
      <w:r>
        <w:rPr>
          <w:rFonts w:ascii="Arial" w:eastAsia="Arial" w:hAnsi="Arial" w:cs="Arial"/>
        </w:rPr>
        <w:t xml:space="preserve"> al Ayuntamiento de Candelaria y a la fecha de la firma de este informe, el operador MARTINEZ CANO CANARI</w:t>
      </w:r>
      <w:r>
        <w:rPr>
          <w:rFonts w:ascii="Arial" w:eastAsia="Arial" w:hAnsi="Arial" w:cs="Arial"/>
        </w:rPr>
        <w:t xml:space="preserve">AS S.A., no ha aportado su estructura de costes.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5" w:line="249" w:lineRule="auto"/>
        <w:ind w:left="10" w:hanging="10"/>
        <w:jc w:val="both"/>
      </w:pPr>
      <w:r>
        <w:rPr>
          <w:rFonts w:ascii="Arial" w:eastAsia="Arial" w:hAnsi="Arial" w:cs="Arial"/>
          <w:b/>
          <w:u w:val="single" w:color="000000"/>
        </w:rPr>
        <w:t>ESTRUCTURA DEL COSTE DEL SERVICIO.</w:t>
      </w:r>
      <w:r>
        <w:rPr>
          <w:rFonts w:ascii="Arial" w:eastAsia="Arial" w:hAnsi="Arial" w:cs="Arial"/>
          <w:b/>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9009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9149" name="Group 5291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4591" name="Picture 44591"/>
                          <pic:cNvPicPr/>
                        </pic:nvPicPr>
                        <pic:blipFill>
                          <a:blip r:embed="rId62"/>
                          <a:stretch>
                            <a:fillRect/>
                          </a:stretch>
                        </pic:blipFill>
                        <pic:spPr>
                          <a:xfrm rot="-5399999">
                            <a:off x="-1720849" y="1720849"/>
                            <a:ext cx="3797300" cy="355601"/>
                          </a:xfrm>
                          <a:prstGeom prst="rect">
                            <a:avLst/>
                          </a:prstGeom>
                        </pic:spPr>
                      </pic:pic>
                      <wps:wsp>
                        <wps:cNvPr id="44592" name="Rectangle 4459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4593" name="Rectangle 4459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9149" style="width:41.2715pt;height:299pt;position:absolute;mso-position-horizontal-relative:page;mso-position-horizontal:absolute;margin-left:653.71pt;mso-position-vertical-relative:page;margin-top:512.92pt;" coordsize="5241,37973">
                <v:shape id="Picture 44591" style="position:absolute;width:37973;height:3556;left:-17208;top:17208;rotation:-89;" filled="f">
                  <v:imagedata r:id="rId63"/>
                </v:shape>
                <v:rect id="Rectangle 445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45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236 de 353 </w:t>
                        </w:r>
                      </w:p>
                    </w:txbxContent>
                  </v:textbox>
                </v:rect>
                <w10:wrap type="square"/>
              </v:group>
            </w:pict>
          </mc:Fallback>
        </mc:AlternateContent>
      </w:r>
      <w:r>
        <w:rPr>
          <w:rFonts w:ascii="Arial" w:eastAsia="Arial" w:hAnsi="Arial" w:cs="Arial"/>
        </w:rPr>
        <w:t>Teniendo en cuenta la respuesta de los cuatro operadores citados anteriormente y el estudio económico propio del Ayuntamiento para la determinación del precio de</w:t>
      </w:r>
      <w:r>
        <w:rPr>
          <w:rFonts w:ascii="Arial" w:eastAsia="Arial" w:hAnsi="Arial" w:cs="Arial"/>
        </w:rPr>
        <w:t xml:space="preserve"> licitación, todas ellas con una distribución por partidas comparable, se ha diseñado una estructura en la cual se incorporan aquellos costes más representativos indispensables de la actividad a partir de datos siempre comparables y desagregados en la mayo</w:t>
      </w:r>
      <w:r>
        <w:rPr>
          <w:rFonts w:ascii="Arial" w:eastAsia="Arial" w:hAnsi="Arial" w:cs="Arial"/>
        </w:rPr>
        <w:t xml:space="preserve">r medida posible, según lo establecido en el Real Decreto 55/2017.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 este modo, la estructura de costes imprescindibles para llevar a cabo la actividad es la siguiente:</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tbl>
      <w:tblPr>
        <w:tblStyle w:val="TableGrid"/>
        <w:tblW w:w="8487" w:type="dxa"/>
        <w:tblInd w:w="10" w:type="dxa"/>
        <w:tblCellMar>
          <w:top w:w="21" w:type="dxa"/>
          <w:left w:w="40" w:type="dxa"/>
          <w:bottom w:w="0" w:type="dxa"/>
          <w:right w:w="35" w:type="dxa"/>
        </w:tblCellMar>
        <w:tblLook w:val="04A0" w:firstRow="1" w:lastRow="0" w:firstColumn="1" w:lastColumn="0" w:noHBand="0" w:noVBand="1"/>
      </w:tblPr>
      <w:tblGrid>
        <w:gridCol w:w="564"/>
        <w:gridCol w:w="5591"/>
        <w:gridCol w:w="2332"/>
      </w:tblGrid>
      <w:tr w:rsidR="00FF384B">
        <w:trPr>
          <w:trHeight w:val="239"/>
        </w:trPr>
        <w:tc>
          <w:tcPr>
            <w:tcW w:w="8487" w:type="dxa"/>
            <w:gridSpan w:val="3"/>
            <w:tcBorders>
              <w:top w:val="single" w:sz="2" w:space="0" w:color="000000"/>
              <w:left w:val="single" w:sz="6" w:space="0" w:color="000000"/>
              <w:bottom w:val="single" w:sz="13" w:space="0" w:color="000000"/>
              <w:right w:val="single" w:sz="9" w:space="0" w:color="000000"/>
            </w:tcBorders>
            <w:shd w:val="clear" w:color="auto" w:fill="990033"/>
          </w:tcPr>
          <w:p w:rsidR="00FF384B" w:rsidRDefault="003E3BA9">
            <w:pPr>
              <w:spacing w:after="0"/>
              <w:ind w:left="3"/>
              <w:jc w:val="center"/>
            </w:pPr>
            <w:r>
              <w:rPr>
                <w:rFonts w:ascii="Arial" w:eastAsia="Arial" w:hAnsi="Arial" w:cs="Arial"/>
                <w:b/>
                <w:color w:val="FFFFFF"/>
                <w:sz w:val="18"/>
              </w:rPr>
              <w:t>Estrucura de costes del servicio gestión de residuos y limpieza viaria y litoral</w:t>
            </w:r>
          </w:p>
        </w:tc>
      </w:tr>
      <w:tr w:rsidR="00FF384B">
        <w:trPr>
          <w:trHeight w:val="250"/>
        </w:trPr>
        <w:tc>
          <w:tcPr>
            <w:tcW w:w="6156" w:type="dxa"/>
            <w:gridSpan w:val="2"/>
            <w:tcBorders>
              <w:top w:val="single" w:sz="13" w:space="0" w:color="000000"/>
              <w:left w:val="single" w:sz="6" w:space="0" w:color="000000"/>
              <w:bottom w:val="single" w:sz="14" w:space="0" w:color="000000"/>
              <w:right w:val="single" w:sz="13" w:space="0" w:color="000000"/>
            </w:tcBorders>
            <w:shd w:val="clear" w:color="auto" w:fill="BFBFBF"/>
          </w:tcPr>
          <w:p w:rsidR="00FF384B" w:rsidRDefault="003E3BA9">
            <w:pPr>
              <w:spacing w:after="0"/>
              <w:ind w:left="8"/>
              <w:jc w:val="center"/>
            </w:pPr>
            <w:r>
              <w:rPr>
                <w:rFonts w:ascii="Arial" w:eastAsia="Arial" w:hAnsi="Arial" w:cs="Arial"/>
                <w:b/>
                <w:sz w:val="18"/>
              </w:rPr>
              <w:t>COMPONENTE</w:t>
            </w:r>
          </w:p>
        </w:tc>
        <w:tc>
          <w:tcPr>
            <w:tcW w:w="2332" w:type="dxa"/>
            <w:tcBorders>
              <w:top w:val="single" w:sz="13" w:space="0" w:color="000000"/>
              <w:left w:val="single" w:sz="13" w:space="0" w:color="000000"/>
              <w:bottom w:val="single" w:sz="14" w:space="0" w:color="000000"/>
              <w:right w:val="single" w:sz="9" w:space="0" w:color="000000"/>
            </w:tcBorders>
            <w:shd w:val="clear" w:color="auto" w:fill="BFBFBF"/>
          </w:tcPr>
          <w:p w:rsidR="00FF384B" w:rsidRDefault="003E3BA9">
            <w:pPr>
              <w:spacing w:after="0"/>
              <w:ind w:left="11"/>
              <w:jc w:val="center"/>
            </w:pPr>
            <w:r>
              <w:rPr>
                <w:rFonts w:ascii="Arial" w:eastAsia="Arial" w:hAnsi="Arial" w:cs="Arial"/>
                <w:b/>
                <w:sz w:val="18"/>
              </w:rPr>
              <w:t>(%) SOBRE TOTAL</w:t>
            </w:r>
          </w:p>
        </w:tc>
      </w:tr>
      <w:tr w:rsidR="00FF384B">
        <w:trPr>
          <w:trHeight w:val="254"/>
        </w:trPr>
        <w:tc>
          <w:tcPr>
            <w:tcW w:w="564" w:type="dxa"/>
            <w:tcBorders>
              <w:top w:val="single" w:sz="14"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1</w:t>
            </w:r>
          </w:p>
        </w:tc>
        <w:tc>
          <w:tcPr>
            <w:tcW w:w="5591" w:type="dxa"/>
            <w:tcBorders>
              <w:top w:val="single" w:sz="14"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Gastos de personal</w:t>
            </w:r>
          </w:p>
        </w:tc>
        <w:tc>
          <w:tcPr>
            <w:tcW w:w="2332" w:type="dxa"/>
            <w:tcBorders>
              <w:top w:val="single" w:sz="14"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72,87%</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Gastos de bienes corrientes y servicios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16,91%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Costes variables maquinaria y equipos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10,88%</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Carburantes y lubricantes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5,70%</w:t>
            </w:r>
          </w:p>
        </w:tc>
      </w:tr>
      <w:tr w:rsidR="00FF384B">
        <w:trPr>
          <w:trHeight w:val="250"/>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2.1.2</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Mantenimiento y reparaciones de maquinaria y equipos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5,19%</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Costes fijos de maquinaria y equipos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3"/>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2.2.1</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Seguros, tasa e impuestos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4"/>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 xml:space="preserve">2.3 </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Otros costes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5,46%</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Suministros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0,95%</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2.3.2</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Mantenimiento instalaciones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1,79%</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2.3.3</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Vestuarios y EPIS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0,61%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2.3.4</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 xml:space="preserve">Equipamiento informático y </w:t>
            </w:r>
            <w:r>
              <w:rPr>
                <w:rFonts w:ascii="Arial" w:eastAsia="Arial" w:hAnsi="Arial" w:cs="Arial"/>
                <w:sz w:val="18"/>
              </w:rPr>
              <w:t>aplicaciones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0,93%</w:t>
            </w:r>
          </w:p>
        </w:tc>
      </w:tr>
      <w:tr w:rsidR="00FF384B">
        <w:trPr>
          <w:trHeight w:val="242"/>
        </w:trPr>
        <w:tc>
          <w:tcPr>
            <w:tcW w:w="564" w:type="dxa"/>
            <w:tcBorders>
              <w:top w:val="single" w:sz="7" w:space="0" w:color="000000"/>
              <w:left w:val="single" w:sz="6" w:space="0" w:color="000000"/>
              <w:bottom w:val="single" w:sz="14" w:space="0" w:color="000000"/>
              <w:right w:val="single" w:sz="6" w:space="0" w:color="000000"/>
            </w:tcBorders>
          </w:tcPr>
          <w:p w:rsidR="00FF384B" w:rsidRDefault="003E3BA9">
            <w:pPr>
              <w:spacing w:after="0"/>
            </w:pPr>
            <w:r>
              <w:rPr>
                <w:rFonts w:ascii="Arial" w:eastAsia="Arial" w:hAnsi="Arial" w:cs="Arial"/>
                <w:sz w:val="18"/>
              </w:rPr>
              <w:t>3</w:t>
            </w:r>
          </w:p>
        </w:tc>
        <w:tc>
          <w:tcPr>
            <w:tcW w:w="5591" w:type="dxa"/>
            <w:tcBorders>
              <w:top w:val="single" w:sz="7" w:space="0" w:color="000000"/>
              <w:left w:val="single" w:sz="6" w:space="0" w:color="000000"/>
              <w:bottom w:val="single" w:sz="14" w:space="0" w:color="000000"/>
              <w:right w:val="single" w:sz="13" w:space="0" w:color="000000"/>
            </w:tcBorders>
          </w:tcPr>
          <w:p w:rsidR="00FF384B" w:rsidRDefault="003E3BA9">
            <w:pPr>
              <w:spacing w:after="0"/>
              <w:ind w:left="2"/>
            </w:pPr>
            <w:r>
              <w:rPr>
                <w:rFonts w:ascii="Arial" w:eastAsia="Arial" w:hAnsi="Arial" w:cs="Arial"/>
                <w:sz w:val="18"/>
              </w:rPr>
              <w:t>Amortizaciones</w:t>
            </w:r>
          </w:p>
        </w:tc>
        <w:tc>
          <w:tcPr>
            <w:tcW w:w="2332" w:type="dxa"/>
            <w:tcBorders>
              <w:top w:val="single" w:sz="7" w:space="0" w:color="000000"/>
              <w:left w:val="single" w:sz="13" w:space="0" w:color="000000"/>
              <w:bottom w:val="single" w:sz="14" w:space="0" w:color="000000"/>
              <w:right w:val="single" w:sz="9" w:space="0" w:color="000000"/>
            </w:tcBorders>
          </w:tcPr>
          <w:p w:rsidR="00FF384B" w:rsidRDefault="003E3BA9">
            <w:pPr>
              <w:spacing w:after="0"/>
              <w:jc w:val="right"/>
            </w:pPr>
            <w:r>
              <w:rPr>
                <w:rFonts w:ascii="Arial" w:eastAsia="Arial" w:hAnsi="Arial" w:cs="Arial"/>
                <w:sz w:val="18"/>
              </w:rPr>
              <w:t>10,22%</w:t>
            </w:r>
          </w:p>
        </w:tc>
      </w:tr>
      <w:tr w:rsidR="00FF384B">
        <w:trPr>
          <w:trHeight w:val="254"/>
        </w:trPr>
        <w:tc>
          <w:tcPr>
            <w:tcW w:w="6156" w:type="dxa"/>
            <w:gridSpan w:val="2"/>
            <w:tcBorders>
              <w:top w:val="single" w:sz="14" w:space="0" w:color="000000"/>
              <w:left w:val="single" w:sz="6" w:space="0" w:color="000000"/>
              <w:bottom w:val="single" w:sz="13" w:space="0" w:color="000000"/>
              <w:right w:val="single" w:sz="13" w:space="0" w:color="000000"/>
            </w:tcBorders>
            <w:shd w:val="clear" w:color="auto" w:fill="BFBFBF"/>
          </w:tcPr>
          <w:p w:rsidR="00FF384B" w:rsidRDefault="003E3BA9">
            <w:pPr>
              <w:spacing w:after="0"/>
            </w:pPr>
            <w:r>
              <w:rPr>
                <w:rFonts w:ascii="Arial" w:eastAsia="Arial" w:hAnsi="Arial" w:cs="Arial"/>
                <w:b/>
                <w:sz w:val="18"/>
              </w:rPr>
              <w:t>TOTAL DE COSTE DIRECTO</w:t>
            </w:r>
          </w:p>
        </w:tc>
        <w:tc>
          <w:tcPr>
            <w:tcW w:w="2332" w:type="dxa"/>
            <w:tcBorders>
              <w:top w:val="single" w:sz="14" w:space="0" w:color="000000"/>
              <w:left w:val="single" w:sz="13" w:space="0" w:color="000000"/>
              <w:bottom w:val="single" w:sz="13" w:space="0" w:color="000000"/>
              <w:right w:val="single" w:sz="9" w:space="0" w:color="000000"/>
            </w:tcBorders>
            <w:shd w:val="clear" w:color="auto" w:fill="BFBFBF"/>
          </w:tcPr>
          <w:p w:rsidR="00FF384B" w:rsidRDefault="003E3BA9">
            <w:pPr>
              <w:spacing w:after="0"/>
              <w:jc w:val="right"/>
            </w:pPr>
            <w:r>
              <w:rPr>
                <w:rFonts w:ascii="Arial" w:eastAsia="Arial" w:hAnsi="Arial" w:cs="Arial"/>
                <w:b/>
                <w:sz w:val="18"/>
              </w:rPr>
              <w:t>100,00%</w:t>
            </w:r>
          </w:p>
        </w:tc>
      </w:tr>
    </w:tbl>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Destaca el porcentaje mayoritario que corresponde a la partida de costes de personal, incluidos todos los conceptos para la empresa en función de los establecidos en el convenio colectivo.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Se confirma que estamos en un sector intensivo en mano de obra, </w:t>
      </w:r>
      <w:r>
        <w:rPr>
          <w:rFonts w:ascii="Arial" w:eastAsia="Arial" w:hAnsi="Arial" w:cs="Arial"/>
        </w:rPr>
        <w:t xml:space="preserve">con un peso relativo sobre el total de costes del servicio superior al 72%.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Dentro de los gastos en bienes corrientes y servicios, realizada la desagregación de esta tipología de gasto, observamos que los costes relativos al funcionamiento de la maquina</w:t>
      </w:r>
      <w:r>
        <w:rPr>
          <w:rFonts w:ascii="Arial" w:eastAsia="Arial" w:hAnsi="Arial" w:cs="Arial"/>
        </w:rPr>
        <w:t xml:space="preserve">ria y equipos se sitúan en segundo lugar de importancia, dado el cada vez mayor uso de maquinaria en este tipo de servicios con el objetivo de mejorar la eficiencia y eficacia de la prestación.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Destaca además, el importante esfuerzo inversor en medios t</w:t>
      </w:r>
      <w:r>
        <w:rPr>
          <w:rFonts w:ascii="Arial" w:eastAsia="Arial" w:hAnsi="Arial" w:cs="Arial"/>
        </w:rPr>
        <w:t>écnicos que se va a llevar a cabo en este contrato, lo cual se traduce en una partida de amortizaciones (sin intereses) de la inversión total en cuanto a vehículos, maquinaria, y utillaje etc. que constituye el tercer capítulo más importante de esta estruc</w:t>
      </w:r>
      <w:r>
        <w:rPr>
          <w:rFonts w:ascii="Arial" w:eastAsia="Arial" w:hAnsi="Arial" w:cs="Arial"/>
        </w:rPr>
        <w:t xml:space="preserve">tura de costes.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Finalmente el apartado de otros costes, que agrupa Seguros, tasas e impuestos, Suministros, Mantenimiento de instalaciones, Vestuario de personal y Aplicaciones informáticas es ampliamente minoritario.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Los componentes de esta estructu</w:t>
      </w:r>
      <w:r>
        <w:rPr>
          <w:rFonts w:ascii="Arial" w:eastAsia="Arial" w:hAnsi="Arial" w:cs="Arial"/>
        </w:rPr>
        <w:t>ra evolucionan con el tiempo, de modo que sus costes deberán variar en consecuencia, y es fundamental disponer de un determinado grado de certidumbre respecto a que la evolución de los costes relevantes de las actuaciones necesarias para desarrollar el ser</w:t>
      </w:r>
      <w:r>
        <w:rPr>
          <w:rFonts w:ascii="Arial" w:eastAsia="Arial" w:hAnsi="Arial" w:cs="Arial"/>
        </w:rPr>
        <w:t xml:space="preserve">vicio va a ser tenido en cuenta. </w:t>
      </w:r>
    </w:p>
    <w:p w:rsidR="00FF384B" w:rsidRDefault="003E3BA9">
      <w:pPr>
        <w:spacing w:after="0"/>
      </w:pPr>
      <w:r>
        <w:rPr>
          <w:noProof/>
        </w:rPr>
        <mc:AlternateContent>
          <mc:Choice Requires="wpg">
            <w:drawing>
              <wp:anchor distT="0" distB="0" distL="114300" distR="114300" simplePos="0" relativeHeight="2519019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9662" name="Group 48966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4693" name="Picture 44693"/>
                          <pic:cNvPicPr/>
                        </pic:nvPicPr>
                        <pic:blipFill>
                          <a:blip r:embed="rId62"/>
                          <a:stretch>
                            <a:fillRect/>
                          </a:stretch>
                        </pic:blipFill>
                        <pic:spPr>
                          <a:xfrm rot="-5399999">
                            <a:off x="-1720849" y="1720849"/>
                            <a:ext cx="3797300" cy="355601"/>
                          </a:xfrm>
                          <a:prstGeom prst="rect">
                            <a:avLst/>
                          </a:prstGeom>
                        </pic:spPr>
                      </pic:pic>
                      <wps:wsp>
                        <wps:cNvPr id="44694" name="Rectangle 4469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4695" name="Rectangle 4469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9662" style="width:41.2715pt;height:299pt;position:absolute;mso-position-horizontal-relative:page;mso-position-horizontal:absolute;margin-left:653.71pt;mso-position-vertical-relative:page;margin-top:512.92pt;" coordsize="5241,37973">
                <v:shape id="Picture 44693" style="position:absolute;width:37973;height:3556;left:-17208;top:17208;rotation:-89;" filled="f">
                  <v:imagedata r:id="rId63"/>
                </v:shape>
                <v:rect id="Rectangle 4469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469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237 de 353 </w:t>
                        </w:r>
                      </w:p>
                    </w:txbxContent>
                  </v:textbox>
                </v:rect>
                <w10:wrap type="square"/>
              </v:group>
            </w:pict>
          </mc:Fallback>
        </mc:AlternateContent>
      </w: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Sin embargo, algunas de las partidas se encuentran bajo la influencia de desviaciones derivadas de circunstancias ajenas a la voluntad del contratista, o de su capacidad de gestión, además de a la propia evolución del mercado.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Todo ello lleva consigo un</w:t>
      </w:r>
      <w:r>
        <w:rPr>
          <w:rFonts w:ascii="Arial" w:eastAsia="Arial" w:hAnsi="Arial" w:cs="Arial"/>
        </w:rPr>
        <w:t>a variación recurrente e impredecible en el tiempo de algunas componentes de coste, que en ocasiones se encuentra supeditada a la coyuntura</w:t>
      </w:r>
      <w:r>
        <w:rPr>
          <w:rFonts w:ascii="Times New Roman" w:eastAsia="Times New Roman" w:hAnsi="Times New Roman" w:cs="Times New Roman"/>
          <w:sz w:val="24"/>
        </w:rPr>
        <w:t xml:space="preserve"> </w:t>
      </w:r>
      <w:r>
        <w:rPr>
          <w:rFonts w:ascii="Arial" w:eastAsia="Arial" w:hAnsi="Arial" w:cs="Arial"/>
        </w:rPr>
        <w:t>económica del momento.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9" w:lineRule="auto"/>
        <w:ind w:left="10" w:hanging="10"/>
        <w:jc w:val="both"/>
      </w:pPr>
      <w:r>
        <w:rPr>
          <w:rFonts w:ascii="Arial" w:eastAsia="Arial" w:hAnsi="Arial" w:cs="Arial"/>
          <w:b/>
          <w:u w:val="single" w:color="000000"/>
        </w:rPr>
        <w:t>COSTES PARA LA DETERMINACIÓN DE LA ESTRUCTURA DE LA FORMULA DE</w:t>
      </w:r>
      <w:r>
        <w:rPr>
          <w:rFonts w:ascii="Arial" w:eastAsia="Arial" w:hAnsi="Arial" w:cs="Arial"/>
          <w:b/>
        </w:rPr>
        <w:t xml:space="preserve"> </w:t>
      </w:r>
      <w:r>
        <w:rPr>
          <w:rFonts w:ascii="Arial" w:eastAsia="Arial" w:hAnsi="Arial" w:cs="Arial"/>
          <w:b/>
          <w:u w:val="single" w:color="000000"/>
        </w:rPr>
        <w:t>REVISIÓN.</w:t>
      </w:r>
      <w:r>
        <w:rPr>
          <w:rFonts w:ascii="Arial" w:eastAsia="Arial" w:hAnsi="Arial" w:cs="Arial"/>
          <w:b/>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Según lo dispu</w:t>
      </w:r>
      <w:r>
        <w:rPr>
          <w:rFonts w:ascii="Arial" w:eastAsia="Arial" w:hAnsi="Arial" w:cs="Arial"/>
        </w:rPr>
        <w:t xml:space="preserve">esto en el Real Decreto 55/2017, de 3 de febrero, la revisión se ha de realizar únicamente teniendo en cuenta los costes directos, indispensables y significativos para el cumplimiento del objeto del contrato.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Una vez efectuada la máxima desagregación po</w:t>
      </w:r>
      <w:r>
        <w:rPr>
          <w:rFonts w:ascii="Arial" w:eastAsia="Arial" w:hAnsi="Arial" w:cs="Arial"/>
        </w:rPr>
        <w:t xml:space="preserve">sible y razonable, deben resultar compatibles con las normas establecidas en este Real Decreto, de manera que: </w:t>
      </w:r>
    </w:p>
    <w:p w:rsidR="00FF384B" w:rsidRDefault="003E3BA9">
      <w:pPr>
        <w:spacing w:after="0"/>
      </w:pPr>
      <w:r>
        <w:rPr>
          <w:rFonts w:ascii="Arial" w:eastAsia="Arial" w:hAnsi="Arial" w:cs="Arial"/>
        </w:rPr>
        <w:t xml:space="preserve"> </w:t>
      </w:r>
    </w:p>
    <w:p w:rsidR="00FF384B" w:rsidRDefault="003E3BA9">
      <w:pPr>
        <w:numPr>
          <w:ilvl w:val="0"/>
          <w:numId w:val="284"/>
        </w:numPr>
        <w:spacing w:after="5" w:line="247" w:lineRule="auto"/>
        <w:ind w:right="244" w:hanging="360"/>
        <w:jc w:val="both"/>
      </w:pPr>
      <w:r>
        <w:rPr>
          <w:rFonts w:ascii="Arial" w:eastAsia="Arial" w:hAnsi="Arial" w:cs="Arial"/>
        </w:rPr>
        <w:t>Sólo podrán ser revisados los componentes que supongan, al menos, el 1 por 100 de valor íntegro de la actividad y no estar sometidos al contro</w:t>
      </w:r>
      <w:r>
        <w:rPr>
          <w:rFonts w:ascii="Arial" w:eastAsia="Arial" w:hAnsi="Arial" w:cs="Arial"/>
        </w:rPr>
        <w:t xml:space="preserve">l del contratista. </w:t>
      </w:r>
    </w:p>
    <w:p w:rsidR="00FF384B" w:rsidRDefault="003E3BA9">
      <w:pPr>
        <w:numPr>
          <w:ilvl w:val="0"/>
          <w:numId w:val="284"/>
        </w:numPr>
        <w:spacing w:after="5" w:line="247" w:lineRule="auto"/>
        <w:ind w:right="244" w:hanging="360"/>
        <w:jc w:val="both"/>
      </w:pPr>
      <w:r>
        <w:rPr>
          <w:rFonts w:ascii="Arial" w:eastAsia="Arial" w:hAnsi="Arial" w:cs="Arial"/>
        </w:rPr>
        <w:t xml:space="preserve">No son revisables los costes asociados a las amortizaciones, los costes financieros, los gastos generales o de estructura, ni el beneficio industrial. </w:t>
      </w:r>
    </w:p>
    <w:p w:rsidR="00FF384B" w:rsidRDefault="003E3BA9">
      <w:pPr>
        <w:numPr>
          <w:ilvl w:val="0"/>
          <w:numId w:val="284"/>
        </w:numPr>
        <w:spacing w:after="5" w:line="247" w:lineRule="auto"/>
        <w:ind w:right="244" w:hanging="360"/>
        <w:jc w:val="both"/>
      </w:pPr>
      <w:r>
        <w:rPr>
          <w:rFonts w:ascii="Arial" w:eastAsia="Arial" w:hAnsi="Arial" w:cs="Arial"/>
        </w:rPr>
        <w:t>Cada componente de coste a incorporar en la fórmula tendrá un precio individual o ín</w:t>
      </w:r>
      <w:r>
        <w:rPr>
          <w:rFonts w:ascii="Arial" w:eastAsia="Arial" w:hAnsi="Arial" w:cs="Arial"/>
        </w:rPr>
        <w:t xml:space="preserve">dice específico que permita reflejar su evolución.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De este modo se proponen, por su carácter indispensable para la realización del servicio y por poder sufrir desviaciones significativas, los siguientes: </w:t>
      </w:r>
    </w:p>
    <w:p w:rsidR="00FF384B" w:rsidRDefault="003E3BA9">
      <w:pPr>
        <w:spacing w:after="0"/>
      </w:pPr>
      <w:r>
        <w:rPr>
          <w:rFonts w:ascii="Times New Roman" w:eastAsia="Times New Roman" w:hAnsi="Times New Roman" w:cs="Times New Roman"/>
          <w:sz w:val="24"/>
        </w:rPr>
        <w:t xml:space="preserve"> </w:t>
      </w:r>
    </w:p>
    <w:tbl>
      <w:tblPr>
        <w:tblStyle w:val="TableGrid"/>
        <w:tblW w:w="5869" w:type="dxa"/>
        <w:tblInd w:w="1314" w:type="dxa"/>
        <w:tblCellMar>
          <w:top w:w="24" w:type="dxa"/>
          <w:left w:w="32" w:type="dxa"/>
          <w:bottom w:w="0" w:type="dxa"/>
          <w:right w:w="69" w:type="dxa"/>
        </w:tblCellMar>
        <w:tblLook w:val="04A0" w:firstRow="1" w:lastRow="0" w:firstColumn="1" w:lastColumn="0" w:noHBand="0" w:noVBand="1"/>
      </w:tblPr>
      <w:tblGrid>
        <w:gridCol w:w="542"/>
        <w:gridCol w:w="5326"/>
      </w:tblGrid>
      <w:tr w:rsidR="00FF384B">
        <w:trPr>
          <w:trHeight w:val="279"/>
        </w:trPr>
        <w:tc>
          <w:tcPr>
            <w:tcW w:w="5869" w:type="dxa"/>
            <w:gridSpan w:val="2"/>
            <w:tcBorders>
              <w:top w:val="single" w:sz="5" w:space="0" w:color="000000"/>
              <w:left w:val="single" w:sz="5" w:space="0" w:color="000000"/>
              <w:bottom w:val="single" w:sz="11" w:space="0" w:color="000000"/>
              <w:right w:val="single" w:sz="11" w:space="0" w:color="000000"/>
            </w:tcBorders>
            <w:shd w:val="clear" w:color="auto" w:fill="990033"/>
          </w:tcPr>
          <w:p w:rsidR="00FF384B" w:rsidRDefault="003E3BA9">
            <w:pPr>
              <w:spacing w:after="0"/>
              <w:ind w:left="25"/>
              <w:jc w:val="center"/>
            </w:pPr>
            <w:r>
              <w:rPr>
                <w:rFonts w:ascii="Arial" w:eastAsia="Arial" w:hAnsi="Arial" w:cs="Arial"/>
                <w:b/>
                <w:color w:val="FFFFFF"/>
                <w:sz w:val="20"/>
              </w:rPr>
              <w:t>COMPONENTE</w:t>
            </w:r>
          </w:p>
        </w:tc>
      </w:tr>
      <w:tr w:rsidR="00FF384B">
        <w:trPr>
          <w:trHeight w:val="262"/>
        </w:trPr>
        <w:tc>
          <w:tcPr>
            <w:tcW w:w="542" w:type="dxa"/>
            <w:tcBorders>
              <w:top w:val="single" w:sz="11" w:space="0" w:color="000000"/>
              <w:left w:val="single" w:sz="5" w:space="0" w:color="000000"/>
              <w:bottom w:val="single" w:sz="6" w:space="0" w:color="000000"/>
              <w:right w:val="single" w:sz="5" w:space="0" w:color="000000"/>
            </w:tcBorders>
            <w:shd w:val="clear" w:color="auto" w:fill="BFBFBF"/>
          </w:tcPr>
          <w:p w:rsidR="00FF384B" w:rsidRDefault="003E3BA9">
            <w:pPr>
              <w:spacing w:after="0"/>
            </w:pPr>
            <w:r>
              <w:rPr>
                <w:rFonts w:ascii="Arial" w:eastAsia="Arial" w:hAnsi="Arial" w:cs="Arial"/>
                <w:sz w:val="20"/>
              </w:rPr>
              <w:t>1</w:t>
            </w:r>
          </w:p>
        </w:tc>
        <w:tc>
          <w:tcPr>
            <w:tcW w:w="5326" w:type="dxa"/>
            <w:tcBorders>
              <w:top w:val="single" w:sz="11" w:space="0" w:color="000000"/>
              <w:left w:val="single" w:sz="5" w:space="0" w:color="000000"/>
              <w:bottom w:val="single" w:sz="6"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Gastos de personal</w:t>
            </w:r>
          </w:p>
        </w:tc>
      </w:tr>
      <w:tr w:rsidR="00FF384B">
        <w:trPr>
          <w:trHeight w:val="255"/>
        </w:trPr>
        <w:tc>
          <w:tcPr>
            <w:tcW w:w="542" w:type="dxa"/>
            <w:tcBorders>
              <w:top w:val="single" w:sz="6" w:space="0" w:color="000000"/>
              <w:left w:val="single" w:sz="5" w:space="0" w:color="000000"/>
              <w:bottom w:val="single" w:sz="6" w:space="0" w:color="000000"/>
              <w:right w:val="single" w:sz="5" w:space="0" w:color="000000"/>
            </w:tcBorders>
          </w:tcPr>
          <w:p w:rsidR="00FF384B" w:rsidRDefault="003E3BA9">
            <w:pPr>
              <w:spacing w:after="0"/>
            </w:pPr>
            <w:r>
              <w:rPr>
                <w:rFonts w:ascii="Arial" w:eastAsia="Arial" w:hAnsi="Arial" w:cs="Arial"/>
                <w:sz w:val="20"/>
              </w:rPr>
              <w:t>2</w:t>
            </w:r>
          </w:p>
        </w:tc>
        <w:tc>
          <w:tcPr>
            <w:tcW w:w="5326" w:type="dxa"/>
            <w:tcBorders>
              <w:top w:val="single" w:sz="6" w:space="0" w:color="000000"/>
              <w:left w:val="single" w:sz="5" w:space="0" w:color="000000"/>
              <w:bottom w:val="single" w:sz="6" w:space="0" w:color="000000"/>
              <w:right w:val="single" w:sz="11" w:space="0" w:color="000000"/>
            </w:tcBorders>
          </w:tcPr>
          <w:p w:rsidR="00FF384B" w:rsidRDefault="003E3BA9">
            <w:pPr>
              <w:spacing w:after="0"/>
              <w:ind w:left="2"/>
            </w:pPr>
            <w:r>
              <w:rPr>
                <w:rFonts w:ascii="Arial" w:eastAsia="Arial" w:hAnsi="Arial" w:cs="Arial"/>
                <w:sz w:val="20"/>
              </w:rPr>
              <w:t>Gastos de bienes corrientes y servicios</w:t>
            </w:r>
          </w:p>
        </w:tc>
      </w:tr>
      <w:tr w:rsidR="00FF384B">
        <w:trPr>
          <w:trHeight w:val="255"/>
        </w:trPr>
        <w:tc>
          <w:tcPr>
            <w:tcW w:w="542" w:type="dxa"/>
            <w:tcBorders>
              <w:top w:val="single" w:sz="6" w:space="0" w:color="000000"/>
              <w:left w:val="single" w:sz="5" w:space="0" w:color="000000"/>
              <w:bottom w:val="single" w:sz="5" w:space="0" w:color="000000"/>
              <w:right w:val="single" w:sz="5" w:space="0" w:color="000000"/>
            </w:tcBorders>
          </w:tcPr>
          <w:p w:rsidR="00FF384B" w:rsidRDefault="003E3BA9">
            <w:pPr>
              <w:spacing w:after="0"/>
            </w:pPr>
            <w:r>
              <w:rPr>
                <w:rFonts w:ascii="Arial" w:eastAsia="Arial" w:hAnsi="Arial" w:cs="Arial"/>
                <w:sz w:val="20"/>
              </w:rPr>
              <w:t>2.1</w:t>
            </w:r>
          </w:p>
        </w:tc>
        <w:tc>
          <w:tcPr>
            <w:tcW w:w="5326" w:type="dxa"/>
            <w:tcBorders>
              <w:top w:val="single" w:sz="6" w:space="0" w:color="000000"/>
              <w:left w:val="single" w:sz="5" w:space="0" w:color="000000"/>
              <w:bottom w:val="single" w:sz="5" w:space="0" w:color="000000"/>
              <w:right w:val="single" w:sz="11" w:space="0" w:color="000000"/>
            </w:tcBorders>
          </w:tcPr>
          <w:p w:rsidR="00FF384B" w:rsidRDefault="003E3BA9">
            <w:pPr>
              <w:spacing w:after="0"/>
              <w:ind w:left="2"/>
            </w:pPr>
            <w:r>
              <w:rPr>
                <w:rFonts w:ascii="Arial" w:eastAsia="Arial" w:hAnsi="Arial" w:cs="Arial"/>
                <w:sz w:val="20"/>
              </w:rPr>
              <w:t>Costes variables maquinaria y equipos</w:t>
            </w:r>
          </w:p>
        </w:tc>
      </w:tr>
      <w:tr w:rsidR="00FF384B">
        <w:trPr>
          <w:trHeight w:val="259"/>
        </w:trPr>
        <w:tc>
          <w:tcPr>
            <w:tcW w:w="542" w:type="dxa"/>
            <w:tcBorders>
              <w:top w:val="single" w:sz="5" w:space="0" w:color="000000"/>
              <w:left w:val="single" w:sz="5" w:space="0" w:color="000000"/>
              <w:bottom w:val="single" w:sz="5"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2.1.1</w:t>
            </w:r>
          </w:p>
        </w:tc>
        <w:tc>
          <w:tcPr>
            <w:tcW w:w="5326" w:type="dxa"/>
            <w:tcBorders>
              <w:top w:val="single" w:sz="5" w:space="0" w:color="000000"/>
              <w:left w:val="single" w:sz="5" w:space="0" w:color="000000"/>
              <w:bottom w:val="single" w:sz="5"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Carburantes y lubricantes</w:t>
            </w:r>
          </w:p>
        </w:tc>
      </w:tr>
      <w:tr w:rsidR="00FF384B">
        <w:trPr>
          <w:trHeight w:val="267"/>
        </w:trPr>
        <w:tc>
          <w:tcPr>
            <w:tcW w:w="542" w:type="dxa"/>
            <w:tcBorders>
              <w:top w:val="single" w:sz="5" w:space="0" w:color="000000"/>
              <w:left w:val="single" w:sz="5" w:space="0" w:color="000000"/>
              <w:bottom w:val="single" w:sz="11"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2.1.2</w:t>
            </w:r>
          </w:p>
        </w:tc>
        <w:tc>
          <w:tcPr>
            <w:tcW w:w="5326" w:type="dxa"/>
            <w:tcBorders>
              <w:top w:val="single" w:sz="5" w:space="0" w:color="000000"/>
              <w:left w:val="single" w:sz="5" w:space="0" w:color="000000"/>
              <w:bottom w:val="single" w:sz="11"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Mantenimiento y reparaciones de maquinaria y equipos</w:t>
            </w:r>
          </w:p>
        </w:tc>
      </w:tr>
    </w:tbl>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Por tanto, los costes de amortización y financiación de la inversión no son revisables. Tampoco son revisables aquellos costes que componen la partida de otros costes directos, pues incorporan gastos generales o de estructura.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Por tanto, los costes a in</w:t>
      </w:r>
      <w:r>
        <w:rPr>
          <w:rFonts w:ascii="Arial" w:eastAsia="Arial" w:hAnsi="Arial" w:cs="Arial"/>
        </w:rPr>
        <w:t xml:space="preserve">corporar en la fórmula de revisión de precios cumplen con lo definido en el artículo 3 del Real Decreto 55/2017, que observa el principio de referenciación a costes, según el cual la revisión del precio que remunera una actividad reflejará la evolución de </w:t>
      </w:r>
      <w:r>
        <w:rPr>
          <w:rFonts w:ascii="Arial" w:eastAsia="Arial" w:hAnsi="Arial" w:cs="Arial"/>
        </w:rPr>
        <w:t xml:space="preserve">los costes incurridos para realizar dicha actividad.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A la vez, cumple con las dos reglas que se establecen para admitir la inclusión de costes en los regímenes de revisión: </w:t>
      </w:r>
    </w:p>
    <w:p w:rsidR="00FF384B" w:rsidRDefault="003E3BA9">
      <w:pPr>
        <w:spacing w:after="0"/>
      </w:pPr>
      <w:r>
        <w:rPr>
          <w:rFonts w:ascii="Arial" w:eastAsia="Arial" w:hAnsi="Arial" w:cs="Arial"/>
        </w:rPr>
        <w:t xml:space="preserve"> </w:t>
      </w:r>
    </w:p>
    <w:p w:rsidR="00FF384B" w:rsidRDefault="003E3BA9">
      <w:pPr>
        <w:numPr>
          <w:ilvl w:val="0"/>
          <w:numId w:val="285"/>
        </w:numPr>
        <w:spacing w:after="5" w:line="247" w:lineRule="auto"/>
        <w:ind w:right="244" w:hanging="360"/>
        <w:jc w:val="both"/>
      </w:pPr>
      <w:r>
        <w:rPr>
          <w:rFonts w:ascii="Arial" w:eastAsia="Arial" w:hAnsi="Arial" w:cs="Arial"/>
        </w:rPr>
        <w:t>En primer lugar, la regla de la relación directa. Sólo se han tenido en cuent</w:t>
      </w:r>
      <w:r>
        <w:rPr>
          <w:rFonts w:ascii="Arial" w:eastAsia="Arial" w:hAnsi="Arial" w:cs="Arial"/>
        </w:rPr>
        <w:t xml:space="preserve">a los costes directamente asociados a la actividad. </w:t>
      </w:r>
    </w:p>
    <w:p w:rsidR="00FF384B" w:rsidRDefault="003E3BA9">
      <w:pPr>
        <w:spacing w:after="0"/>
        <w:ind w:left="720"/>
      </w:pPr>
      <w:r>
        <w:rPr>
          <w:rFonts w:ascii="Arial" w:eastAsia="Arial" w:hAnsi="Arial" w:cs="Arial"/>
        </w:rPr>
        <w:t xml:space="preserve"> </w:t>
      </w:r>
    </w:p>
    <w:p w:rsidR="00FF384B" w:rsidRDefault="003E3BA9">
      <w:pPr>
        <w:numPr>
          <w:ilvl w:val="0"/>
          <w:numId w:val="285"/>
        </w:numPr>
        <w:spacing w:after="5" w:line="247" w:lineRule="auto"/>
        <w:ind w:right="244" w:hanging="360"/>
        <w:jc w:val="both"/>
      </w:pPr>
      <w:r>
        <w:rPr>
          <w:noProof/>
        </w:rPr>
        <mc:AlternateContent>
          <mc:Choice Requires="wpg">
            <w:drawing>
              <wp:anchor distT="0" distB="0" distL="114300" distR="114300" simplePos="0" relativeHeight="2519029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7642" name="Group 51764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4817" name="Picture 44817"/>
                          <pic:cNvPicPr/>
                        </pic:nvPicPr>
                        <pic:blipFill>
                          <a:blip r:embed="rId62"/>
                          <a:stretch>
                            <a:fillRect/>
                          </a:stretch>
                        </pic:blipFill>
                        <pic:spPr>
                          <a:xfrm rot="-5399999">
                            <a:off x="-1720849" y="1720849"/>
                            <a:ext cx="3797300" cy="355601"/>
                          </a:xfrm>
                          <a:prstGeom prst="rect">
                            <a:avLst/>
                          </a:prstGeom>
                        </pic:spPr>
                      </pic:pic>
                      <wps:wsp>
                        <wps:cNvPr id="44818" name="Rectangle 4481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4819" name="Rectangle 4481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7642" style="width:41.2715pt;height:299pt;position:absolute;mso-position-horizontal-relative:page;mso-position-horizontal:absolute;margin-left:653.71pt;mso-position-vertical-relative:page;margin-top:512.92pt;" coordsize="5241,37973">
                <v:shape id="Picture 44817" style="position:absolute;width:37973;height:3556;left:-17208;top:17208;rotation:-89;" filled="f">
                  <v:imagedata r:id="rId63"/>
                </v:shape>
                <v:rect id="Rectangle 4481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481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238 de 353 </w:t>
                        </w:r>
                      </w:p>
                    </w:txbxContent>
                  </v:textbox>
                </v:rect>
                <w10:wrap type="square"/>
              </v:group>
            </w:pict>
          </mc:Fallback>
        </mc:AlternateContent>
      </w:r>
      <w:r>
        <w:rPr>
          <w:rFonts w:ascii="Arial" w:eastAsia="Arial" w:hAnsi="Arial" w:cs="Arial"/>
        </w:rPr>
        <w:t xml:space="preserve">En segundo lugar, la regla de la indispensabilidad. Sólo se han tenido en cuenta los costes indispensables para la realización de la actividad. </w:t>
      </w:r>
    </w:p>
    <w:p w:rsidR="00FF384B" w:rsidRDefault="003E3BA9">
      <w:pPr>
        <w:spacing w:after="0"/>
        <w:ind w:left="720"/>
      </w:pPr>
      <w:r>
        <w:rPr>
          <w:rFonts w:ascii="Arial" w:eastAsia="Arial" w:hAnsi="Arial" w:cs="Arial"/>
        </w:rPr>
        <w:t xml:space="preserve"> </w:t>
      </w:r>
    </w:p>
    <w:p w:rsidR="00FF384B" w:rsidRDefault="003E3BA9">
      <w:pPr>
        <w:spacing w:after="10" w:line="230" w:lineRule="auto"/>
        <w:ind w:right="8698"/>
      </w:pPr>
      <w:r>
        <w:rPr>
          <w:rFonts w:ascii="Arial" w:eastAsia="Arial" w:hAnsi="Arial" w:cs="Arial"/>
        </w:rPr>
        <w:t xml:space="preserve"> </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hd w:val="clear" w:color="auto" w:fill="E0E0E0"/>
        <w:spacing w:after="233" w:line="249" w:lineRule="auto"/>
        <w:ind w:left="197" w:right="447" w:hanging="10"/>
        <w:jc w:val="center"/>
      </w:pPr>
      <w:r>
        <w:rPr>
          <w:rFonts w:ascii="Arial" w:eastAsia="Arial" w:hAnsi="Arial" w:cs="Arial"/>
          <w:b/>
        </w:rPr>
        <w:t xml:space="preserve">JUSTIFICACIÓN DE LOS COSTES REVISABLES ELEGIDOS. </w:t>
      </w:r>
    </w:p>
    <w:p w:rsidR="00FF384B" w:rsidRDefault="003E3BA9">
      <w:pPr>
        <w:spacing w:after="5" w:line="247" w:lineRule="auto"/>
        <w:ind w:left="10" w:right="244" w:hanging="10"/>
        <w:jc w:val="both"/>
      </w:pPr>
      <w:r>
        <w:rPr>
          <w:rFonts w:ascii="Arial" w:eastAsia="Arial" w:hAnsi="Arial" w:cs="Arial"/>
        </w:rPr>
        <w:t>Tal y como se ha indicado, los costes a incorporar par</w:t>
      </w:r>
      <w:r>
        <w:rPr>
          <w:rFonts w:ascii="Arial" w:eastAsia="Arial" w:hAnsi="Arial" w:cs="Arial"/>
        </w:rPr>
        <w:t xml:space="preserve">a la determinación de la fórmula de revisión de precios se corresponden con los costes de mano de obra, de carburante y lubricantes y de servicios de mantenimiento y reparación.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5" w:line="249" w:lineRule="auto"/>
        <w:ind w:left="10" w:hanging="10"/>
        <w:jc w:val="both"/>
      </w:pPr>
      <w:r>
        <w:rPr>
          <w:rFonts w:ascii="Arial" w:eastAsia="Arial" w:hAnsi="Arial" w:cs="Arial"/>
          <w:b/>
          <w:u w:val="single" w:color="000000"/>
        </w:rPr>
        <w:t>JUSTIFICACIÓN DE LA EVOLUCIÓN DE LOS COSTES DE MANO DE OBRA</w:t>
      </w:r>
      <w:r>
        <w:rPr>
          <w:rFonts w:ascii="Arial" w:eastAsia="Arial" w:hAnsi="Arial" w:cs="Arial"/>
          <w:b/>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El coste d</w:t>
      </w:r>
      <w:r>
        <w:rPr>
          <w:rFonts w:ascii="Arial" w:eastAsia="Arial" w:hAnsi="Arial" w:cs="Arial"/>
        </w:rPr>
        <w:t xml:space="preserve">e personal es el componente más relevante de la estructura de costes para esta actividad, tal y como se ha podido comprobar anteriormente.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Incorpora el coste total de un trabajador, tanto sus retribuciones (salario base, antigüedad, diferentes pluses, c</w:t>
      </w:r>
      <w:r>
        <w:rPr>
          <w:rFonts w:ascii="Arial" w:eastAsia="Arial" w:hAnsi="Arial" w:cs="Arial"/>
        </w:rPr>
        <w:t xml:space="preserve">omplementos, etc.), y todas aquellas cotizaciones a la Seguridad Social por los conceptos de contingencias comunes, contingencias profesionales, desempleo, formación profesional, plus transporte y Fondo de Garantía Salarial.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Todos estos elementos se encuentran claramente especificados en los correspondientes convenios colectivos, pero cuya evolución a nivel global no es siempre inmediata de calcular al depender de la composición de la plantilla según categorías profesionales, </w:t>
      </w:r>
      <w:r>
        <w:rPr>
          <w:rFonts w:ascii="Arial" w:eastAsia="Arial" w:hAnsi="Arial" w:cs="Arial"/>
        </w:rPr>
        <w:t xml:space="preserve">antigüedad, tipologías contractuales, número de empleados, etc. en cada momento del contrato. </w:t>
      </w:r>
    </w:p>
    <w:p w:rsidR="00FF384B" w:rsidRDefault="003E3BA9">
      <w:pPr>
        <w:spacing w:after="5" w:line="247" w:lineRule="auto"/>
        <w:ind w:left="10" w:right="244" w:hanging="10"/>
        <w:jc w:val="both"/>
      </w:pPr>
      <w:r>
        <w:rPr>
          <w:rFonts w:ascii="Arial" w:eastAsia="Arial" w:hAnsi="Arial" w:cs="Arial"/>
        </w:rPr>
        <w:t>El coste salarial viene determinado por el Convenio Colectivo del de la empresa Urbaser, S.A. con código 385004451012008, publicado en el Boletín oficial de la P</w:t>
      </w:r>
      <w:r>
        <w:rPr>
          <w:rFonts w:ascii="Arial" w:eastAsia="Arial" w:hAnsi="Arial" w:cs="Arial"/>
        </w:rPr>
        <w:t xml:space="preserve">rovincia de Santa Cruz de Tenerife núm. 96, 9 de agosto de 2019 y se establece igualmente la subrogación del personal cuando se efectúe un cambio de entidad prestataria del servicio.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Mediante la negociación colectiva, las organizaciones empresariales y sindicales acuerdan las condiciones de trabajo y los modelos de producción para aumentar el empleo, mejorar la eficiencia del trabajo y las condiciones laborales, de forma que los salari</w:t>
      </w:r>
      <w:r>
        <w:rPr>
          <w:rFonts w:ascii="Arial" w:eastAsia="Arial" w:hAnsi="Arial" w:cs="Arial"/>
        </w:rPr>
        <w:t xml:space="preserve">os evolucionen de forma paralela a la coyuntura económica y otros convenios del sector.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Esta evolución, dependiente a su vez de circunstancias y factores económicos y políticos sociales, les confiere un alto grado de incertidumbre y del todo fuera del á</w:t>
      </w:r>
      <w:r>
        <w:rPr>
          <w:rFonts w:ascii="Arial" w:eastAsia="Arial" w:hAnsi="Arial" w:cs="Arial"/>
        </w:rPr>
        <w:t xml:space="preserve">mbito de influencia de los operadores del sector.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Los costes de la mano de obra son fundamentales e indispensables, su variación es frecuente y fundamentalmente al alza, y debe ser trasladada a la fórmula de revisión a emplear, si bien, como determina e</w:t>
      </w:r>
      <w:r>
        <w:rPr>
          <w:rFonts w:ascii="Arial" w:eastAsia="Arial" w:hAnsi="Arial" w:cs="Arial"/>
        </w:rPr>
        <w:t xml:space="preserve">l Real Decreto 55/2017, dicho traslado tendrá como límite máximo el incremento experimentado por la retribución del personal al servicio del sector público, conforme a las Leyes de Presupuestos Generales del Estado.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5" w:line="249" w:lineRule="auto"/>
        <w:ind w:left="10" w:hanging="10"/>
        <w:jc w:val="both"/>
      </w:pPr>
      <w:r>
        <w:rPr>
          <w:rFonts w:ascii="Arial" w:eastAsia="Arial" w:hAnsi="Arial" w:cs="Arial"/>
          <w:b/>
          <w:u w:val="single" w:color="000000"/>
        </w:rPr>
        <w:t>JUSTIFICACIÓN DE LA EVOLUCIÓN DE LO</w:t>
      </w:r>
      <w:r>
        <w:rPr>
          <w:rFonts w:ascii="Arial" w:eastAsia="Arial" w:hAnsi="Arial" w:cs="Arial"/>
          <w:b/>
          <w:u w:val="single" w:color="000000"/>
        </w:rPr>
        <w:t>S COSTES DE FUNCIONAMIENTO DE</w:t>
      </w:r>
      <w:r>
        <w:rPr>
          <w:rFonts w:ascii="Arial" w:eastAsia="Arial" w:hAnsi="Arial" w:cs="Arial"/>
          <w:b/>
        </w:rPr>
        <w:t xml:space="preserve"> </w:t>
      </w:r>
    </w:p>
    <w:p w:rsidR="00FF384B" w:rsidRDefault="003E3BA9">
      <w:pPr>
        <w:spacing w:after="5" w:line="249" w:lineRule="auto"/>
        <w:ind w:left="10" w:hanging="10"/>
        <w:jc w:val="both"/>
      </w:pPr>
      <w:r>
        <w:rPr>
          <w:noProof/>
        </w:rPr>
        <mc:AlternateContent>
          <mc:Choice Requires="wpg">
            <w:drawing>
              <wp:anchor distT="0" distB="0" distL="114300" distR="114300" simplePos="0" relativeHeight="2519040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0096" name="Group 49009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4910" name="Picture 44910"/>
                          <pic:cNvPicPr/>
                        </pic:nvPicPr>
                        <pic:blipFill>
                          <a:blip r:embed="rId62"/>
                          <a:stretch>
                            <a:fillRect/>
                          </a:stretch>
                        </pic:blipFill>
                        <pic:spPr>
                          <a:xfrm rot="-5399999">
                            <a:off x="-1720849" y="1720849"/>
                            <a:ext cx="3797300" cy="355601"/>
                          </a:xfrm>
                          <a:prstGeom prst="rect">
                            <a:avLst/>
                          </a:prstGeom>
                        </pic:spPr>
                      </pic:pic>
                      <wps:wsp>
                        <wps:cNvPr id="44911" name="Rectangle 4491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4912" name="Rectangle 4491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239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0096" style="width:41.2715pt;height:299pt;position:absolute;mso-position-horizontal-relative:page;mso-position-horizontal:absolute;margin-left:653.71pt;mso-position-vertical-relative:page;margin-top:512.92pt;" coordsize="5241,37973">
                <v:shape id="Picture 44910" style="position:absolute;width:37973;height:3556;left:-17208;top:17208;rotation:-89;" filled="f">
                  <v:imagedata r:id="rId63"/>
                </v:shape>
                <v:rect id="Rectangle 449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49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239 de 353 </w:t>
                        </w:r>
                      </w:p>
                    </w:txbxContent>
                  </v:textbox>
                </v:rect>
                <w10:wrap type="square"/>
              </v:group>
            </w:pict>
          </mc:Fallback>
        </mc:AlternateContent>
      </w:r>
      <w:r>
        <w:rPr>
          <w:rFonts w:ascii="Arial" w:eastAsia="Arial" w:hAnsi="Arial" w:cs="Arial"/>
          <w:b/>
          <w:u w:val="single" w:color="000000"/>
        </w:rPr>
        <w:t>LA MAQUINARIA Y EQUIPOS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COSTES DE CARBURANTE Y LUBRICANTES.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Depende de su consumo y de su precio.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Sobre el consumo existe cierta capacidad de influencia por parte del adjudicatario, a través del buen uso y mantenimiento de la maquinaria y de la utilización de tecnologías eficientes.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Sin embargo, el hecho de que en un contrato de servicios las actuac</w:t>
      </w:r>
      <w:r>
        <w:rPr>
          <w:rFonts w:ascii="Arial" w:eastAsia="Arial" w:hAnsi="Arial" w:cs="Arial"/>
        </w:rPr>
        <w:t xml:space="preserve">iones a realizar, su frecuencia e incluso el tipo de tecnologías a emplear vengan tasados en los pliegos, hace que, en el grueso de este concepto, la intensidad de uso, el contratista no tenga capacidad de influencia.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Respecto al precio, la evolución de</w:t>
      </w:r>
      <w:r>
        <w:rPr>
          <w:rFonts w:ascii="Arial" w:eastAsia="Arial" w:hAnsi="Arial" w:cs="Arial"/>
        </w:rPr>
        <w:t xml:space="preserve">pende de diferentes factores políticos y económicos que quedan claramente fuera del ámbito de influencia del contratista.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Además del precio del petróleo, hay otros factores clave que influyen en el precio de los carburantes, como la tributación, que pue</w:t>
      </w:r>
      <w:r>
        <w:rPr>
          <w:rFonts w:ascii="Arial" w:eastAsia="Arial" w:hAnsi="Arial" w:cs="Arial"/>
        </w:rPr>
        <w:t xml:space="preserve">de variar en función de las circunstancias económicas del país, o diferentes aspectos normativos a través de diferentes administraciones y en materias varias, como puede ser la legislación medioambiental.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En el gráfico siguiente se muestra la evolución </w:t>
      </w:r>
      <w:r>
        <w:rPr>
          <w:rFonts w:ascii="Arial" w:eastAsia="Arial" w:hAnsi="Arial" w:cs="Arial"/>
        </w:rPr>
        <w:t xml:space="preserve">del precio de carburantes y lubricantes.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Puede observarse claramente su gran variabilidad. </w:t>
      </w:r>
    </w:p>
    <w:p w:rsidR="00FF384B" w:rsidRDefault="003E3BA9">
      <w:pPr>
        <w:spacing w:after="0"/>
        <w:ind w:right="197"/>
        <w:jc w:val="center"/>
      </w:pPr>
      <w:r>
        <w:rPr>
          <w:rFonts w:ascii="Times New Roman" w:eastAsia="Times New Roman" w:hAnsi="Times New Roman" w:cs="Times New Roman"/>
          <w:sz w:val="24"/>
        </w:rPr>
        <w:t xml:space="preserve"> </w:t>
      </w:r>
    </w:p>
    <w:p w:rsidR="00FF384B" w:rsidRDefault="003E3BA9">
      <w:pPr>
        <w:spacing w:after="106" w:line="216" w:lineRule="auto"/>
        <w:ind w:left="1627" w:hanging="1621"/>
      </w:pPr>
      <w:r>
        <w:rPr>
          <w:noProof/>
        </w:rPr>
        <w:drawing>
          <wp:inline distT="0" distB="0" distL="0" distR="0">
            <wp:extent cx="5372100" cy="2004060"/>
            <wp:effectExtent l="0" t="0" r="0" b="0"/>
            <wp:docPr id="44971" name="Picture 44971"/>
            <wp:cNvGraphicFramePr/>
            <a:graphic xmlns:a="http://schemas.openxmlformats.org/drawingml/2006/main">
              <a:graphicData uri="http://schemas.openxmlformats.org/drawingml/2006/picture">
                <pic:pic xmlns:pic="http://schemas.openxmlformats.org/drawingml/2006/picture">
                  <pic:nvPicPr>
                    <pic:cNvPr id="44971" name="Picture 44971"/>
                    <pic:cNvPicPr/>
                  </pic:nvPicPr>
                  <pic:blipFill>
                    <a:blip r:embed="rId71"/>
                    <a:stretch>
                      <a:fillRect/>
                    </a:stretch>
                  </pic:blipFill>
                  <pic:spPr>
                    <a:xfrm>
                      <a:off x="0" y="0"/>
                      <a:ext cx="5372100" cy="200406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14"/>
        </w:rPr>
        <w:t xml:space="preserve">Evolución IPC carburantes y lubricantes. Fuente Instituto Nacional de Estadística (INE) 2021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 xml:space="preserve">Por lo tanto, se considera que estos costes de carburantes y lubricantes deben ser trasladados a la fórmula de revisión.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COSTES DE MANTENIMIENTO Y REPARACIÓN DE MAQUINARIA Y EQUIPOS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Es otro elemento fundamental para la prestación del servicio.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9050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89475" name="Group 48947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4975" name="Picture 44975"/>
                          <pic:cNvPicPr/>
                        </pic:nvPicPr>
                        <pic:blipFill>
                          <a:blip r:embed="rId62"/>
                          <a:stretch>
                            <a:fillRect/>
                          </a:stretch>
                        </pic:blipFill>
                        <pic:spPr>
                          <a:xfrm rot="-5399999">
                            <a:off x="-1720849" y="1720849"/>
                            <a:ext cx="3797300" cy="355601"/>
                          </a:xfrm>
                          <a:prstGeom prst="rect">
                            <a:avLst/>
                          </a:prstGeom>
                        </pic:spPr>
                      </pic:pic>
                      <wps:wsp>
                        <wps:cNvPr id="44976" name="Rectangle 4497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4977" name="Rectangle 4497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89475" style="width:41.2715pt;height:299pt;position:absolute;mso-position-horizontal-relative:page;mso-position-horizontal:absolute;margin-left:653.71pt;mso-position-vertical-relative:page;margin-top:512.92pt;" coordsize="5241,37973">
                <v:shape id="Picture 44975" style="position:absolute;width:37973;height:3556;left:-17208;top:17208;rotation:-89;" filled="f">
                  <v:imagedata r:id="rId63"/>
                </v:shape>
                <v:rect id="Rectangle 4497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497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240 de 353 </w:t>
                        </w:r>
                      </w:p>
                    </w:txbxContent>
                  </v:textbox>
                </v:rect>
                <w10:wrap type="square"/>
              </v:group>
            </w:pict>
          </mc:Fallback>
        </mc:AlternateContent>
      </w:r>
      <w:r>
        <w:rPr>
          <w:rFonts w:ascii="Arial" w:eastAsia="Arial" w:hAnsi="Arial" w:cs="Arial"/>
        </w:rPr>
        <w:t>Para la prestación optima del servicio, será necesaria la u</w:t>
      </w:r>
      <w:r>
        <w:rPr>
          <w:rFonts w:ascii="Arial" w:eastAsia="Arial" w:hAnsi="Arial" w:cs="Arial"/>
        </w:rPr>
        <w:t xml:space="preserve">tilización de maquinaria específica, siendo indispensable la realización de tareas de mantenimiento preventivo y correctivo frente averías que generan gastos proporcionales al uso que se realiza de los equipos durante la prestación.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La utilización de ve</w:t>
      </w:r>
      <w:r>
        <w:rPr>
          <w:rFonts w:ascii="Arial" w:eastAsia="Arial" w:hAnsi="Arial" w:cs="Arial"/>
        </w:rPr>
        <w:t xml:space="preserve">hículos muy específicos y con alta carga tecnológica hace que las averías tengan un importe relevante.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Aunque los factores de escala pueden hacer que los contratistas obtengan precios más ventajosos, éstos siempre van a enmarcarse en los de un sector ex</w:t>
      </w:r>
      <w:r>
        <w:rPr>
          <w:rFonts w:ascii="Arial" w:eastAsia="Arial" w:hAnsi="Arial" w:cs="Arial"/>
        </w:rPr>
        <w:t xml:space="preserve">terno a él y en cuyo comportamiento no va a poder influir. </w:t>
      </w:r>
    </w:p>
    <w:p w:rsidR="00FF384B" w:rsidRDefault="003E3BA9">
      <w:pPr>
        <w:spacing w:after="6"/>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El siguiente gráfico muestra su evolución</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92" w:line="216" w:lineRule="auto"/>
        <w:jc w:val="right"/>
      </w:pPr>
      <w:r>
        <w:rPr>
          <w:noProof/>
        </w:rPr>
        <w:drawing>
          <wp:inline distT="0" distB="0" distL="0" distR="0">
            <wp:extent cx="5515356" cy="1895856"/>
            <wp:effectExtent l="0" t="0" r="0" b="0"/>
            <wp:docPr id="44973" name="Picture 44973"/>
            <wp:cNvGraphicFramePr/>
            <a:graphic xmlns:a="http://schemas.openxmlformats.org/drawingml/2006/main">
              <a:graphicData uri="http://schemas.openxmlformats.org/drawingml/2006/picture">
                <pic:pic xmlns:pic="http://schemas.openxmlformats.org/drawingml/2006/picture">
                  <pic:nvPicPr>
                    <pic:cNvPr id="44973" name="Picture 44973"/>
                    <pic:cNvPicPr/>
                  </pic:nvPicPr>
                  <pic:blipFill>
                    <a:blip r:embed="rId69"/>
                    <a:stretch>
                      <a:fillRect/>
                    </a:stretch>
                  </pic:blipFill>
                  <pic:spPr>
                    <a:xfrm>
                      <a:off x="0" y="0"/>
                      <a:ext cx="5515356" cy="1895856"/>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14"/>
        </w:rPr>
        <w:t xml:space="preserve">Evolución IPC mantenimiento y reparación de vehículos. Fuente Instituto Nacional de Estadística (INE) 2021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Por tanto, estos costes son también </w:t>
      </w:r>
      <w:r>
        <w:rPr>
          <w:rFonts w:ascii="Arial" w:eastAsia="Arial" w:hAnsi="Arial" w:cs="Arial"/>
        </w:rPr>
        <w:t xml:space="preserve">imprescindibles y presentan una variación recurrente determinada por factores exógenos a las empresas. Se considera que debe ser trasladada la fórmula de revisión. </w:t>
      </w:r>
    </w:p>
    <w:p w:rsidR="00FF384B" w:rsidRDefault="003E3BA9">
      <w:pPr>
        <w:spacing w:after="0"/>
      </w:pPr>
      <w:r>
        <w:rPr>
          <w:rFonts w:ascii="Arial" w:eastAsia="Arial" w:hAnsi="Arial" w:cs="Arial"/>
        </w:rPr>
        <w:t xml:space="preserve"> </w:t>
      </w:r>
    </w:p>
    <w:p w:rsidR="00FF384B" w:rsidRDefault="003E3BA9">
      <w:pPr>
        <w:shd w:val="clear" w:color="auto" w:fill="E0E0E0"/>
        <w:spacing w:after="233" w:line="249" w:lineRule="auto"/>
        <w:ind w:left="197" w:right="289" w:hanging="10"/>
        <w:jc w:val="center"/>
      </w:pPr>
      <w:r>
        <w:rPr>
          <w:rFonts w:ascii="Arial" w:eastAsia="Arial" w:hAnsi="Arial" w:cs="Arial"/>
          <w:b/>
        </w:rPr>
        <w:t>IDENTIFICACIÓN Y DESCRIPCIÓN DE LOS ÍNDICES DE REVISIÓN ELEGIDOS PARA LOS COSTES INCLUIDO</w:t>
      </w:r>
      <w:r>
        <w:rPr>
          <w:rFonts w:ascii="Arial" w:eastAsia="Arial" w:hAnsi="Arial" w:cs="Arial"/>
          <w:b/>
        </w:rPr>
        <w:t xml:space="preserve">S EN LA FÓRMULA DE REVISIÓN. </w:t>
      </w:r>
    </w:p>
    <w:p w:rsidR="00FF384B" w:rsidRDefault="003E3BA9">
      <w:pPr>
        <w:spacing w:after="5" w:line="247" w:lineRule="auto"/>
        <w:ind w:left="10" w:right="244" w:hanging="10"/>
        <w:jc w:val="both"/>
      </w:pPr>
      <w:r>
        <w:rPr>
          <w:rFonts w:ascii="Arial" w:eastAsia="Arial" w:hAnsi="Arial" w:cs="Arial"/>
        </w:rPr>
        <w:t xml:space="preserve">El artículo 7 del El Real Decreto 55/2017 determina los principios para el establecimiento de fórmulas en las revisiones periódicas y predeterminadas, indicados anteriormente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En cumplimiento de dicho artículo, se han seleccionado índices procedentes de organismos especializados, en especial los del Instituto Nacional de Estadística y el Ministerio de Empleo y Seguridad Social, Subdirección General de Estadística, los cuales son</w:t>
      </w:r>
      <w:r>
        <w:rPr>
          <w:rFonts w:ascii="Arial" w:eastAsia="Arial" w:hAnsi="Arial" w:cs="Arial"/>
        </w:rPr>
        <w:t xml:space="preserve"> de consulta pública y gratuita, y, por supuesto, no modificables por un operador económico.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Se considera una selección adecuada de dichos índices, justificada por desagregarse al máximo los costes a que se refieren, evitando así la indexación genérica </w:t>
      </w:r>
      <w:r>
        <w:rPr>
          <w:rFonts w:ascii="Arial" w:eastAsia="Arial" w:hAnsi="Arial" w:cs="Arial"/>
        </w:rPr>
        <w:t xml:space="preserve">a IPC, utilizándose índices específicos que son elaborados por entidades reconocidas en base a la evolución real del mercado.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En base a estas consideraciones, los índices elegidos para la revisión de cada uno de los costes revisables se expresan en los </w:t>
      </w:r>
      <w:r>
        <w:rPr>
          <w:rFonts w:ascii="Arial" w:eastAsia="Arial" w:hAnsi="Arial" w:cs="Arial"/>
        </w:rPr>
        <w:t xml:space="preserve">siguientes puntos.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15" w:line="247" w:lineRule="auto"/>
        <w:ind w:left="3" w:hanging="3"/>
        <w:jc w:val="both"/>
      </w:pPr>
      <w:r>
        <w:rPr>
          <w:rFonts w:ascii="Arial" w:eastAsia="Arial" w:hAnsi="Arial" w:cs="Arial"/>
          <w:b/>
        </w:rPr>
        <w:t xml:space="preserve">INDICE DE REVISIÓN PARA LOS COSTES DE MANO DE OBRA.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9060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0628" name="Group 49062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096" name="Picture 45096"/>
                          <pic:cNvPicPr/>
                        </pic:nvPicPr>
                        <pic:blipFill>
                          <a:blip r:embed="rId62"/>
                          <a:stretch>
                            <a:fillRect/>
                          </a:stretch>
                        </pic:blipFill>
                        <pic:spPr>
                          <a:xfrm rot="-5399999">
                            <a:off x="-1720849" y="1720849"/>
                            <a:ext cx="3797300" cy="355601"/>
                          </a:xfrm>
                          <a:prstGeom prst="rect">
                            <a:avLst/>
                          </a:prstGeom>
                        </pic:spPr>
                      </pic:pic>
                      <wps:wsp>
                        <wps:cNvPr id="45097" name="Rectangle 4509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098" name="Rectangle 4509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0628" style="width:41.2715pt;height:299pt;position:absolute;mso-position-horizontal-relative:page;mso-position-horizontal:absolute;margin-left:653.71pt;mso-position-vertical-relative:page;margin-top:512.92pt;" coordsize="5241,37973">
                <v:shape id="Picture 45096" style="position:absolute;width:37973;height:3556;left:-17208;top:17208;rotation:-89;" filled="f">
                  <v:imagedata r:id="rId63"/>
                </v:shape>
                <v:rect id="Rectangle 450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09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241 de 353 </w:t>
                        </w:r>
                      </w:p>
                    </w:txbxContent>
                  </v:textbox>
                </v:rect>
                <w10:wrap type="square"/>
              </v:group>
            </w:pict>
          </mc:Fallback>
        </mc:AlternateContent>
      </w:r>
      <w:r>
        <w:rPr>
          <w:rFonts w:ascii="Arial" w:eastAsia="Arial" w:hAnsi="Arial" w:cs="Arial"/>
        </w:rPr>
        <w:t xml:space="preserve">Se propone la variación salarial media pactada, a nivel estatal, publicada por el Ministerio de Trabajo, Migraciones y Seguridad Social en apartado Estadísticas </w:t>
      </w:r>
      <w:r>
        <w:rPr>
          <w:rFonts w:ascii="Arial" w:eastAsia="Arial" w:hAnsi="Arial" w:cs="Arial"/>
        </w:rPr>
        <w:t xml:space="preserve">– Condiciones de trabajo y relaciones laborales – Convenios Colectivos de trabajo.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En concreto se propone la división CNAE-2009 38. Recogida, tratamiento y eliminación de residuos; valorización.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origen del dato: </w:t>
      </w:r>
    </w:p>
    <w:p w:rsidR="00FF384B" w:rsidRDefault="003E3BA9">
      <w:pPr>
        <w:spacing w:after="0"/>
      </w:pPr>
      <w:r>
        <w:rPr>
          <w:rFonts w:ascii="Arial" w:eastAsia="Arial" w:hAnsi="Arial" w:cs="Arial"/>
        </w:rPr>
        <w:t xml:space="preserve"> </w:t>
      </w:r>
    </w:p>
    <w:p w:rsidR="00FF384B" w:rsidRDefault="003E3BA9">
      <w:pPr>
        <w:spacing w:after="0"/>
        <w:ind w:left="718" w:hanging="10"/>
      </w:pPr>
      <w:r>
        <w:rPr>
          <w:rFonts w:ascii="Arial" w:eastAsia="Arial" w:hAnsi="Arial" w:cs="Arial"/>
        </w:rPr>
        <w:t xml:space="preserve">URL: </w:t>
      </w:r>
      <w:r>
        <w:rPr>
          <w:rFonts w:ascii="Arial" w:eastAsia="Arial" w:hAnsi="Arial" w:cs="Arial"/>
          <w:color w:val="0000FF"/>
          <w:u w:val="single" w:color="0000FF"/>
        </w:rPr>
        <w:t>https://expinterweb.mitramiss.gob.es/series/</w:t>
      </w:r>
      <w:r>
        <w:rPr>
          <w:rFonts w:ascii="Times New Roman" w:eastAsia="Times New Roman" w:hAnsi="Times New Roman" w:cs="Times New Roman"/>
          <w:sz w:val="24"/>
        </w:rPr>
        <w:t xml:space="preserve"> </w:t>
      </w:r>
    </w:p>
    <w:p w:rsidR="00FF384B" w:rsidRDefault="003E3BA9">
      <w:pPr>
        <w:spacing w:after="0"/>
        <w:ind w:left="708"/>
      </w:pPr>
      <w:r>
        <w:rPr>
          <w:rFonts w:ascii="Arial" w:eastAsia="Arial" w:hAnsi="Arial" w:cs="Arial"/>
        </w:rPr>
        <w:t xml:space="preserve"> </w:t>
      </w:r>
    </w:p>
    <w:p w:rsidR="00FF384B" w:rsidRDefault="003E3BA9">
      <w:pPr>
        <w:numPr>
          <w:ilvl w:val="0"/>
          <w:numId w:val="286"/>
        </w:numPr>
        <w:spacing w:after="5" w:line="247" w:lineRule="auto"/>
        <w:ind w:right="244" w:hanging="360"/>
        <w:jc w:val="both"/>
      </w:pPr>
      <w:r>
        <w:rPr>
          <w:rFonts w:ascii="Arial" w:eastAsia="Arial" w:hAnsi="Arial" w:cs="Arial"/>
        </w:rPr>
        <w:t xml:space="preserve">Condiciones de trabajo y relaciones laborales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Convenios Colectivos de trabajo. </w:t>
      </w:r>
    </w:p>
    <w:p w:rsidR="00FF384B" w:rsidRDefault="003E3BA9">
      <w:pPr>
        <w:numPr>
          <w:ilvl w:val="0"/>
          <w:numId w:val="286"/>
        </w:numPr>
        <w:spacing w:after="5" w:line="247" w:lineRule="auto"/>
        <w:ind w:right="244" w:hanging="360"/>
        <w:jc w:val="both"/>
      </w:pPr>
      <w:r>
        <w:rPr>
          <w:rFonts w:ascii="Arial" w:eastAsia="Arial" w:hAnsi="Arial" w:cs="Arial"/>
        </w:rPr>
        <w:t xml:space="preserve">Variable de análisis: Variación salarial media pactada </w:t>
      </w:r>
    </w:p>
    <w:p w:rsidR="00FF384B" w:rsidRDefault="003E3BA9">
      <w:pPr>
        <w:numPr>
          <w:ilvl w:val="0"/>
          <w:numId w:val="286"/>
        </w:numPr>
        <w:spacing w:after="5" w:line="247" w:lineRule="auto"/>
        <w:ind w:right="244" w:hanging="360"/>
        <w:jc w:val="both"/>
      </w:pPr>
      <w:r>
        <w:rPr>
          <w:rFonts w:ascii="Arial" w:eastAsia="Arial" w:hAnsi="Arial" w:cs="Arial"/>
        </w:rPr>
        <w:t xml:space="preserve">Variable de clasificación: Ámbito y división de actividad </w:t>
      </w:r>
    </w:p>
    <w:p w:rsidR="00FF384B" w:rsidRDefault="003E3BA9">
      <w:pPr>
        <w:numPr>
          <w:ilvl w:val="0"/>
          <w:numId w:val="286"/>
        </w:numPr>
        <w:spacing w:after="5" w:line="247" w:lineRule="auto"/>
        <w:ind w:right="244" w:hanging="360"/>
        <w:jc w:val="both"/>
      </w:pPr>
      <w:r>
        <w:rPr>
          <w:rFonts w:ascii="Arial" w:eastAsia="Arial" w:hAnsi="Arial" w:cs="Arial"/>
        </w:rPr>
        <w:t>Ámbito o á</w:t>
      </w:r>
      <w:r>
        <w:rPr>
          <w:rFonts w:ascii="Arial" w:eastAsia="Arial" w:hAnsi="Arial" w:cs="Arial"/>
        </w:rPr>
        <w:t xml:space="preserve">reas. Ámbito superior a la empresa </w:t>
      </w:r>
    </w:p>
    <w:p w:rsidR="00FF384B" w:rsidRDefault="003E3BA9">
      <w:pPr>
        <w:numPr>
          <w:ilvl w:val="0"/>
          <w:numId w:val="286"/>
        </w:numPr>
        <w:spacing w:after="5" w:line="247" w:lineRule="auto"/>
        <w:ind w:right="244" w:hanging="360"/>
        <w:jc w:val="both"/>
      </w:pPr>
      <w:r>
        <w:rPr>
          <w:rFonts w:ascii="Arial" w:eastAsia="Arial" w:hAnsi="Arial" w:cs="Arial"/>
        </w:rPr>
        <w:t xml:space="preserve">División CNAE 2009: 38. Recogida, tratamiento y eliminación de residuos; valorización.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INDICE DE REVISIÓN PARA LOS COSTES DE CARBURANTES Y LUBRICANTES. </w:t>
      </w:r>
    </w:p>
    <w:p w:rsidR="00FF384B" w:rsidRDefault="003E3BA9">
      <w:pPr>
        <w:spacing w:after="0"/>
      </w:pPr>
      <w:r>
        <w:rPr>
          <w:rFonts w:ascii="Arial" w:eastAsia="Arial" w:hAnsi="Arial" w:cs="Arial"/>
          <w:b/>
        </w:rPr>
        <w:t xml:space="preserve"> </w:t>
      </w:r>
    </w:p>
    <w:p w:rsidR="00FF384B" w:rsidRDefault="003E3BA9">
      <w:pPr>
        <w:spacing w:after="5" w:line="247" w:lineRule="auto"/>
        <w:ind w:left="10" w:right="244" w:hanging="10"/>
        <w:jc w:val="both"/>
      </w:pPr>
      <w:r>
        <w:rPr>
          <w:rFonts w:ascii="Arial" w:eastAsia="Arial" w:hAnsi="Arial" w:cs="Arial"/>
        </w:rPr>
        <w:t>Se propone la variación anual a nivel estatal del índice nac</w:t>
      </w:r>
      <w:r>
        <w:rPr>
          <w:rFonts w:ascii="Arial" w:eastAsia="Arial" w:hAnsi="Arial" w:cs="Arial"/>
        </w:rPr>
        <w:t xml:space="preserve">ional de la clase "Carburantes y lubricantes para vehículos personales" publicado por el Instituto Nacional de Estadística (INE).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origen del dato: </w:t>
      </w:r>
    </w:p>
    <w:p w:rsidR="00FF384B" w:rsidRDefault="003E3BA9">
      <w:pPr>
        <w:spacing w:after="0"/>
      </w:pPr>
      <w:r>
        <w:rPr>
          <w:rFonts w:ascii="Arial" w:eastAsia="Arial" w:hAnsi="Arial" w:cs="Arial"/>
        </w:rPr>
        <w:t xml:space="preserve"> </w:t>
      </w:r>
    </w:p>
    <w:p w:rsidR="00FF384B" w:rsidRDefault="003E3BA9">
      <w:pPr>
        <w:spacing w:after="0"/>
        <w:ind w:left="718" w:hanging="10"/>
      </w:pPr>
      <w:r>
        <w:rPr>
          <w:rFonts w:ascii="Arial" w:eastAsia="Arial" w:hAnsi="Arial" w:cs="Arial"/>
        </w:rPr>
        <w:t xml:space="preserve">URL: </w:t>
      </w:r>
      <w:r>
        <w:rPr>
          <w:rFonts w:ascii="Arial" w:eastAsia="Arial" w:hAnsi="Arial" w:cs="Arial"/>
          <w:color w:val="0000FF"/>
          <w:u w:val="single" w:color="0000FF"/>
        </w:rPr>
        <w:t>https://www.ine.es/jaxiT3/Tabla.htm?t=23714</w:t>
      </w:r>
      <w:r>
        <w:rPr>
          <w:rFonts w:ascii="Times New Roman" w:eastAsia="Times New Roman" w:hAnsi="Times New Roman" w:cs="Times New Roman"/>
          <w:sz w:val="24"/>
        </w:rPr>
        <w:t xml:space="preserve"> </w:t>
      </w:r>
    </w:p>
    <w:p w:rsidR="00FF384B" w:rsidRDefault="003E3BA9">
      <w:pPr>
        <w:numPr>
          <w:ilvl w:val="0"/>
          <w:numId w:val="286"/>
        </w:numPr>
        <w:spacing w:after="5" w:line="247" w:lineRule="auto"/>
        <w:ind w:right="244" w:hanging="360"/>
        <w:jc w:val="both"/>
      </w:pPr>
      <w:r>
        <w:rPr>
          <w:rFonts w:ascii="Arial" w:eastAsia="Arial" w:hAnsi="Arial" w:cs="Arial"/>
        </w:rPr>
        <w:t>Clase 0722. Carburantes y lubricantes para vehícul</w:t>
      </w:r>
      <w:r>
        <w:rPr>
          <w:rFonts w:ascii="Arial" w:eastAsia="Arial" w:hAnsi="Arial" w:cs="Arial"/>
        </w:rPr>
        <w:t xml:space="preserve">os personales. </w:t>
      </w:r>
    </w:p>
    <w:p w:rsidR="00FF384B" w:rsidRDefault="003E3BA9">
      <w:pPr>
        <w:numPr>
          <w:ilvl w:val="0"/>
          <w:numId w:val="286"/>
        </w:numPr>
        <w:spacing w:after="5" w:line="247" w:lineRule="auto"/>
        <w:ind w:right="244" w:hanging="360"/>
        <w:jc w:val="both"/>
      </w:pPr>
      <w:r>
        <w:rPr>
          <w:rFonts w:ascii="Arial" w:eastAsia="Arial" w:hAnsi="Arial" w:cs="Arial"/>
        </w:rPr>
        <w:t xml:space="preserve">Tipo de dato: Variación anual.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INDICE DE REVISIÓN PARA LOS COSTES DE SERVICIOS DE MANTENIEMIENTO Y REPARACIÓN.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Se propone como índice la variación anual a nivel estatal del índice nacional de la clase "Mantenimiento y reparación de vehículos personales", publicado por el Instituto Nacional de Estadística (INE).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origen del dato: </w:t>
      </w:r>
    </w:p>
    <w:p w:rsidR="00FF384B" w:rsidRDefault="003E3BA9">
      <w:pPr>
        <w:spacing w:after="0"/>
      </w:pPr>
      <w:r>
        <w:rPr>
          <w:rFonts w:ascii="Arial" w:eastAsia="Arial" w:hAnsi="Arial" w:cs="Arial"/>
        </w:rPr>
        <w:t xml:space="preserve"> </w:t>
      </w:r>
    </w:p>
    <w:p w:rsidR="00FF384B" w:rsidRDefault="003E3BA9">
      <w:pPr>
        <w:spacing w:after="0"/>
        <w:ind w:left="718" w:hanging="10"/>
      </w:pPr>
      <w:r>
        <w:rPr>
          <w:rFonts w:ascii="Arial" w:eastAsia="Arial" w:hAnsi="Arial" w:cs="Arial"/>
        </w:rPr>
        <w:t xml:space="preserve">URL: </w:t>
      </w:r>
      <w:r>
        <w:rPr>
          <w:rFonts w:ascii="Arial" w:eastAsia="Arial" w:hAnsi="Arial" w:cs="Arial"/>
          <w:color w:val="0000FF"/>
          <w:u w:val="single" w:color="0000FF"/>
        </w:rPr>
        <w:t>https://www.ine.es/jaxi</w:t>
      </w:r>
      <w:r>
        <w:rPr>
          <w:rFonts w:ascii="Arial" w:eastAsia="Arial" w:hAnsi="Arial" w:cs="Arial"/>
          <w:color w:val="0000FF"/>
          <w:u w:val="single" w:color="0000FF"/>
        </w:rPr>
        <w:t>T3/Tabla.htm?t=23714</w:t>
      </w:r>
      <w:r>
        <w:rPr>
          <w:rFonts w:ascii="Times New Roman" w:eastAsia="Times New Roman" w:hAnsi="Times New Roman" w:cs="Times New Roman"/>
          <w:sz w:val="24"/>
        </w:rPr>
        <w:t xml:space="preserve"> </w:t>
      </w:r>
    </w:p>
    <w:p w:rsidR="00FF384B" w:rsidRDefault="003E3BA9">
      <w:pPr>
        <w:spacing w:after="0"/>
        <w:ind w:left="708"/>
      </w:pPr>
      <w:r>
        <w:rPr>
          <w:rFonts w:ascii="Arial" w:eastAsia="Arial" w:hAnsi="Arial" w:cs="Arial"/>
        </w:rPr>
        <w:t xml:space="preserve"> </w:t>
      </w:r>
    </w:p>
    <w:p w:rsidR="00FF384B" w:rsidRDefault="003E3BA9">
      <w:pPr>
        <w:numPr>
          <w:ilvl w:val="0"/>
          <w:numId w:val="286"/>
        </w:numPr>
        <w:spacing w:after="5" w:line="247" w:lineRule="auto"/>
        <w:ind w:right="244" w:hanging="360"/>
        <w:jc w:val="both"/>
      </w:pPr>
      <w:r>
        <w:rPr>
          <w:rFonts w:ascii="Arial" w:eastAsia="Arial" w:hAnsi="Arial" w:cs="Arial"/>
        </w:rPr>
        <w:t xml:space="preserve">Clase 0723. Mantenimiento y reparación para vehículos personales. </w:t>
      </w:r>
    </w:p>
    <w:p w:rsidR="00FF384B" w:rsidRDefault="003E3BA9">
      <w:pPr>
        <w:numPr>
          <w:ilvl w:val="0"/>
          <w:numId w:val="286"/>
        </w:numPr>
        <w:spacing w:after="5" w:line="247" w:lineRule="auto"/>
        <w:ind w:right="244" w:hanging="360"/>
        <w:jc w:val="both"/>
      </w:pPr>
      <w:r>
        <w:rPr>
          <w:rFonts w:ascii="Arial" w:eastAsia="Arial" w:hAnsi="Arial" w:cs="Arial"/>
        </w:rPr>
        <w:t xml:space="preserve">Tipo de dato: Variación anual.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hd w:val="clear" w:color="auto" w:fill="E0E0E0"/>
        <w:spacing w:after="233" w:line="249" w:lineRule="auto"/>
        <w:ind w:left="197" w:right="443" w:hanging="10"/>
        <w:jc w:val="center"/>
      </w:pPr>
      <w:r>
        <w:rPr>
          <w:rFonts w:ascii="Arial" w:eastAsia="Arial" w:hAnsi="Arial" w:cs="Arial"/>
          <w:b/>
        </w:rPr>
        <w:t xml:space="preserve">PROPUESTA DE FÓRMULA DE REVISIÓN DE PRECIOS. </w:t>
      </w:r>
    </w:p>
    <w:p w:rsidR="00FF384B" w:rsidRDefault="003E3BA9">
      <w:pPr>
        <w:spacing w:after="5" w:line="247" w:lineRule="auto"/>
        <w:ind w:left="10" w:right="244" w:hanging="10"/>
        <w:jc w:val="both"/>
      </w:pPr>
      <w:r>
        <w:rPr>
          <w:rFonts w:ascii="Arial" w:eastAsia="Arial" w:hAnsi="Arial" w:cs="Arial"/>
        </w:rPr>
        <w:t>La fórmula de revisión de precios, que a continuación se propone será aplicable exc</w:t>
      </w:r>
      <w:r>
        <w:rPr>
          <w:rFonts w:ascii="Arial" w:eastAsia="Arial" w:hAnsi="Arial" w:cs="Arial"/>
        </w:rPr>
        <w:t xml:space="preserve">lusivamente bajo los requisitos establecidos en el artículo 8 del Real Decreto 55/2017: </w:t>
      </w:r>
    </w:p>
    <w:p w:rsidR="00FF384B" w:rsidRDefault="003E3BA9">
      <w:pPr>
        <w:spacing w:after="0"/>
      </w:pPr>
      <w:r>
        <w:rPr>
          <w:noProof/>
        </w:rPr>
        <mc:AlternateContent>
          <mc:Choice Requires="wpg">
            <w:drawing>
              <wp:anchor distT="0" distB="0" distL="114300" distR="114300" simplePos="0" relativeHeight="2519070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18024" name="Group 5180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239" name="Picture 45239"/>
                          <pic:cNvPicPr/>
                        </pic:nvPicPr>
                        <pic:blipFill>
                          <a:blip r:embed="rId62"/>
                          <a:stretch>
                            <a:fillRect/>
                          </a:stretch>
                        </pic:blipFill>
                        <pic:spPr>
                          <a:xfrm rot="-5399999">
                            <a:off x="-1720849" y="1720849"/>
                            <a:ext cx="3797300" cy="355601"/>
                          </a:xfrm>
                          <a:prstGeom prst="rect">
                            <a:avLst/>
                          </a:prstGeom>
                        </pic:spPr>
                      </pic:pic>
                      <wps:wsp>
                        <wps:cNvPr id="45240" name="Rectangle 4524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241" name="Rectangle 4524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8024" style="width:41.2715pt;height:299pt;position:absolute;mso-position-horizontal-relative:page;mso-position-horizontal:absolute;margin-left:653.71pt;mso-position-vertical-relative:page;margin-top:512.92pt;" coordsize="5241,37973">
                <v:shape id="Picture 45239" style="position:absolute;width:37973;height:3556;left:-17208;top:17208;rotation:-89;" filled="f">
                  <v:imagedata r:id="rId63"/>
                </v:shape>
                <v:rect id="Rectangle 4524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24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242 de 353 </w:t>
                        </w:r>
                      </w:p>
                    </w:txbxContent>
                  </v:textbox>
                </v:rect>
                <w10:wrap type="square"/>
              </v:group>
            </w:pict>
          </mc:Fallback>
        </mc:AlternateContent>
      </w:r>
      <w:r>
        <w:rPr>
          <w:rFonts w:ascii="Arial" w:eastAsia="Arial" w:hAnsi="Arial" w:cs="Arial"/>
        </w:rPr>
        <w:t xml:space="preserve"> </w:t>
      </w:r>
    </w:p>
    <w:p w:rsidR="00FF384B" w:rsidRDefault="003E3BA9">
      <w:pPr>
        <w:numPr>
          <w:ilvl w:val="0"/>
          <w:numId w:val="287"/>
        </w:numPr>
        <w:spacing w:after="5" w:line="247" w:lineRule="auto"/>
        <w:ind w:right="244" w:hanging="360"/>
        <w:jc w:val="both"/>
      </w:pPr>
      <w:r>
        <w:rPr>
          <w:rFonts w:ascii="Arial" w:eastAsia="Arial" w:hAnsi="Arial" w:cs="Arial"/>
        </w:rPr>
        <w:t xml:space="preserve">Deben haber transcurrido dos años desde la formalización del contrato. </w:t>
      </w:r>
    </w:p>
    <w:p w:rsidR="00FF384B" w:rsidRDefault="003E3BA9">
      <w:pPr>
        <w:numPr>
          <w:ilvl w:val="0"/>
          <w:numId w:val="287"/>
        </w:numPr>
        <w:spacing w:after="5" w:line="247" w:lineRule="auto"/>
        <w:ind w:right="244" w:hanging="360"/>
        <w:jc w:val="both"/>
      </w:pPr>
      <w:r>
        <w:rPr>
          <w:rFonts w:ascii="Arial" w:eastAsia="Arial" w:hAnsi="Arial" w:cs="Arial"/>
        </w:rPr>
        <w:t xml:space="preserve">Debe haberse ejecutado al menos el 20% de su importe. </w:t>
      </w:r>
    </w:p>
    <w:p w:rsidR="00FF384B" w:rsidRDefault="003E3BA9">
      <w:pPr>
        <w:numPr>
          <w:ilvl w:val="0"/>
          <w:numId w:val="287"/>
        </w:numPr>
        <w:spacing w:after="5" w:line="247" w:lineRule="auto"/>
        <w:ind w:right="244" w:hanging="360"/>
        <w:jc w:val="both"/>
      </w:pPr>
      <w:r>
        <w:rPr>
          <w:rFonts w:ascii="Arial" w:eastAsia="Arial" w:hAnsi="Arial" w:cs="Arial"/>
        </w:rPr>
        <w:t>La revisión no podrá tener lugar</w:t>
      </w:r>
      <w:r>
        <w:rPr>
          <w:rFonts w:ascii="Arial" w:eastAsia="Arial" w:hAnsi="Arial" w:cs="Arial"/>
        </w:rPr>
        <w:t xml:space="preserve"> transcurrido el período de recuperación de la inversión del contrato.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La fórmula que se propone incorpora exclusivamente los componentes identificados y justificados anteriormente, que son: </w:t>
      </w:r>
    </w:p>
    <w:p w:rsidR="00FF384B" w:rsidRDefault="003E3BA9">
      <w:pPr>
        <w:spacing w:after="0"/>
      </w:pPr>
      <w:r>
        <w:rPr>
          <w:rFonts w:ascii="Times New Roman" w:eastAsia="Times New Roman" w:hAnsi="Times New Roman" w:cs="Times New Roman"/>
          <w:sz w:val="24"/>
        </w:rPr>
        <w:t xml:space="preserve"> </w:t>
      </w:r>
    </w:p>
    <w:tbl>
      <w:tblPr>
        <w:tblStyle w:val="TableGrid"/>
        <w:tblW w:w="6481" w:type="dxa"/>
        <w:tblInd w:w="1005" w:type="dxa"/>
        <w:tblCellMar>
          <w:top w:w="27" w:type="dxa"/>
          <w:left w:w="36" w:type="dxa"/>
          <w:bottom w:w="0" w:type="dxa"/>
          <w:right w:w="77" w:type="dxa"/>
        </w:tblCellMar>
        <w:tblLook w:val="04A0" w:firstRow="1" w:lastRow="0" w:firstColumn="1" w:lastColumn="0" w:noHBand="0" w:noVBand="1"/>
      </w:tblPr>
      <w:tblGrid>
        <w:gridCol w:w="599"/>
        <w:gridCol w:w="5882"/>
      </w:tblGrid>
      <w:tr w:rsidR="00FF384B">
        <w:trPr>
          <w:trHeight w:val="308"/>
        </w:trPr>
        <w:tc>
          <w:tcPr>
            <w:tcW w:w="6481" w:type="dxa"/>
            <w:gridSpan w:val="2"/>
            <w:tcBorders>
              <w:top w:val="single" w:sz="6" w:space="0" w:color="000000"/>
              <w:left w:val="single" w:sz="6" w:space="0" w:color="000000"/>
              <w:bottom w:val="single" w:sz="12" w:space="0" w:color="000000"/>
              <w:right w:val="single" w:sz="12" w:space="0" w:color="000000"/>
            </w:tcBorders>
            <w:shd w:val="clear" w:color="auto" w:fill="990033"/>
          </w:tcPr>
          <w:p w:rsidR="00FF384B" w:rsidRDefault="003E3BA9">
            <w:pPr>
              <w:spacing w:after="0"/>
              <w:ind w:left="28"/>
              <w:jc w:val="center"/>
            </w:pPr>
            <w:r>
              <w:rPr>
                <w:rFonts w:ascii="Arial" w:eastAsia="Arial" w:hAnsi="Arial" w:cs="Arial"/>
                <w:b/>
                <w:color w:val="FFFFFF"/>
              </w:rPr>
              <w:t>COMPONENTE</w:t>
            </w:r>
          </w:p>
        </w:tc>
      </w:tr>
      <w:tr w:rsidR="00FF384B">
        <w:trPr>
          <w:trHeight w:val="289"/>
        </w:trPr>
        <w:tc>
          <w:tcPr>
            <w:tcW w:w="599" w:type="dxa"/>
            <w:tcBorders>
              <w:top w:val="single" w:sz="12" w:space="0" w:color="000000"/>
              <w:left w:val="single" w:sz="6" w:space="0" w:color="000000"/>
              <w:bottom w:val="single" w:sz="6" w:space="0" w:color="000000"/>
              <w:right w:val="single" w:sz="6" w:space="0" w:color="000000"/>
            </w:tcBorders>
            <w:shd w:val="clear" w:color="auto" w:fill="BFBFBF"/>
          </w:tcPr>
          <w:p w:rsidR="00FF384B" w:rsidRDefault="003E3BA9">
            <w:pPr>
              <w:spacing w:after="0"/>
            </w:pPr>
            <w:r>
              <w:rPr>
                <w:rFonts w:ascii="Arial" w:eastAsia="Arial" w:hAnsi="Arial" w:cs="Arial"/>
              </w:rPr>
              <w:t>1</w:t>
            </w:r>
          </w:p>
        </w:tc>
        <w:tc>
          <w:tcPr>
            <w:tcW w:w="5882" w:type="dxa"/>
            <w:tcBorders>
              <w:top w:val="single" w:sz="12"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Gastos de personal</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Gastos de bienes corrientes y servicios</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2.1</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Costes variables maquinaria y equipos</w:t>
            </w:r>
          </w:p>
        </w:tc>
      </w:tr>
      <w:tr w:rsidR="00FF384B">
        <w:trPr>
          <w:trHeight w:val="286"/>
        </w:trPr>
        <w:tc>
          <w:tcPr>
            <w:tcW w:w="599" w:type="dxa"/>
            <w:tcBorders>
              <w:top w:val="single" w:sz="6" w:space="0" w:color="000000"/>
              <w:left w:val="single" w:sz="6" w:space="0" w:color="000000"/>
              <w:bottom w:val="single" w:sz="6" w:space="0" w:color="000000"/>
              <w:right w:val="single" w:sz="6" w:space="0" w:color="000000"/>
            </w:tcBorders>
            <w:shd w:val="clear" w:color="auto" w:fill="BFBFBF"/>
          </w:tcPr>
          <w:p w:rsidR="00FF384B" w:rsidRDefault="003E3BA9">
            <w:pPr>
              <w:spacing w:after="0"/>
              <w:jc w:val="both"/>
            </w:pPr>
            <w:r>
              <w:rPr>
                <w:rFonts w:ascii="Arial" w:eastAsia="Arial" w:hAnsi="Arial" w:cs="Arial"/>
              </w:rPr>
              <w:t>2.1.1</w:t>
            </w:r>
          </w:p>
        </w:tc>
        <w:tc>
          <w:tcPr>
            <w:tcW w:w="5882" w:type="dxa"/>
            <w:tcBorders>
              <w:top w:val="single" w:sz="6"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Carburantes y lubricantes</w:t>
            </w:r>
          </w:p>
        </w:tc>
      </w:tr>
      <w:tr w:rsidR="00FF384B">
        <w:trPr>
          <w:trHeight w:val="295"/>
        </w:trPr>
        <w:tc>
          <w:tcPr>
            <w:tcW w:w="599" w:type="dxa"/>
            <w:tcBorders>
              <w:top w:val="single" w:sz="6" w:space="0" w:color="000000"/>
              <w:left w:val="single" w:sz="6" w:space="0" w:color="000000"/>
              <w:bottom w:val="single" w:sz="12" w:space="0" w:color="000000"/>
              <w:right w:val="single" w:sz="6" w:space="0" w:color="000000"/>
            </w:tcBorders>
            <w:shd w:val="clear" w:color="auto" w:fill="BFBFBF"/>
          </w:tcPr>
          <w:p w:rsidR="00FF384B" w:rsidRDefault="003E3BA9">
            <w:pPr>
              <w:spacing w:after="0"/>
              <w:jc w:val="both"/>
            </w:pPr>
            <w:r>
              <w:rPr>
                <w:rFonts w:ascii="Arial" w:eastAsia="Arial" w:hAnsi="Arial" w:cs="Arial"/>
              </w:rPr>
              <w:t>2.1.2</w:t>
            </w:r>
          </w:p>
        </w:tc>
        <w:tc>
          <w:tcPr>
            <w:tcW w:w="5882" w:type="dxa"/>
            <w:tcBorders>
              <w:top w:val="single" w:sz="6" w:space="0" w:color="000000"/>
              <w:left w:val="single" w:sz="6" w:space="0" w:color="000000"/>
              <w:bottom w:val="single" w:sz="12" w:space="0" w:color="000000"/>
              <w:right w:val="single" w:sz="12" w:space="0" w:color="000000"/>
            </w:tcBorders>
            <w:shd w:val="clear" w:color="auto" w:fill="BFBFBF"/>
          </w:tcPr>
          <w:p w:rsidR="00FF384B" w:rsidRDefault="003E3BA9">
            <w:pPr>
              <w:spacing w:after="0"/>
              <w:ind w:left="2"/>
            </w:pPr>
            <w:r>
              <w:rPr>
                <w:rFonts w:ascii="Arial" w:eastAsia="Arial" w:hAnsi="Arial" w:cs="Arial"/>
              </w:rPr>
              <w:t>Mantenimiento y reparaciones de maquinaria y equipos</w:t>
            </w:r>
          </w:p>
        </w:tc>
      </w:tr>
    </w:tbl>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Para cada uno de estos componentes se representa con el subíndice t los valores de los índices de precios en la fecha de aplicación de la revisión del precio del contrato, y con el subíndice 0 los valores de dichos índices en la fecha de origen a considera</w:t>
      </w:r>
      <w:r>
        <w:rPr>
          <w:rFonts w:ascii="Arial" w:eastAsia="Arial" w:hAnsi="Arial" w:cs="Arial"/>
        </w:rPr>
        <w:t xml:space="preserve">r para la revisión de precios del contrato.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Así, el valor del K</w:t>
      </w:r>
      <w:r>
        <w:rPr>
          <w:rFonts w:ascii="Arial" w:eastAsia="Arial" w:hAnsi="Arial" w:cs="Arial"/>
          <w:vertAlign w:val="subscript"/>
        </w:rPr>
        <w:t>t</w:t>
      </w:r>
      <w:r>
        <w:rPr>
          <w:rFonts w:ascii="Arial" w:eastAsia="Arial" w:hAnsi="Arial" w:cs="Arial"/>
        </w:rPr>
        <w:t xml:space="preserve"> es el coeficiente de revisión resultante de la aplicación de la fórmula entre el momento de revisión y el momento considerado origen a efectos de revisión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Por tanto, la fó</w:t>
      </w:r>
      <w:r>
        <w:rPr>
          <w:rFonts w:ascii="Arial" w:eastAsia="Arial" w:hAnsi="Arial" w:cs="Arial"/>
        </w:rPr>
        <w:t xml:space="preserve">rmula de revisión de precios toma la siguiente forma: </w:t>
      </w:r>
    </w:p>
    <w:p w:rsidR="00FF384B" w:rsidRDefault="003E3BA9">
      <w:pPr>
        <w:spacing w:after="0"/>
        <w:ind w:left="-29"/>
      </w:pPr>
      <w:r>
        <w:rPr>
          <w:noProof/>
        </w:rPr>
        <mc:AlternateContent>
          <mc:Choice Requires="wpg">
            <w:drawing>
              <wp:inline distT="0" distB="0" distL="0" distR="0">
                <wp:extent cx="5436997" cy="394372"/>
                <wp:effectExtent l="0" t="0" r="0" b="0"/>
                <wp:docPr id="491723" name="Group 491723"/>
                <wp:cNvGraphicFramePr/>
                <a:graphic xmlns:a="http://schemas.openxmlformats.org/drawingml/2006/main">
                  <a:graphicData uri="http://schemas.microsoft.com/office/word/2010/wordprocessingGroup">
                    <wpg:wgp>
                      <wpg:cNvGrpSpPr/>
                      <wpg:grpSpPr>
                        <a:xfrm>
                          <a:off x="0" y="0"/>
                          <a:ext cx="5436997" cy="394372"/>
                          <a:chOff x="0" y="0"/>
                          <a:chExt cx="5436997" cy="394372"/>
                        </a:xfrm>
                      </wpg:grpSpPr>
                      <wps:wsp>
                        <wps:cNvPr id="567134" name="Shape 567134"/>
                        <wps:cNvSpPr/>
                        <wps:spPr>
                          <a:xfrm>
                            <a:off x="0" y="0"/>
                            <a:ext cx="5436997" cy="373380"/>
                          </a:xfrm>
                          <a:custGeom>
                            <a:avLst/>
                            <a:gdLst/>
                            <a:ahLst/>
                            <a:cxnLst/>
                            <a:rect l="0" t="0" r="0" b="0"/>
                            <a:pathLst>
                              <a:path w="5436997" h="373380">
                                <a:moveTo>
                                  <a:pt x="0" y="0"/>
                                </a:moveTo>
                                <a:lnTo>
                                  <a:pt x="5436997" y="0"/>
                                </a:lnTo>
                                <a:lnTo>
                                  <a:pt x="5436997" y="373380"/>
                                </a:lnTo>
                                <a:lnTo>
                                  <a:pt x="0" y="37338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5256" name="Rectangle 45256"/>
                        <wps:cNvSpPr/>
                        <wps:spPr>
                          <a:xfrm>
                            <a:off x="1366977" y="119203"/>
                            <a:ext cx="155465" cy="202692"/>
                          </a:xfrm>
                          <a:prstGeom prst="rect">
                            <a:avLst/>
                          </a:prstGeom>
                          <a:ln>
                            <a:noFill/>
                          </a:ln>
                        </wps:spPr>
                        <wps:txbx>
                          <w:txbxContent>
                            <w:p w:rsidR="00FF384B" w:rsidRDefault="003E3BA9">
                              <w:r>
                                <w:rPr>
                                  <w:rFonts w:ascii="Cambria Math" w:eastAsia="Cambria Math" w:hAnsi="Cambria Math" w:cs="Cambria Math"/>
                                  <w:sz w:val="24"/>
                                </w:rPr>
                                <w:t>𝑲</w:t>
                              </w:r>
                            </w:p>
                          </w:txbxContent>
                        </wps:txbx>
                        <wps:bodyPr horzOverflow="overflow" vert="horz" lIns="0" tIns="0" rIns="0" bIns="0" rtlCol="0">
                          <a:noAutofit/>
                        </wps:bodyPr>
                      </wps:wsp>
                      <wps:wsp>
                        <wps:cNvPr id="45257" name="Rectangle 45257"/>
                        <wps:cNvSpPr/>
                        <wps:spPr>
                          <a:xfrm>
                            <a:off x="1484706" y="184060"/>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258" name="Rectangle 45258"/>
                        <wps:cNvSpPr/>
                        <wps:spPr>
                          <a:xfrm>
                            <a:off x="1579194"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59" name="Rectangle 45259"/>
                        <wps:cNvSpPr/>
                        <wps:spPr>
                          <a:xfrm>
                            <a:off x="1734642" y="119203"/>
                            <a:ext cx="134182" cy="202692"/>
                          </a:xfrm>
                          <a:prstGeom prst="rect">
                            <a:avLst/>
                          </a:prstGeom>
                          <a:ln>
                            <a:noFill/>
                          </a:ln>
                        </wps:spPr>
                        <wps:txbx>
                          <w:txbxContent>
                            <w:p w:rsidR="00FF384B" w:rsidRDefault="003E3BA9">
                              <w:r>
                                <w:rPr>
                                  <w:rFonts w:ascii="Cambria Math" w:eastAsia="Cambria Math" w:hAnsi="Cambria Math" w:cs="Cambria Math"/>
                                  <w:sz w:val="24"/>
                                </w:rPr>
                                <w:t>𝑨</w:t>
                              </w:r>
                            </w:p>
                          </w:txbxContent>
                        </wps:txbx>
                        <wps:bodyPr horzOverflow="overflow" vert="horz" lIns="0" tIns="0" rIns="0" bIns="0" rtlCol="0">
                          <a:noAutofit/>
                        </wps:bodyPr>
                      </wps:wsp>
                      <wps:wsp>
                        <wps:cNvPr id="45260" name="Rectangle 45260"/>
                        <wps:cNvSpPr/>
                        <wps:spPr>
                          <a:xfrm>
                            <a:off x="1870278"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61" name="Rectangle 45261"/>
                        <wps:cNvSpPr/>
                        <wps:spPr>
                          <a:xfrm>
                            <a:off x="1976958"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62" name="Rectangle 45262"/>
                        <wps:cNvSpPr/>
                        <wps:spPr>
                          <a:xfrm>
                            <a:off x="2060778" y="3379"/>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45263" name="Rectangle 45263"/>
                        <wps:cNvSpPr/>
                        <wps:spPr>
                          <a:xfrm>
                            <a:off x="2181174"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264" name="Rectangle 45264"/>
                        <wps:cNvSpPr/>
                        <wps:spPr>
                          <a:xfrm>
                            <a:off x="2053158" y="221311"/>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45265" name="Rectangle 45265"/>
                        <wps:cNvSpPr/>
                        <wps:spPr>
                          <a:xfrm>
                            <a:off x="2173554"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135" name="Shape 567135"/>
                        <wps:cNvSpPr/>
                        <wps:spPr>
                          <a:xfrm>
                            <a:off x="2053158" y="188976"/>
                            <a:ext cx="188976" cy="10668"/>
                          </a:xfrm>
                          <a:custGeom>
                            <a:avLst/>
                            <a:gdLst/>
                            <a:ahLst/>
                            <a:cxnLst/>
                            <a:rect l="0" t="0" r="0" b="0"/>
                            <a:pathLst>
                              <a:path w="188976" h="10668">
                                <a:moveTo>
                                  <a:pt x="0" y="0"/>
                                </a:moveTo>
                                <a:lnTo>
                                  <a:pt x="188976" y="0"/>
                                </a:lnTo>
                                <a:lnTo>
                                  <a:pt x="1889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7" name="Rectangle 45267"/>
                        <wps:cNvSpPr/>
                        <wps:spPr>
                          <a:xfrm>
                            <a:off x="2242134"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68" name="Rectangle 45268"/>
                        <wps:cNvSpPr/>
                        <wps:spPr>
                          <a:xfrm>
                            <a:off x="2350338"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69" name="Rectangle 45269"/>
                        <wps:cNvSpPr/>
                        <wps:spPr>
                          <a:xfrm>
                            <a:off x="2498166" y="119203"/>
                            <a:ext cx="146546" cy="202692"/>
                          </a:xfrm>
                          <a:prstGeom prst="rect">
                            <a:avLst/>
                          </a:prstGeom>
                          <a:ln>
                            <a:noFill/>
                          </a:ln>
                        </wps:spPr>
                        <wps:txbx>
                          <w:txbxContent>
                            <w:p w:rsidR="00FF384B" w:rsidRDefault="003E3BA9">
                              <w:r>
                                <w:rPr>
                                  <w:rFonts w:ascii="Cambria Math" w:eastAsia="Cambria Math" w:hAnsi="Cambria Math" w:cs="Cambria Math"/>
                                  <w:sz w:val="24"/>
                                </w:rPr>
                                <w:t>𝑩</w:t>
                              </w:r>
                            </w:p>
                          </w:txbxContent>
                        </wps:txbx>
                        <wps:bodyPr horzOverflow="overflow" vert="horz" lIns="0" tIns="0" rIns="0" bIns="0" rtlCol="0">
                          <a:noAutofit/>
                        </wps:bodyPr>
                      </wps:wsp>
                      <wps:wsp>
                        <wps:cNvPr id="45270" name="Rectangle 45270"/>
                        <wps:cNvSpPr/>
                        <wps:spPr>
                          <a:xfrm>
                            <a:off x="2642946"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71" name="Rectangle 45271"/>
                        <wps:cNvSpPr/>
                        <wps:spPr>
                          <a:xfrm>
                            <a:off x="274962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72" name="Rectangle 45272"/>
                        <wps:cNvSpPr/>
                        <wps:spPr>
                          <a:xfrm>
                            <a:off x="2833446" y="3379"/>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45273" name="Rectangle 45273"/>
                        <wps:cNvSpPr/>
                        <wps:spPr>
                          <a:xfrm>
                            <a:off x="2934030"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274" name="Rectangle 45274"/>
                        <wps:cNvSpPr/>
                        <wps:spPr>
                          <a:xfrm>
                            <a:off x="2824302" y="221311"/>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45275" name="Rectangle 45275"/>
                        <wps:cNvSpPr/>
                        <wps:spPr>
                          <a:xfrm>
                            <a:off x="2924886"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136" name="Shape 567136"/>
                        <wps:cNvSpPr/>
                        <wps:spPr>
                          <a:xfrm>
                            <a:off x="2824302" y="188976"/>
                            <a:ext cx="169164" cy="10668"/>
                          </a:xfrm>
                          <a:custGeom>
                            <a:avLst/>
                            <a:gdLst/>
                            <a:ahLst/>
                            <a:cxnLst/>
                            <a:rect l="0" t="0" r="0" b="0"/>
                            <a:pathLst>
                              <a:path w="169164" h="10668">
                                <a:moveTo>
                                  <a:pt x="0" y="0"/>
                                </a:moveTo>
                                <a:lnTo>
                                  <a:pt x="169164" y="0"/>
                                </a:lnTo>
                                <a:lnTo>
                                  <a:pt x="16916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7" name="Rectangle 45277"/>
                        <wps:cNvSpPr/>
                        <wps:spPr>
                          <a:xfrm>
                            <a:off x="299346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78" name="Rectangle 45278"/>
                        <wps:cNvSpPr/>
                        <wps:spPr>
                          <a:xfrm>
                            <a:off x="3103194"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79" name="Rectangle 45279"/>
                        <wps:cNvSpPr/>
                        <wps:spPr>
                          <a:xfrm>
                            <a:off x="3251276" y="119203"/>
                            <a:ext cx="127088" cy="202692"/>
                          </a:xfrm>
                          <a:prstGeom prst="rect">
                            <a:avLst/>
                          </a:prstGeom>
                          <a:ln>
                            <a:noFill/>
                          </a:ln>
                        </wps:spPr>
                        <wps:txbx>
                          <w:txbxContent>
                            <w:p w:rsidR="00FF384B" w:rsidRDefault="003E3BA9">
                              <w:r>
                                <w:rPr>
                                  <w:rFonts w:ascii="Cambria Math" w:eastAsia="Cambria Math" w:hAnsi="Cambria Math" w:cs="Cambria Math"/>
                                  <w:sz w:val="24"/>
                                </w:rPr>
                                <w:t>𝑪</w:t>
                              </w:r>
                            </w:p>
                          </w:txbxContent>
                        </wps:txbx>
                        <wps:bodyPr horzOverflow="overflow" vert="horz" lIns="0" tIns="0" rIns="0" bIns="0" rtlCol="0">
                          <a:noAutofit/>
                        </wps:bodyPr>
                      </wps:wsp>
                      <wps:wsp>
                        <wps:cNvPr id="45280" name="Rectangle 45280"/>
                        <wps:cNvSpPr/>
                        <wps:spPr>
                          <a:xfrm>
                            <a:off x="3380816" y="119203"/>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81" name="Rectangle 45281"/>
                        <wps:cNvSpPr/>
                        <wps:spPr>
                          <a:xfrm>
                            <a:off x="3487496"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82" name="Rectangle 45282"/>
                        <wps:cNvSpPr/>
                        <wps:spPr>
                          <a:xfrm>
                            <a:off x="3572840" y="3379"/>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45283" name="Rectangle 45283"/>
                        <wps:cNvSpPr/>
                        <wps:spPr>
                          <a:xfrm>
                            <a:off x="3639896"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284" name="Rectangle 45284"/>
                        <wps:cNvSpPr/>
                        <wps:spPr>
                          <a:xfrm>
                            <a:off x="3563696" y="221311"/>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45285" name="Rectangle 45285"/>
                        <wps:cNvSpPr/>
                        <wps:spPr>
                          <a:xfrm>
                            <a:off x="3630752" y="28616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137" name="Shape 567137"/>
                        <wps:cNvSpPr/>
                        <wps:spPr>
                          <a:xfrm>
                            <a:off x="3563696" y="188976"/>
                            <a:ext cx="135636" cy="10668"/>
                          </a:xfrm>
                          <a:custGeom>
                            <a:avLst/>
                            <a:gdLst/>
                            <a:ahLst/>
                            <a:cxnLst/>
                            <a:rect l="0" t="0" r="0" b="0"/>
                            <a:pathLst>
                              <a:path w="135636" h="10668">
                                <a:moveTo>
                                  <a:pt x="0" y="0"/>
                                </a:moveTo>
                                <a:lnTo>
                                  <a:pt x="135636" y="0"/>
                                </a:lnTo>
                                <a:lnTo>
                                  <a:pt x="1356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7" name="Rectangle 45287"/>
                        <wps:cNvSpPr/>
                        <wps:spPr>
                          <a:xfrm>
                            <a:off x="3699332" y="119203"/>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88" name="Rectangle 45288"/>
                        <wps:cNvSpPr/>
                        <wps:spPr>
                          <a:xfrm>
                            <a:off x="3807536" y="119203"/>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289" name="Rectangle 45289"/>
                        <wps:cNvSpPr/>
                        <wps:spPr>
                          <a:xfrm>
                            <a:off x="3955364" y="119203"/>
                            <a:ext cx="152019" cy="202692"/>
                          </a:xfrm>
                          <a:prstGeom prst="rect">
                            <a:avLst/>
                          </a:prstGeom>
                          <a:ln>
                            <a:noFill/>
                          </a:ln>
                        </wps:spPr>
                        <wps:txbx>
                          <w:txbxContent>
                            <w:p w:rsidR="00FF384B" w:rsidRDefault="003E3BA9">
                              <w:r>
                                <w:rPr>
                                  <w:rFonts w:ascii="Cambria Math" w:eastAsia="Cambria Math" w:hAnsi="Cambria Math" w:cs="Cambria Math"/>
                                  <w:sz w:val="24"/>
                                </w:rPr>
                                <w:t>𝑫</w:t>
                              </w:r>
                            </w:p>
                          </w:txbxContent>
                        </wps:txbx>
                        <wps:bodyPr horzOverflow="overflow" vert="horz" lIns="0" tIns="0" rIns="0" bIns="0" rtlCol="0">
                          <a:noAutofit/>
                        </wps:bodyPr>
                      </wps:wsp>
                      <wps:wsp>
                        <wps:cNvPr id="45290" name="Rectangle 45290"/>
                        <wps:cNvSpPr/>
                        <wps:spPr>
                          <a:xfrm>
                            <a:off x="4069664" y="101956"/>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1723" style="width:428.11pt;height:31.0529pt;mso-position-horizontal-relative:char;mso-position-vertical-relative:line" coordsize="54369,3943">
                <v:shape id="Shape 567138" style="position:absolute;width:54369;height:3733;left:0;top:0;" coordsize="5436997,373380" path="m0,0l5436997,0l5436997,373380l0,373380l0,0">
                  <v:stroke weight="0pt" endcap="flat" joinstyle="miter" miterlimit="10" on="false" color="#000000" opacity="0"/>
                  <v:fill on="true" color="#f2f2f2"/>
                </v:shape>
                <v:rect id="Rectangle 45256" style="position:absolute;width:1554;height:2026;left:13669;top:1192;" filled="f" stroked="f">
                  <v:textbox inset="0,0,0,0">
                    <w:txbxContent>
                      <w:p>
                        <w:pPr>
                          <w:spacing w:before="0" w:after="160" w:line="259" w:lineRule="auto"/>
                        </w:pPr>
                        <w:r>
                          <w:rPr>
                            <w:rFonts w:cs="Cambria Math" w:hAnsi="Cambria Math" w:eastAsia="Cambria Math" w:ascii="Cambria Math"/>
                            <w:sz w:val="24"/>
                          </w:rPr>
                          <w:t xml:space="preserve">𝑲</w:t>
                        </w:r>
                      </w:p>
                    </w:txbxContent>
                  </v:textbox>
                </v:rect>
                <v:rect id="Rectangle 45257" style="position:absolute;width:602;height:1439;left:14847;top:1840;"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258" style="position:absolute;width:1514;height:2026;left:1579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59" style="position:absolute;width:1341;height:2026;left:17346;top:1192;" filled="f" stroked="f">
                  <v:textbox inset="0,0,0,0">
                    <w:txbxContent>
                      <w:p>
                        <w:pPr>
                          <w:spacing w:before="0" w:after="160" w:line="259" w:lineRule="auto"/>
                        </w:pPr>
                        <w:r>
                          <w:rPr>
                            <w:rFonts w:cs="Cambria Math" w:hAnsi="Cambria Math" w:eastAsia="Cambria Math" w:ascii="Cambria Math"/>
                            <w:sz w:val="24"/>
                          </w:rPr>
                          <w:t xml:space="preserve">𝑨</w:t>
                        </w:r>
                      </w:p>
                    </w:txbxContent>
                  </v:textbox>
                </v:rect>
                <v:rect id="Rectangle 45260" style="position:absolute;width:979;height:2026;left:18702;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61" style="position:absolute;width:1001;height:2026;left:1976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62" style="position:absolute;width:1597;height:2026;left:20607;top:3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45263" style="position:absolute;width:602;height:1439;left:21811;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264" style="position:absolute;width:1597;height:2026;left:20531;top:221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45265" style="position:absolute;width:833;height:1439;left:21735;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39" style="position:absolute;width:1889;height:106;left:20531;top:1889;" coordsize="188976,10668" path="m0,0l188976,0l188976,10668l0,10668l0,0">
                  <v:stroke weight="0pt" endcap="flat" joinstyle="miter" miterlimit="10" on="false" color="#000000" opacity="0"/>
                  <v:fill on="true" color="#000000"/>
                </v:shape>
                <v:rect id="Rectangle 45267" style="position:absolute;width:1001;height:2026;left:2242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68" style="position:absolute;width:1514;height:2026;left:2350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69" style="position:absolute;width:1465;height:2026;left:24981;top:1192;" filled="f" stroked="f">
                  <v:textbox inset="0,0,0,0">
                    <w:txbxContent>
                      <w:p>
                        <w:pPr>
                          <w:spacing w:before="0" w:after="160" w:line="259" w:lineRule="auto"/>
                        </w:pPr>
                        <w:r>
                          <w:rPr>
                            <w:rFonts w:cs="Cambria Math" w:hAnsi="Cambria Math" w:eastAsia="Cambria Math" w:ascii="Cambria Math"/>
                            <w:sz w:val="24"/>
                          </w:rPr>
                          <w:t xml:space="preserve">𝑩</w:t>
                        </w:r>
                      </w:p>
                    </w:txbxContent>
                  </v:textbox>
                </v:rect>
                <v:rect id="Rectangle 45270" style="position:absolute;width:979;height:2026;left:2642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71" style="position:absolute;width:1001;height:2026;left:27496;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72" style="position:absolute;width:1329;height:2026;left:28334;top:3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45273" style="position:absolute;width:602;height:1439;left:29340;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274" style="position:absolute;width:1329;height:2026;left:28243;top:221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45275" style="position:absolute;width:833;height:1439;left:29248;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40" style="position:absolute;width:1691;height:106;left:28243;top:1889;" coordsize="169164,10668" path="m0,0l169164,0l169164,10668l0,10668l0,0">
                  <v:stroke weight="0pt" endcap="flat" joinstyle="miter" miterlimit="10" on="false" color="#000000" opacity="0"/>
                  <v:fill on="true" color="#000000"/>
                </v:shape>
                <v:rect id="Rectangle 45277" style="position:absolute;width:1001;height:2026;left:2993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78" style="position:absolute;width:1514;height:2026;left:3103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79" style="position:absolute;width:1270;height:2026;left:32512;top:1192;" filled="f" stroked="f">
                  <v:textbox inset="0,0,0,0">
                    <w:txbxContent>
                      <w:p>
                        <w:pPr>
                          <w:spacing w:before="0" w:after="160" w:line="259" w:lineRule="auto"/>
                        </w:pPr>
                        <w:r>
                          <w:rPr>
                            <w:rFonts w:cs="Cambria Math" w:hAnsi="Cambria Math" w:eastAsia="Cambria Math" w:ascii="Cambria Math"/>
                            <w:sz w:val="24"/>
                          </w:rPr>
                          <w:t xml:space="preserve">𝑪</w:t>
                        </w:r>
                      </w:p>
                    </w:txbxContent>
                  </v:textbox>
                </v:rect>
                <v:rect id="Rectangle 45280" style="position:absolute;width:979;height:2026;left:33808;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81" style="position:absolute;width:1001;height:2026;left:3487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82" style="position:absolute;width:883;height:2026;left:35728;top:3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45283" style="position:absolute;width:602;height:1439;left:36398;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284" style="position:absolute;width:883;height:2026;left:35636;top:221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45285" style="position:absolute;width:833;height:1439;left:36307;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141" style="position:absolute;width:1356;height:106;left:35636;top:1889;" coordsize="135636,10668" path="m0,0l135636,0l135636,10668l0,10668l0,0">
                  <v:stroke weight="0pt" endcap="flat" joinstyle="miter" miterlimit="10" on="false" color="#000000" opacity="0"/>
                  <v:fill on="true" color="#000000"/>
                </v:shape>
                <v:rect id="Rectangle 45287" style="position:absolute;width:1001;height:2026;left:3699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88" style="position:absolute;width:1514;height:2026;left:38075;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289" style="position:absolute;width:1520;height:2026;left:39553;top:1192;" filled="f" stroked="f">
                  <v:textbox inset="0,0,0,0">
                    <w:txbxContent>
                      <w:p>
                        <w:pPr>
                          <w:spacing w:before="0" w:after="160" w:line="259" w:lineRule="auto"/>
                        </w:pPr>
                        <w:r>
                          <w:rPr>
                            <w:rFonts w:cs="Cambria Math" w:hAnsi="Cambria Math" w:eastAsia="Cambria Math" w:ascii="Cambria Math"/>
                            <w:sz w:val="24"/>
                          </w:rPr>
                          <w:t xml:space="preserve">𝑫</w:t>
                        </w:r>
                      </w:p>
                    </w:txbxContent>
                  </v:textbox>
                </v:rect>
                <v:rect id="Rectangle 45290" style="position:absolute;width:506;height:2243;left:40696;top:10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15" w:line="247" w:lineRule="auto"/>
        <w:ind w:left="3" w:hanging="3"/>
        <w:jc w:val="both"/>
      </w:pPr>
      <w:r>
        <w:rPr>
          <w:rFonts w:ascii="Arial" w:eastAsia="Arial" w:hAnsi="Arial" w:cs="Arial"/>
          <w:b/>
        </w:rPr>
        <w:t xml:space="preserve">A: Peso del coste de la mano de obra en tanto por uno (0,7287) </w:t>
      </w:r>
    </w:p>
    <w:p w:rsidR="00FF384B" w:rsidRDefault="003E3BA9">
      <w:pPr>
        <w:spacing w:after="16"/>
      </w:pPr>
      <w:r>
        <w:rPr>
          <w:rFonts w:ascii="Times New Roman" w:eastAsia="Times New Roman" w:hAnsi="Times New Roman" w:cs="Times New Roman"/>
          <w:sz w:val="24"/>
        </w:rPr>
        <w:t xml:space="preserve"> </w:t>
      </w:r>
    </w:p>
    <w:p w:rsidR="00FF384B" w:rsidRDefault="003E3BA9">
      <w:pPr>
        <w:numPr>
          <w:ilvl w:val="0"/>
          <w:numId w:val="288"/>
        </w:numPr>
        <w:spacing w:after="5" w:line="247" w:lineRule="auto"/>
        <w:ind w:right="244" w:hanging="360"/>
        <w:jc w:val="both"/>
      </w:pPr>
      <w:r>
        <w:rPr>
          <w:rFonts w:ascii="Arial" w:eastAsia="Arial" w:hAnsi="Arial" w:cs="Arial"/>
          <w:b/>
        </w:rPr>
        <w:t>H</w:t>
      </w:r>
      <w:r>
        <w:rPr>
          <w:rFonts w:ascii="Arial" w:eastAsia="Arial" w:hAnsi="Arial" w:cs="Arial"/>
          <w:b/>
          <w:vertAlign w:val="subscript"/>
        </w:rPr>
        <w:t>t</w:t>
      </w:r>
      <w:r>
        <w:rPr>
          <w:rFonts w:ascii="Arial" w:eastAsia="Arial" w:hAnsi="Arial" w:cs="Arial"/>
          <w:b/>
        </w:rPr>
        <w:t>:</w:t>
      </w:r>
      <w:r>
        <w:rPr>
          <w:rFonts w:ascii="Arial" w:eastAsia="Arial" w:hAnsi="Arial" w:cs="Arial"/>
        </w:rPr>
        <w:t xml:space="preserve"> Variación salarial media pactada a nivel estatal por el sector, y publicada por el Ministerio de Empleo y Seguridad Social, Subdirección General de Estadística, para la "Actividad 38. Re</w:t>
      </w:r>
      <w:r>
        <w:rPr>
          <w:rFonts w:ascii="Arial" w:eastAsia="Arial" w:hAnsi="Arial" w:cs="Arial"/>
        </w:rPr>
        <w:t>cogida, tratamiento y eliminación de residuos; valorización" según la nomenclatura CNAE2009 en el momento de la revisión del precio del contrato.</w:t>
      </w:r>
      <w:r>
        <w:rPr>
          <w:rFonts w:ascii="Times New Roman" w:eastAsia="Times New Roman" w:hAnsi="Times New Roman" w:cs="Times New Roman"/>
          <w:sz w:val="24"/>
        </w:rPr>
        <w:t xml:space="preserve"> </w:t>
      </w:r>
    </w:p>
    <w:p w:rsidR="00FF384B" w:rsidRDefault="003E3BA9">
      <w:pPr>
        <w:spacing w:after="16"/>
      </w:pPr>
      <w:r>
        <w:rPr>
          <w:rFonts w:ascii="Times New Roman" w:eastAsia="Times New Roman" w:hAnsi="Times New Roman" w:cs="Times New Roman"/>
          <w:sz w:val="24"/>
        </w:rPr>
        <w:t xml:space="preserve"> </w:t>
      </w:r>
    </w:p>
    <w:p w:rsidR="00FF384B" w:rsidRDefault="003E3BA9">
      <w:pPr>
        <w:numPr>
          <w:ilvl w:val="0"/>
          <w:numId w:val="288"/>
        </w:numPr>
        <w:spacing w:after="5" w:line="247" w:lineRule="auto"/>
        <w:ind w:right="244" w:hanging="360"/>
        <w:jc w:val="both"/>
      </w:pPr>
      <w:r>
        <w:rPr>
          <w:rFonts w:ascii="Arial" w:eastAsia="Arial" w:hAnsi="Arial" w:cs="Arial"/>
          <w:b/>
        </w:rPr>
        <w:t>H</w:t>
      </w:r>
      <w:r>
        <w:rPr>
          <w:rFonts w:ascii="Arial" w:eastAsia="Arial" w:hAnsi="Arial" w:cs="Arial"/>
          <w:b/>
          <w:vertAlign w:val="subscript"/>
        </w:rPr>
        <w:t>0</w:t>
      </w:r>
      <w:r>
        <w:rPr>
          <w:rFonts w:ascii="Arial" w:eastAsia="Arial" w:hAnsi="Arial" w:cs="Arial"/>
          <w:b/>
        </w:rPr>
        <w:t>:</w:t>
      </w:r>
      <w:r>
        <w:rPr>
          <w:rFonts w:ascii="Arial" w:eastAsia="Arial" w:hAnsi="Arial" w:cs="Arial"/>
        </w:rPr>
        <w:t xml:space="preserve"> </w:t>
      </w:r>
      <w:r>
        <w:rPr>
          <w:rFonts w:ascii="Arial" w:eastAsia="Arial" w:hAnsi="Arial" w:cs="Arial"/>
        </w:rPr>
        <w:t xml:space="preserve">Variación salarial media pactada a nivel estatal por el sector, y publicada por el Ministerio de Empleo y Seguridad Social, Subdirección General de Estadística, para la "Actividad 38. Recogida, tratamiento y eliminación de residuos; valorización" según la </w:t>
      </w:r>
      <w:r>
        <w:rPr>
          <w:rFonts w:ascii="Arial" w:eastAsia="Arial" w:hAnsi="Arial" w:cs="Arial"/>
        </w:rPr>
        <w:t>nomenclatura CNAE2009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B: Peso del coste de servicios de mantenimiento y reparación en tanto por uno (0,0519) </w:t>
      </w:r>
    </w:p>
    <w:p w:rsidR="00FF384B" w:rsidRDefault="003E3BA9">
      <w:pPr>
        <w:spacing w:after="33"/>
      </w:pPr>
      <w:r>
        <w:rPr>
          <w:rFonts w:ascii="Arial" w:eastAsia="Arial" w:hAnsi="Arial" w:cs="Arial"/>
        </w:rPr>
        <w:t xml:space="preserve"> </w:t>
      </w:r>
    </w:p>
    <w:p w:rsidR="00FF384B" w:rsidRDefault="003E3BA9">
      <w:pPr>
        <w:numPr>
          <w:ilvl w:val="0"/>
          <w:numId w:val="288"/>
        </w:numPr>
        <w:spacing w:after="5" w:line="247" w:lineRule="auto"/>
        <w:ind w:right="244" w:hanging="360"/>
        <w:jc w:val="both"/>
      </w:pPr>
      <w:r>
        <w:rPr>
          <w:rFonts w:ascii="Arial" w:eastAsia="Arial" w:hAnsi="Arial" w:cs="Arial"/>
          <w:b/>
        </w:rPr>
        <w:t>E</w:t>
      </w:r>
      <w:r>
        <w:rPr>
          <w:rFonts w:ascii="Arial" w:eastAsia="Arial" w:hAnsi="Arial" w:cs="Arial"/>
          <w:b/>
          <w:vertAlign w:val="subscript"/>
        </w:rPr>
        <w:t>t</w:t>
      </w:r>
      <w:r>
        <w:rPr>
          <w:rFonts w:ascii="Arial" w:eastAsia="Arial" w:hAnsi="Arial" w:cs="Arial"/>
        </w:rPr>
        <w:t>: variación a nivel estatal del índice de precios de consumo (IPC) de la clase "Servicios</w:t>
      </w:r>
      <w:r>
        <w:rPr>
          <w:rFonts w:ascii="Arial" w:eastAsia="Arial" w:hAnsi="Arial" w:cs="Arial"/>
        </w:rPr>
        <w:t xml:space="preserve"> de Mantenimiento y reparaciones", publicado por el Instituto Nacional de Estadística (INE) en el momento de la revisión del precio del contrato.</w:t>
      </w:r>
      <w:r>
        <w:rPr>
          <w:rFonts w:ascii="Times New Roman" w:eastAsia="Times New Roman" w:hAnsi="Times New Roman" w:cs="Times New Roman"/>
          <w:sz w:val="24"/>
        </w:rPr>
        <w:t xml:space="preserve"> </w:t>
      </w:r>
    </w:p>
    <w:p w:rsidR="00FF384B" w:rsidRDefault="003E3BA9">
      <w:pPr>
        <w:spacing w:after="33"/>
        <w:ind w:left="720"/>
      </w:pPr>
      <w:r>
        <w:rPr>
          <w:noProof/>
        </w:rPr>
        <mc:AlternateContent>
          <mc:Choice Requires="wpg">
            <w:drawing>
              <wp:anchor distT="0" distB="0" distL="114300" distR="114300" simplePos="0" relativeHeight="2519080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1725" name="Group 49172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402" name="Picture 45402"/>
                          <pic:cNvPicPr/>
                        </pic:nvPicPr>
                        <pic:blipFill>
                          <a:blip r:embed="rId62"/>
                          <a:stretch>
                            <a:fillRect/>
                          </a:stretch>
                        </pic:blipFill>
                        <pic:spPr>
                          <a:xfrm rot="-5399999">
                            <a:off x="-1720849" y="1720849"/>
                            <a:ext cx="3797300" cy="355601"/>
                          </a:xfrm>
                          <a:prstGeom prst="rect">
                            <a:avLst/>
                          </a:prstGeom>
                        </pic:spPr>
                      </pic:pic>
                      <wps:wsp>
                        <wps:cNvPr id="45403" name="Rectangle 4540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404" name="Rectangle 4540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1725" style="width:41.2715pt;height:299pt;position:absolute;mso-position-horizontal-relative:page;mso-position-horizontal:absolute;margin-left:653.71pt;mso-position-vertical-relative:page;margin-top:512.92pt;" coordsize="5241,37973">
                <v:shape id="Picture 45402" style="position:absolute;width:37973;height:3556;left:-17208;top:17208;rotation:-89;" filled="f">
                  <v:imagedata r:id="rId63"/>
                </v:shape>
                <v:rect id="Rectangle 4540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40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243 de 353 </w:t>
                        </w:r>
                      </w:p>
                    </w:txbxContent>
                  </v:textbox>
                </v:rect>
                <w10:wrap type="square"/>
              </v:group>
            </w:pict>
          </mc:Fallback>
        </mc:AlternateContent>
      </w:r>
      <w:r>
        <w:rPr>
          <w:rFonts w:ascii="Arial" w:eastAsia="Arial" w:hAnsi="Arial" w:cs="Arial"/>
        </w:rPr>
        <w:t xml:space="preserve"> </w:t>
      </w:r>
    </w:p>
    <w:p w:rsidR="00FF384B" w:rsidRDefault="003E3BA9">
      <w:pPr>
        <w:numPr>
          <w:ilvl w:val="0"/>
          <w:numId w:val="288"/>
        </w:numPr>
        <w:spacing w:after="5" w:line="247" w:lineRule="auto"/>
        <w:ind w:right="244" w:hanging="360"/>
        <w:jc w:val="both"/>
      </w:pPr>
      <w:r>
        <w:rPr>
          <w:rFonts w:ascii="Arial" w:eastAsia="Arial" w:hAnsi="Arial" w:cs="Arial"/>
          <w:b/>
        </w:rPr>
        <w:t>E</w:t>
      </w:r>
      <w:r>
        <w:rPr>
          <w:rFonts w:ascii="Arial" w:eastAsia="Arial" w:hAnsi="Arial" w:cs="Arial"/>
          <w:b/>
          <w:vertAlign w:val="subscript"/>
        </w:rPr>
        <w:t>o</w:t>
      </w:r>
      <w:r>
        <w:rPr>
          <w:rFonts w:ascii="Arial" w:eastAsia="Arial" w:hAnsi="Arial" w:cs="Arial"/>
        </w:rPr>
        <w:t>: variación a nivel estatal del índice de precios de consumo (IPC) de la clase "Servicios de Mantenimiento y reparaciones", publicado por el Instituto Nacion</w:t>
      </w:r>
      <w:r>
        <w:rPr>
          <w:rFonts w:ascii="Arial" w:eastAsia="Arial" w:hAnsi="Arial" w:cs="Arial"/>
        </w:rPr>
        <w:t>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C: Peso del coste del combustible/lubricantes en tanto por uno (0,0570) </w:t>
      </w:r>
    </w:p>
    <w:p w:rsidR="00FF384B" w:rsidRDefault="003E3BA9">
      <w:pPr>
        <w:spacing w:after="32"/>
      </w:pPr>
      <w:r>
        <w:rPr>
          <w:rFonts w:ascii="Arial" w:eastAsia="Arial" w:hAnsi="Arial" w:cs="Arial"/>
          <w:b/>
        </w:rPr>
        <w:t xml:space="preserve"> </w:t>
      </w:r>
    </w:p>
    <w:p w:rsidR="00FF384B" w:rsidRDefault="003E3BA9">
      <w:pPr>
        <w:numPr>
          <w:ilvl w:val="0"/>
          <w:numId w:val="288"/>
        </w:numPr>
        <w:spacing w:after="29" w:line="247" w:lineRule="auto"/>
        <w:ind w:right="244" w:hanging="360"/>
        <w:jc w:val="both"/>
      </w:pPr>
      <w:r>
        <w:rPr>
          <w:rFonts w:ascii="Arial" w:eastAsia="Arial" w:hAnsi="Arial" w:cs="Arial"/>
          <w:b/>
        </w:rPr>
        <w:t>I</w:t>
      </w:r>
      <w:r>
        <w:rPr>
          <w:rFonts w:ascii="Arial" w:eastAsia="Arial" w:hAnsi="Arial" w:cs="Arial"/>
          <w:b/>
          <w:vertAlign w:val="subscript"/>
        </w:rPr>
        <w:t>t</w:t>
      </w:r>
      <w:r>
        <w:rPr>
          <w:rFonts w:ascii="Arial" w:eastAsia="Arial" w:hAnsi="Arial" w:cs="Arial"/>
          <w:b/>
        </w:rPr>
        <w:t>:</w:t>
      </w:r>
      <w:r>
        <w:rPr>
          <w:rFonts w:ascii="Arial" w:eastAsia="Arial" w:hAnsi="Arial" w:cs="Arial"/>
        </w:rPr>
        <w:t xml:space="preserve"> variación a nivel estatal del índice de precios de consumo (IPC) de la clase "Carburantes y lubrican</w:t>
      </w:r>
      <w:r>
        <w:rPr>
          <w:rFonts w:ascii="Arial" w:eastAsia="Arial" w:hAnsi="Arial" w:cs="Arial"/>
        </w:rPr>
        <w:t>tes" publicado por el Instituto Nacional de Estadística (INE) en el momento de la revisión del precio del contrato.</w:t>
      </w:r>
      <w:r>
        <w:rPr>
          <w:rFonts w:ascii="Times New Roman" w:eastAsia="Times New Roman" w:hAnsi="Times New Roman" w:cs="Times New Roman"/>
          <w:sz w:val="24"/>
        </w:rPr>
        <w:t xml:space="preserve"> </w:t>
      </w:r>
    </w:p>
    <w:p w:rsidR="00FF384B" w:rsidRDefault="003E3BA9">
      <w:pPr>
        <w:numPr>
          <w:ilvl w:val="0"/>
          <w:numId w:val="288"/>
        </w:numPr>
        <w:spacing w:after="5" w:line="247" w:lineRule="auto"/>
        <w:ind w:right="244" w:hanging="360"/>
        <w:jc w:val="both"/>
      </w:pPr>
      <w:r>
        <w:rPr>
          <w:rFonts w:ascii="Arial" w:eastAsia="Arial" w:hAnsi="Arial" w:cs="Arial"/>
          <w:b/>
        </w:rPr>
        <w:t>I</w:t>
      </w:r>
      <w:r>
        <w:rPr>
          <w:rFonts w:ascii="Arial" w:eastAsia="Arial" w:hAnsi="Arial" w:cs="Arial"/>
          <w:b/>
          <w:vertAlign w:val="subscript"/>
        </w:rPr>
        <w:t>0</w:t>
      </w:r>
      <w:r>
        <w:rPr>
          <w:rFonts w:ascii="Arial" w:eastAsia="Arial" w:hAnsi="Arial" w:cs="Arial"/>
        </w:rPr>
        <w:t>: variación a nivel estatal del índice de precios de consumo (IPC) de la clase "Carburantes y lubricantes" publicado por el Instituto Nac</w:t>
      </w:r>
      <w:r>
        <w:rPr>
          <w:rFonts w:ascii="Arial" w:eastAsia="Arial" w:hAnsi="Arial" w:cs="Arial"/>
        </w:rPr>
        <w:t>ional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b/>
        </w:rPr>
        <w:t xml:space="preserve">D: Amortización/financiación y otros costes no revisables (0,1625) </w:t>
      </w:r>
    </w:p>
    <w:p w:rsidR="00FF384B" w:rsidRDefault="003E3BA9">
      <w:pPr>
        <w:spacing w:after="0"/>
      </w:pPr>
      <w:r>
        <w:rPr>
          <w:rFonts w:ascii="Arial" w:eastAsia="Arial" w:hAnsi="Arial" w:cs="Arial"/>
        </w:rPr>
        <w:t xml:space="preserve"> </w:t>
      </w:r>
    </w:p>
    <w:p w:rsidR="00FF384B" w:rsidRDefault="003E3BA9">
      <w:pPr>
        <w:spacing w:after="15" w:line="247" w:lineRule="auto"/>
        <w:ind w:left="3" w:hanging="3"/>
        <w:jc w:val="both"/>
      </w:pPr>
      <w:r>
        <w:rPr>
          <w:rFonts w:ascii="Arial" w:eastAsia="Arial" w:hAnsi="Arial" w:cs="Arial"/>
        </w:rPr>
        <w:t xml:space="preserve">Por lo tanto, se verifica que: </w:t>
      </w:r>
      <w:r>
        <w:rPr>
          <w:rFonts w:ascii="Arial" w:eastAsia="Arial" w:hAnsi="Arial" w:cs="Arial"/>
          <w:b/>
        </w:rPr>
        <w:t>A+B+C+D= 0,7287+0,0519+0,0570+0,1625= 1</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De este modo, la revisión de p</w:t>
      </w:r>
      <w:r>
        <w:rPr>
          <w:rFonts w:ascii="Arial" w:eastAsia="Arial" w:hAnsi="Arial" w:cs="Arial"/>
        </w:rPr>
        <w:t>recios se llevará a cabo a través de este coeficiente K</w:t>
      </w:r>
      <w:r>
        <w:rPr>
          <w:rFonts w:ascii="Arial" w:eastAsia="Arial" w:hAnsi="Arial" w:cs="Arial"/>
          <w:vertAlign w:val="subscript"/>
        </w:rPr>
        <w:t>t</w:t>
      </w:r>
      <w:r>
        <w:rPr>
          <w:rFonts w:ascii="Arial" w:eastAsia="Arial" w:hAnsi="Arial" w:cs="Arial"/>
        </w:rPr>
        <w:t>, que establecerá la evolución del total del presupuesto de ejecución material del servicio a lo largo del periodo revisable, del modo siguiente:</w:t>
      </w:r>
      <w:r>
        <w:rPr>
          <w:rFonts w:ascii="Times New Roman" w:eastAsia="Times New Roman" w:hAnsi="Times New Roman" w:cs="Times New Roman"/>
          <w:sz w:val="24"/>
        </w:rPr>
        <w:t xml:space="preserve"> </w:t>
      </w:r>
    </w:p>
    <w:p w:rsidR="00FF384B" w:rsidRDefault="003E3BA9">
      <w:pPr>
        <w:spacing w:after="80"/>
      </w:pPr>
      <w:r>
        <w:rPr>
          <w:rFonts w:ascii="Arial" w:eastAsia="Arial" w:hAnsi="Arial" w:cs="Arial"/>
        </w:rPr>
        <w:t xml:space="preserve"> </w:t>
      </w:r>
    </w:p>
    <w:p w:rsidR="00FF384B" w:rsidRDefault="003E3BA9">
      <w:pPr>
        <w:pStyle w:val="Ttulo1"/>
        <w:shd w:val="clear" w:color="auto" w:fill="F2F2F2"/>
        <w:spacing w:after="3" w:line="259" w:lineRule="auto"/>
        <w:ind w:left="31" w:right="283"/>
      </w:pPr>
      <w:r>
        <w:rPr>
          <w:rFonts w:ascii="Cambria Math" w:eastAsia="Cambria Math" w:hAnsi="Cambria Math" w:cs="Cambria Math"/>
          <w:b w:val="0"/>
          <w:sz w:val="24"/>
        </w:rPr>
        <w:t>𝑪</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𝑲</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𝑪</w:t>
      </w:r>
      <w:r>
        <w:rPr>
          <w:rFonts w:ascii="Cambria Math" w:eastAsia="Cambria Math" w:hAnsi="Cambria Math" w:cs="Cambria Math"/>
          <w:b w:val="0"/>
          <w:sz w:val="24"/>
          <w:vertAlign w:val="subscript"/>
        </w:rPr>
        <w:t>0</w:t>
      </w:r>
      <w:r>
        <w:rPr>
          <w:rFonts w:ascii="Times New Roman" w:eastAsia="Times New Roman" w:hAnsi="Times New Roman" w:cs="Times New Roman"/>
          <w:b w:val="0"/>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Siendo: </w:t>
      </w:r>
    </w:p>
    <w:p w:rsidR="00FF384B" w:rsidRDefault="003E3BA9">
      <w:pPr>
        <w:spacing w:after="33"/>
      </w:pPr>
      <w:r>
        <w:rPr>
          <w:rFonts w:ascii="Arial" w:eastAsia="Arial" w:hAnsi="Arial" w:cs="Arial"/>
        </w:rPr>
        <w:t xml:space="preserve"> </w:t>
      </w:r>
    </w:p>
    <w:p w:rsidR="00FF384B" w:rsidRDefault="003E3BA9">
      <w:pPr>
        <w:numPr>
          <w:ilvl w:val="0"/>
          <w:numId w:val="289"/>
        </w:numPr>
        <w:spacing w:after="27" w:line="247" w:lineRule="auto"/>
        <w:ind w:right="244" w:hanging="360"/>
        <w:jc w:val="both"/>
      </w:pPr>
      <w:r>
        <w:rPr>
          <w:rFonts w:ascii="Arial" w:eastAsia="Arial" w:hAnsi="Arial" w:cs="Arial"/>
          <w:b/>
        </w:rPr>
        <w:t>C</w:t>
      </w:r>
      <w:r>
        <w:rPr>
          <w:rFonts w:ascii="Arial" w:eastAsia="Arial" w:hAnsi="Arial" w:cs="Arial"/>
          <w:b/>
          <w:vertAlign w:val="subscript"/>
        </w:rPr>
        <w:t>t</w:t>
      </w:r>
      <w:r>
        <w:rPr>
          <w:rFonts w:ascii="Arial" w:eastAsia="Arial" w:hAnsi="Arial" w:cs="Arial"/>
        </w:rPr>
        <w:t>: Presupuesto de ejecución material en el momento de la revisión del precio del contrato.</w:t>
      </w:r>
      <w:r>
        <w:rPr>
          <w:rFonts w:ascii="Times New Roman" w:eastAsia="Times New Roman" w:hAnsi="Times New Roman" w:cs="Times New Roman"/>
          <w:sz w:val="24"/>
        </w:rPr>
        <w:t xml:space="preserve"> </w:t>
      </w:r>
    </w:p>
    <w:p w:rsidR="00FF384B" w:rsidRDefault="003E3BA9">
      <w:pPr>
        <w:numPr>
          <w:ilvl w:val="0"/>
          <w:numId w:val="289"/>
        </w:numPr>
        <w:spacing w:after="5" w:line="247" w:lineRule="auto"/>
        <w:ind w:right="244" w:hanging="360"/>
        <w:jc w:val="both"/>
      </w:pPr>
      <w:r>
        <w:rPr>
          <w:rFonts w:ascii="Arial" w:eastAsia="Arial" w:hAnsi="Arial" w:cs="Arial"/>
          <w:b/>
        </w:rPr>
        <w:t>C</w:t>
      </w:r>
      <w:r>
        <w:rPr>
          <w:rFonts w:ascii="Arial" w:eastAsia="Arial" w:hAnsi="Arial" w:cs="Arial"/>
          <w:b/>
          <w:vertAlign w:val="subscript"/>
        </w:rPr>
        <w:t>0</w:t>
      </w:r>
      <w:r>
        <w:rPr>
          <w:rFonts w:ascii="Arial" w:eastAsia="Arial" w:hAnsi="Arial" w:cs="Arial"/>
        </w:rPr>
        <w:t>: Presupuesto de ejecución material en el momento de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0"/>
      </w:pPr>
      <w:r>
        <w:rPr>
          <w:rFonts w:ascii="Arial" w:eastAsia="Arial" w:hAnsi="Arial" w:cs="Arial"/>
        </w:rPr>
        <w:t xml:space="preserve"> </w:t>
      </w:r>
    </w:p>
    <w:p w:rsidR="00FF384B" w:rsidRDefault="003E3BA9">
      <w:pPr>
        <w:shd w:val="clear" w:color="auto" w:fill="E0E0E0"/>
        <w:spacing w:after="233" w:line="249" w:lineRule="auto"/>
        <w:ind w:left="197" w:right="446" w:hanging="10"/>
        <w:jc w:val="center"/>
      </w:pPr>
      <w:r>
        <w:rPr>
          <w:rFonts w:ascii="Arial" w:eastAsia="Arial" w:hAnsi="Arial" w:cs="Arial"/>
          <w:b/>
        </w:rPr>
        <w:t xml:space="preserve">INVERSIÓN: PERIODO DE RECUPERACIÓN. </w:t>
      </w:r>
    </w:p>
    <w:p w:rsidR="00FF384B" w:rsidRDefault="003E3BA9">
      <w:pPr>
        <w:spacing w:after="5" w:line="247" w:lineRule="auto"/>
        <w:ind w:left="10" w:right="244" w:hanging="10"/>
        <w:jc w:val="both"/>
      </w:pPr>
      <w:r>
        <w:rPr>
          <w:rFonts w:ascii="Arial" w:eastAsia="Arial" w:hAnsi="Arial" w:cs="Arial"/>
        </w:rPr>
        <w:t>El plazo de duración de los contratos lo</w:t>
      </w:r>
      <w:r>
        <w:rPr>
          <w:rFonts w:ascii="Arial" w:eastAsia="Arial" w:hAnsi="Arial" w:cs="Arial"/>
        </w:rPr>
        <w:t xml:space="preserve"> establece la normativa vigente, tal como se indica a continuación:  </w:t>
      </w:r>
    </w:p>
    <w:p w:rsidR="00FF384B" w:rsidRDefault="003E3BA9">
      <w:pPr>
        <w:spacing w:after="10"/>
      </w:pPr>
      <w:r>
        <w:rPr>
          <w:rFonts w:ascii="Times New Roman" w:eastAsia="Times New Roman" w:hAnsi="Times New Roman" w:cs="Times New Roman"/>
          <w:sz w:val="24"/>
        </w:rPr>
        <w:t xml:space="preserve"> </w:t>
      </w:r>
    </w:p>
    <w:p w:rsidR="00FF384B" w:rsidRDefault="003E3BA9">
      <w:pPr>
        <w:numPr>
          <w:ilvl w:val="0"/>
          <w:numId w:val="289"/>
        </w:numPr>
        <w:spacing w:after="13" w:line="247" w:lineRule="auto"/>
        <w:ind w:right="244" w:hanging="360"/>
        <w:jc w:val="both"/>
      </w:pPr>
      <w:r>
        <w:rPr>
          <w:rFonts w:ascii="Arial" w:eastAsia="Arial" w:hAnsi="Arial" w:cs="Arial"/>
        </w:rPr>
        <w:t xml:space="preserve">La </w:t>
      </w:r>
      <w:r>
        <w:rPr>
          <w:rFonts w:ascii="Arial" w:eastAsia="Arial" w:hAnsi="Arial" w:cs="Arial"/>
          <w:b/>
        </w:rPr>
        <w:t xml:space="preserve">Ley 9/2017 de Contratos del Sector Público </w:t>
      </w:r>
      <w:r>
        <w:rPr>
          <w:rFonts w:ascii="Arial" w:eastAsia="Arial" w:hAnsi="Arial" w:cs="Arial"/>
        </w:rPr>
        <w:t xml:space="preserve">en su </w:t>
      </w:r>
      <w:r>
        <w:rPr>
          <w:rFonts w:ascii="Arial" w:eastAsia="Arial" w:hAnsi="Arial" w:cs="Arial"/>
          <w:b/>
        </w:rPr>
        <w:t xml:space="preserve">Artículo 29 </w:t>
      </w:r>
      <w:r>
        <w:rPr>
          <w:rFonts w:ascii="Arial" w:eastAsia="Arial" w:hAnsi="Arial" w:cs="Arial"/>
        </w:rPr>
        <w:t xml:space="preserve">establece el </w:t>
      </w:r>
      <w:r>
        <w:rPr>
          <w:rFonts w:ascii="Arial" w:eastAsia="Arial" w:hAnsi="Arial" w:cs="Arial"/>
          <w:b/>
          <w:i/>
        </w:rPr>
        <w:t xml:space="preserve">Plazo de duración de los contratos y de ejecución de la prestación.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9091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1645" name="Group 49164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551" name="Picture 45551"/>
                          <pic:cNvPicPr/>
                        </pic:nvPicPr>
                        <pic:blipFill>
                          <a:blip r:embed="rId62"/>
                          <a:stretch>
                            <a:fillRect/>
                          </a:stretch>
                        </pic:blipFill>
                        <pic:spPr>
                          <a:xfrm rot="-5399999">
                            <a:off x="-1720849" y="1720849"/>
                            <a:ext cx="3797300" cy="355601"/>
                          </a:xfrm>
                          <a:prstGeom prst="rect">
                            <a:avLst/>
                          </a:prstGeom>
                        </pic:spPr>
                      </pic:pic>
                      <wps:wsp>
                        <wps:cNvPr id="45552" name="Rectangle 4555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553" name="Rectangle 4555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1645" style="width:41.2715pt;height:299pt;position:absolute;mso-position-horizontal-relative:page;mso-position-horizontal:absolute;margin-left:653.71pt;mso-position-vertical-relative:page;margin-top:512.92pt;" coordsize="5241,37973">
                <v:shape id="Picture 45551" style="position:absolute;width:37973;height:3556;left:-17208;top:17208;rotation:-89;" filled="f">
                  <v:imagedata r:id="rId63"/>
                </v:shape>
                <v:rect id="Rectangle 455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55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244 de 353 </w:t>
                        </w:r>
                      </w:p>
                    </w:txbxContent>
                  </v:textbox>
                </v:rect>
                <w10:wrap type="square"/>
              </v:group>
            </w:pict>
          </mc:Fallback>
        </mc:AlternateContent>
      </w:r>
      <w:r>
        <w:rPr>
          <w:rFonts w:ascii="Arial" w:eastAsia="Arial" w:hAnsi="Arial" w:cs="Arial"/>
        </w:rPr>
        <w:t xml:space="preserve">El </w:t>
      </w:r>
      <w:r>
        <w:rPr>
          <w:rFonts w:ascii="Arial" w:eastAsia="Arial" w:hAnsi="Arial" w:cs="Arial"/>
          <w:b/>
        </w:rPr>
        <w:t xml:space="preserve">Artículo 29.4 </w:t>
      </w:r>
      <w:r>
        <w:rPr>
          <w:rFonts w:ascii="Arial" w:eastAsia="Arial" w:hAnsi="Arial" w:cs="Arial"/>
        </w:rPr>
        <w:t>establece un plazo máximo de duración de los</w:t>
      </w:r>
      <w:r>
        <w:rPr>
          <w:rFonts w:ascii="Arial" w:eastAsia="Arial" w:hAnsi="Arial" w:cs="Arial"/>
        </w:rPr>
        <w:t xml:space="preserve"> contratos de </w:t>
      </w:r>
      <w:r>
        <w:rPr>
          <w:rFonts w:ascii="Arial" w:eastAsia="Arial" w:hAnsi="Arial" w:cs="Arial"/>
          <w:b/>
        </w:rPr>
        <w:t>cinco años</w:t>
      </w:r>
      <w:r>
        <w:rPr>
          <w:rFonts w:ascii="Arial" w:eastAsia="Arial" w:hAnsi="Arial" w:cs="Arial"/>
        </w:rPr>
        <w:t xml:space="preserve">, a excepción de los contratos de suministros y servicios, en los que se podrá establecer un plazo de duración superior cuando lo exija el período de recuperación de las inversiones directamente relacionadas con el contrato y estas </w:t>
      </w:r>
      <w:r>
        <w:rPr>
          <w:rFonts w:ascii="Arial" w:eastAsia="Arial" w:hAnsi="Arial" w:cs="Arial"/>
        </w:rPr>
        <w:t>no sean susceptibles de utilizarse en el resto de la actividad productiva del contratista o su utilización fuera antieconómica, siempre que la amortización de dichas inversiones sea un coste relevante en la prestación del suministro o servicio, circunstanc</w:t>
      </w:r>
      <w:r>
        <w:rPr>
          <w:rFonts w:ascii="Arial" w:eastAsia="Arial" w:hAnsi="Arial" w:cs="Arial"/>
        </w:rPr>
        <w:t>ias que deberán ser justificadas en el expediente de contratación con indicación de las inversiones a las que se refiera y de su período de recuperación.</w:t>
      </w:r>
      <w:r>
        <w:rPr>
          <w:rFonts w:ascii="Times New Roman" w:eastAsia="Times New Roman" w:hAnsi="Times New Roman" w:cs="Times New Roman"/>
          <w:sz w:val="24"/>
        </w:rPr>
        <w:t xml:space="preserve"> </w:t>
      </w:r>
    </w:p>
    <w:p w:rsidR="00FF384B" w:rsidRDefault="003E3BA9">
      <w:pPr>
        <w:spacing w:after="27"/>
      </w:pPr>
      <w:r>
        <w:rPr>
          <w:rFonts w:ascii="Arial" w:eastAsia="Arial" w:hAnsi="Arial" w:cs="Arial"/>
        </w:rPr>
        <w:t xml:space="preserve"> </w:t>
      </w:r>
    </w:p>
    <w:p w:rsidR="00FF384B" w:rsidRDefault="003E3BA9">
      <w:pPr>
        <w:numPr>
          <w:ilvl w:val="0"/>
          <w:numId w:val="289"/>
        </w:numPr>
        <w:spacing w:after="5" w:line="247" w:lineRule="auto"/>
        <w:ind w:right="244" w:hanging="360"/>
        <w:jc w:val="both"/>
      </w:pPr>
      <w:r>
        <w:rPr>
          <w:rFonts w:ascii="Arial" w:eastAsia="Arial" w:hAnsi="Arial" w:cs="Arial"/>
        </w:rPr>
        <w:t xml:space="preserve">El </w:t>
      </w:r>
      <w:r>
        <w:rPr>
          <w:rFonts w:ascii="Arial" w:eastAsia="Arial" w:hAnsi="Arial" w:cs="Arial"/>
          <w:b/>
        </w:rPr>
        <w:t>Real Decreto 55/2017</w:t>
      </w:r>
      <w:r>
        <w:rPr>
          <w:rFonts w:ascii="Arial" w:eastAsia="Arial" w:hAnsi="Arial" w:cs="Arial"/>
        </w:rPr>
        <w:t>, que desarrolla la Ley 2/2015, de 30 de marzo, de desindexación de la econo</w:t>
      </w:r>
      <w:r>
        <w:rPr>
          <w:rFonts w:ascii="Arial" w:eastAsia="Arial" w:hAnsi="Arial" w:cs="Arial"/>
        </w:rPr>
        <w:t xml:space="preserve">mía española, establece en su </w:t>
      </w:r>
      <w:r>
        <w:rPr>
          <w:rFonts w:ascii="Arial" w:eastAsia="Arial" w:hAnsi="Arial" w:cs="Arial"/>
          <w:b/>
        </w:rPr>
        <w:t xml:space="preserve">Artículo 10 </w:t>
      </w:r>
      <w:r>
        <w:rPr>
          <w:rFonts w:ascii="Arial" w:eastAsia="Arial" w:hAnsi="Arial" w:cs="Arial"/>
        </w:rPr>
        <w:t xml:space="preserve">el </w:t>
      </w:r>
      <w:r>
        <w:rPr>
          <w:rFonts w:ascii="Arial" w:eastAsia="Arial" w:hAnsi="Arial" w:cs="Arial"/>
          <w:b/>
          <w:i/>
        </w:rPr>
        <w:t>Período de recuperación de la inversión de los contratos</w:t>
      </w:r>
      <w:r>
        <w:rPr>
          <w:rFonts w:ascii="Arial" w:eastAsia="Arial" w:hAnsi="Arial" w:cs="Arial"/>
        </w:rPr>
        <w:t xml:space="preserve">.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w:t>
      </w:r>
      <w:r>
        <w:rPr>
          <w:rFonts w:ascii="Arial" w:eastAsia="Arial" w:hAnsi="Arial" w:cs="Arial"/>
          <w:b/>
        </w:rPr>
        <w:t xml:space="preserve">Artículo 10.1 </w:t>
      </w:r>
      <w:r>
        <w:rPr>
          <w:rFonts w:ascii="Arial" w:eastAsia="Arial" w:hAnsi="Arial" w:cs="Arial"/>
        </w:rPr>
        <w:t>define el período de recuperación de la inversión del contrato como aquél en el que previsiblemente puedan recuperarse las inversion</w:t>
      </w:r>
      <w:r>
        <w:rPr>
          <w:rFonts w:ascii="Arial" w:eastAsia="Arial" w:hAnsi="Arial" w:cs="Arial"/>
        </w:rPr>
        <w:t>es realizadas para la correcta ejecución de las obligaciones previstas en el contrato y se permita al contratista la obtención de un beneficio sobre el capital invertido en condiciones normales de explotación.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El </w:t>
      </w:r>
      <w:r>
        <w:rPr>
          <w:rFonts w:ascii="Arial" w:eastAsia="Arial" w:hAnsi="Arial" w:cs="Arial"/>
          <w:b/>
        </w:rPr>
        <w:t xml:space="preserve">Artículo 10.2 </w:t>
      </w:r>
      <w:r>
        <w:rPr>
          <w:rFonts w:ascii="Arial" w:eastAsia="Arial" w:hAnsi="Arial" w:cs="Arial"/>
        </w:rPr>
        <w:t>establece una fórmula mate</w:t>
      </w:r>
      <w:r>
        <w:rPr>
          <w:rFonts w:ascii="Arial" w:eastAsia="Arial" w:hAnsi="Arial" w:cs="Arial"/>
        </w:rPr>
        <w:t xml:space="preserve">mática para calcular el plazo de recuperación de las inversiones que determinará el plazo de duración del contrato.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rPr>
        <w:t xml:space="preserve">Según la fórmula, el período de recuperación de la inversión del contrato será el mínimo valor de </w:t>
      </w:r>
      <w:r>
        <w:rPr>
          <w:rFonts w:ascii="Arial" w:eastAsia="Arial" w:hAnsi="Arial" w:cs="Arial"/>
          <w:b/>
          <w:i/>
        </w:rPr>
        <w:t xml:space="preserve">n </w:t>
      </w:r>
      <w:r>
        <w:rPr>
          <w:rFonts w:ascii="Arial" w:eastAsia="Arial" w:hAnsi="Arial" w:cs="Arial"/>
        </w:rPr>
        <w:t>para el que se cumple la siguiente d</w:t>
      </w:r>
      <w:r>
        <w:rPr>
          <w:rFonts w:ascii="Arial" w:eastAsia="Arial" w:hAnsi="Arial" w:cs="Arial"/>
        </w:rPr>
        <w:t>esigualdad, habiéndose realizado todas las inversiones para la correcta ejecución de las obligaciones previstas en el contrato:</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ind w:left="-29"/>
      </w:pPr>
      <w:r>
        <w:rPr>
          <w:noProof/>
        </w:rPr>
        <mc:AlternateContent>
          <mc:Choice Requires="wpg">
            <w:drawing>
              <wp:inline distT="0" distB="0" distL="0" distR="0">
                <wp:extent cx="5436997" cy="530352"/>
                <wp:effectExtent l="0" t="0" r="0" b="0"/>
                <wp:docPr id="491643" name="Group 491643"/>
                <wp:cNvGraphicFramePr/>
                <a:graphic xmlns:a="http://schemas.openxmlformats.org/drawingml/2006/main">
                  <a:graphicData uri="http://schemas.microsoft.com/office/word/2010/wordprocessingGroup">
                    <wpg:wgp>
                      <wpg:cNvGrpSpPr/>
                      <wpg:grpSpPr>
                        <a:xfrm>
                          <a:off x="0" y="0"/>
                          <a:ext cx="5436997" cy="530352"/>
                          <a:chOff x="0" y="0"/>
                          <a:chExt cx="5436997" cy="530352"/>
                        </a:xfrm>
                      </wpg:grpSpPr>
                      <wps:wsp>
                        <wps:cNvPr id="567142" name="Shape 567142"/>
                        <wps:cNvSpPr/>
                        <wps:spPr>
                          <a:xfrm>
                            <a:off x="0" y="11013"/>
                            <a:ext cx="5436997" cy="498348"/>
                          </a:xfrm>
                          <a:custGeom>
                            <a:avLst/>
                            <a:gdLst/>
                            <a:ahLst/>
                            <a:cxnLst/>
                            <a:rect l="0" t="0" r="0" b="0"/>
                            <a:pathLst>
                              <a:path w="5436997" h="498348">
                                <a:moveTo>
                                  <a:pt x="0" y="0"/>
                                </a:moveTo>
                                <a:lnTo>
                                  <a:pt x="5436997" y="0"/>
                                </a:lnTo>
                                <a:lnTo>
                                  <a:pt x="5436997" y="498348"/>
                                </a:lnTo>
                                <a:lnTo>
                                  <a:pt x="0" y="49834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5523" name="Rectangle 45523"/>
                        <wps:cNvSpPr/>
                        <wps:spPr>
                          <a:xfrm>
                            <a:off x="2194890" y="192699"/>
                            <a:ext cx="268769"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524" name="Rectangle 45524"/>
                        <wps:cNvSpPr/>
                        <wps:spPr>
                          <a:xfrm>
                            <a:off x="2568270" y="76875"/>
                            <a:ext cx="256811" cy="202692"/>
                          </a:xfrm>
                          <a:prstGeom prst="rect">
                            <a:avLst/>
                          </a:prstGeom>
                          <a:ln>
                            <a:noFill/>
                          </a:ln>
                        </wps:spPr>
                        <wps:txbx>
                          <w:txbxContent>
                            <w:p w:rsidR="00FF384B" w:rsidRDefault="003E3BA9">
                              <w:r>
                                <w:rPr>
                                  <w:rFonts w:ascii="Cambria Math" w:eastAsia="Cambria Math" w:hAnsi="Cambria Math" w:cs="Cambria Math"/>
                                  <w:sz w:val="24"/>
                                </w:rPr>
                                <w:t>𝑭𝑪</w:t>
                              </w:r>
                            </w:p>
                          </w:txbxContent>
                        </wps:txbx>
                        <wps:bodyPr horzOverflow="overflow" vert="horz" lIns="0" tIns="0" rIns="0" bIns="0" rtlCol="0">
                          <a:noAutofit/>
                        </wps:bodyPr>
                      </wps:wsp>
                      <wps:wsp>
                        <wps:cNvPr id="45525" name="Rectangle 45525"/>
                        <wps:cNvSpPr/>
                        <wps:spPr>
                          <a:xfrm>
                            <a:off x="2761818" y="141732"/>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526" name="Rectangle 45526"/>
                        <wps:cNvSpPr/>
                        <wps:spPr>
                          <a:xfrm>
                            <a:off x="2421966"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527" name="Rectangle 45527"/>
                        <wps:cNvSpPr/>
                        <wps:spPr>
                          <a:xfrm>
                            <a:off x="2485974" y="294807"/>
                            <a:ext cx="112292" cy="202692"/>
                          </a:xfrm>
                          <a:prstGeom prst="rect">
                            <a:avLst/>
                          </a:prstGeom>
                          <a:ln>
                            <a:noFill/>
                          </a:ln>
                        </wps:spPr>
                        <wps:txbx>
                          <w:txbxContent>
                            <w:p w:rsidR="00FF384B" w:rsidRDefault="003E3BA9">
                              <w:r>
                                <w:rPr>
                                  <w:rFonts w:ascii="Cambria Math" w:eastAsia="Cambria Math" w:hAnsi="Cambria Math" w:cs="Cambria Math"/>
                                  <w:sz w:val="24"/>
                                </w:rPr>
                                <w:t>1</w:t>
                              </w:r>
                            </w:p>
                          </w:txbxContent>
                        </wps:txbx>
                        <wps:bodyPr horzOverflow="overflow" vert="horz" lIns="0" tIns="0" rIns="0" bIns="0" rtlCol="0">
                          <a:noAutofit/>
                        </wps:bodyPr>
                      </wps:wsp>
                      <wps:wsp>
                        <wps:cNvPr id="45528" name="Rectangle 45528"/>
                        <wps:cNvSpPr/>
                        <wps:spPr>
                          <a:xfrm>
                            <a:off x="2603322" y="294807"/>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529" name="Rectangle 45529"/>
                        <wps:cNvSpPr/>
                        <wps:spPr>
                          <a:xfrm>
                            <a:off x="2751150" y="294807"/>
                            <a:ext cx="123034" cy="202692"/>
                          </a:xfrm>
                          <a:prstGeom prst="rect">
                            <a:avLst/>
                          </a:prstGeom>
                          <a:ln>
                            <a:noFill/>
                          </a:ln>
                        </wps:spPr>
                        <wps:txbx>
                          <w:txbxContent>
                            <w:p w:rsidR="00FF384B" w:rsidRDefault="003E3BA9">
                              <w:r>
                                <w:rPr>
                                  <w:rFonts w:ascii="Cambria Math" w:eastAsia="Cambria Math" w:hAnsi="Cambria Math" w:cs="Cambria Math"/>
                                  <w:sz w:val="24"/>
                                </w:rPr>
                                <w:t>𝒃</w:t>
                              </w:r>
                            </w:p>
                          </w:txbxContent>
                        </wps:txbx>
                        <wps:bodyPr horzOverflow="overflow" vert="horz" lIns="0" tIns="0" rIns="0" bIns="0" rtlCol="0">
                          <a:noAutofit/>
                        </wps:bodyPr>
                      </wps:wsp>
                      <wps:wsp>
                        <wps:cNvPr id="45530" name="Rectangle 45530"/>
                        <wps:cNvSpPr/>
                        <wps:spPr>
                          <a:xfrm>
                            <a:off x="2844114"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531" name="Rectangle 45531"/>
                        <wps:cNvSpPr/>
                        <wps:spPr>
                          <a:xfrm>
                            <a:off x="2908122" y="283464"/>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67143" name="Shape 567143"/>
                        <wps:cNvSpPr/>
                        <wps:spPr>
                          <a:xfrm>
                            <a:off x="2421966" y="262473"/>
                            <a:ext cx="536448" cy="10668"/>
                          </a:xfrm>
                          <a:custGeom>
                            <a:avLst/>
                            <a:gdLst/>
                            <a:ahLst/>
                            <a:cxnLst/>
                            <a:rect l="0" t="0" r="0" b="0"/>
                            <a:pathLst>
                              <a:path w="536448" h="10668">
                                <a:moveTo>
                                  <a:pt x="0" y="0"/>
                                </a:moveTo>
                                <a:lnTo>
                                  <a:pt x="536448" y="0"/>
                                </a:lnTo>
                                <a:lnTo>
                                  <a:pt x="53644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33" name="Rectangle 45533"/>
                        <wps:cNvSpPr/>
                        <wps:spPr>
                          <a:xfrm>
                            <a:off x="2260422" y="0"/>
                            <a:ext cx="93111" cy="143912"/>
                          </a:xfrm>
                          <a:prstGeom prst="rect">
                            <a:avLst/>
                          </a:prstGeom>
                          <a:ln>
                            <a:noFill/>
                          </a:ln>
                        </wps:spPr>
                        <wps:txbx>
                          <w:txbxContent>
                            <w:p w:rsidR="00FF384B" w:rsidRDefault="003E3BA9">
                              <w:r>
                                <w:rPr>
                                  <w:rFonts w:ascii="Cambria Math" w:eastAsia="Cambria Math" w:hAnsi="Cambria Math" w:cs="Cambria Math"/>
                                  <w:sz w:val="17"/>
                                </w:rPr>
                                <w:t>𝒏</w:t>
                              </w:r>
                            </w:p>
                          </w:txbxContent>
                        </wps:txbx>
                        <wps:bodyPr horzOverflow="overflow" vert="horz" lIns="0" tIns="0" rIns="0" bIns="0" rtlCol="0">
                          <a:noAutofit/>
                        </wps:bodyPr>
                      </wps:wsp>
                      <wps:wsp>
                        <wps:cNvPr id="45534" name="Rectangle 45534"/>
                        <wps:cNvSpPr/>
                        <wps:spPr>
                          <a:xfrm>
                            <a:off x="2202510" y="422148"/>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45535" name="Rectangle 45535"/>
                        <wps:cNvSpPr/>
                        <wps:spPr>
                          <a:xfrm>
                            <a:off x="2248230" y="422148"/>
                            <a:ext cx="104768" cy="143912"/>
                          </a:xfrm>
                          <a:prstGeom prst="rect">
                            <a:avLst/>
                          </a:prstGeom>
                          <a:ln>
                            <a:noFill/>
                          </a:ln>
                        </wps:spPr>
                        <wps:txbx>
                          <w:txbxContent>
                            <w:p w:rsidR="00FF384B" w:rsidRDefault="003E3BA9">
                              <w:r>
                                <w:rPr>
                                  <w:rFonts w:ascii="Cambria Math" w:eastAsia="Cambria Math" w:hAnsi="Cambria Math" w:cs="Cambria Math"/>
                                  <w:sz w:val="17"/>
                                </w:rPr>
                                <w:t>=</w:t>
                              </w:r>
                            </w:p>
                          </w:txbxContent>
                        </wps:txbx>
                        <wps:bodyPr horzOverflow="overflow" vert="horz" lIns="0" tIns="0" rIns="0" bIns="0" rtlCol="0">
                          <a:noAutofit/>
                        </wps:bodyPr>
                      </wps:wsp>
                      <wps:wsp>
                        <wps:cNvPr id="45536" name="Rectangle 45536"/>
                        <wps:cNvSpPr/>
                        <wps:spPr>
                          <a:xfrm>
                            <a:off x="2327478" y="42214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45537" name="Rectangle 45537"/>
                        <wps:cNvSpPr/>
                        <wps:spPr>
                          <a:xfrm>
                            <a:off x="3001086" y="192699"/>
                            <a:ext cx="151816"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45538" name="Rectangle 45538"/>
                        <wps:cNvSpPr/>
                        <wps:spPr>
                          <a:xfrm>
                            <a:off x="3158058" y="192699"/>
                            <a:ext cx="112292" cy="202692"/>
                          </a:xfrm>
                          <a:prstGeom prst="rect">
                            <a:avLst/>
                          </a:prstGeom>
                          <a:ln>
                            <a:noFill/>
                          </a:ln>
                        </wps:spPr>
                        <wps:txbx>
                          <w:txbxContent>
                            <w:p w:rsidR="00FF384B" w:rsidRDefault="003E3BA9">
                              <w:r>
                                <w:rPr>
                                  <w:rFonts w:ascii="Cambria Math" w:eastAsia="Cambria Math" w:hAnsi="Cambria Math" w:cs="Cambria Math"/>
                                  <w:sz w:val="24"/>
                                </w:rPr>
                                <w:t>0</w:t>
                              </w:r>
                            </w:p>
                          </w:txbxContent>
                        </wps:txbx>
                        <wps:bodyPr horzOverflow="overflow" vert="horz" lIns="0" tIns="0" rIns="0" bIns="0" rtlCol="0">
                          <a:noAutofit/>
                        </wps:bodyPr>
                      </wps:wsp>
                      <wps:wsp>
                        <wps:cNvPr id="45539" name="Rectangle 45539"/>
                        <wps:cNvSpPr/>
                        <wps:spPr>
                          <a:xfrm>
                            <a:off x="3242132" y="175453"/>
                            <a:ext cx="50673" cy="224379"/>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1643" style="width:428.11pt;height:41.76pt;mso-position-horizontal-relative:char;mso-position-vertical-relative:line" coordsize="54369,5303">
                <v:shape id="Shape 567144" style="position:absolute;width:54369;height:4983;left:0;top:110;" coordsize="5436997,498348" path="m0,0l5436997,0l5436997,498348l0,498348l0,0">
                  <v:stroke weight="0pt" endcap="flat" joinstyle="miter" miterlimit="10" on="false" color="#000000" opacity="0"/>
                  <v:fill on="true" color="#f2f2f2"/>
                </v:shape>
                <v:rect id="Rectangle 45523" style="position:absolute;width:2687;height:2026;left:21948;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524" style="position:absolute;width:2568;height:2026;left:25682;top:768;" filled="f" stroked="f">
                  <v:textbox inset="0,0,0,0">
                    <w:txbxContent>
                      <w:p>
                        <w:pPr>
                          <w:spacing w:before="0" w:after="160" w:line="259" w:lineRule="auto"/>
                        </w:pPr>
                        <w:r>
                          <w:rPr>
                            <w:rFonts w:cs="Cambria Math" w:hAnsi="Cambria Math" w:eastAsia="Cambria Math" w:ascii="Cambria Math"/>
                            <w:sz w:val="24"/>
                          </w:rPr>
                          <w:t xml:space="preserve">𝑭𝑪</w:t>
                        </w:r>
                      </w:p>
                    </w:txbxContent>
                  </v:textbox>
                </v:rect>
                <v:rect id="Rectangle 45525" style="position:absolute;width:602;height:1439;left:27618;top:1417;"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526" style="position:absolute;width:841;height:2026;left:24219;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527" style="position:absolute;width:1122;height:2026;left:24859;top:2948;" filled="f" stroked="f">
                  <v:textbox inset="0,0,0,0">
                    <w:txbxContent>
                      <w:p>
                        <w:pPr>
                          <w:spacing w:before="0" w:after="160" w:line="259" w:lineRule="auto"/>
                        </w:pPr>
                        <w:r>
                          <w:rPr>
                            <w:rFonts w:cs="Cambria Math" w:hAnsi="Cambria Math" w:eastAsia="Cambria Math" w:ascii="Cambria Math"/>
                            <w:sz w:val="24"/>
                          </w:rPr>
                          <w:t xml:space="preserve">1</w:t>
                        </w:r>
                      </w:p>
                    </w:txbxContent>
                  </v:textbox>
                </v:rect>
                <v:rect id="Rectangle 45528" style="position:absolute;width:1514;height:2026;left:26033;top:2948;"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529" style="position:absolute;width:1230;height:2026;left:27511;top:2948;" filled="f" stroked="f">
                  <v:textbox inset="0,0,0,0">
                    <w:txbxContent>
                      <w:p>
                        <w:pPr>
                          <w:spacing w:before="0" w:after="160" w:line="259" w:lineRule="auto"/>
                        </w:pPr>
                        <w:r>
                          <w:rPr>
                            <w:rFonts w:cs="Cambria Math" w:hAnsi="Cambria Math" w:eastAsia="Cambria Math" w:ascii="Cambria Math"/>
                            <w:sz w:val="24"/>
                          </w:rPr>
                          <w:t xml:space="preserve">𝒃</w:t>
                        </w:r>
                      </w:p>
                    </w:txbxContent>
                  </v:textbox>
                </v:rect>
                <v:rect id="Rectangle 45530" style="position:absolute;width:841;height:2026;left:28441;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531" style="position:absolute;width:602;height:1439;left:29081;top:2834;"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shape id="Shape 567145" style="position:absolute;width:5364;height:106;left:24219;top:2624;" coordsize="536448,10668" path="m0,0l536448,0l536448,10668l0,10668l0,0">
                  <v:stroke weight="0pt" endcap="flat" joinstyle="miter" miterlimit="10" on="false" color="#000000" opacity="0"/>
                  <v:fill on="true" color="#000000"/>
                </v:shape>
                <v:rect id="Rectangle 45533" style="position:absolute;width:931;height:1439;left:22604;top:0;" filled="f" stroked="f">
                  <v:textbox inset="0,0,0,0">
                    <w:txbxContent>
                      <w:p>
                        <w:pPr>
                          <w:spacing w:before="0" w:after="160" w:line="259" w:lineRule="auto"/>
                        </w:pPr>
                        <w:r>
                          <w:rPr>
                            <w:rFonts w:cs="Cambria Math" w:hAnsi="Cambria Math" w:eastAsia="Cambria Math" w:ascii="Cambria Math"/>
                            <w:sz w:val="17"/>
                          </w:rPr>
                          <w:t xml:space="preserve">𝒏</w:t>
                        </w:r>
                      </w:p>
                    </w:txbxContent>
                  </v:textbox>
                </v:rect>
                <v:rect id="Rectangle 45534" style="position:absolute;width:602;height:1439;left:22025;top:4221;"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45535" style="position:absolute;width:1047;height:1439;left:22482;top:4221;" filled="f" stroked="f">
                  <v:textbox inset="0,0,0,0">
                    <w:txbxContent>
                      <w:p>
                        <w:pPr>
                          <w:spacing w:before="0" w:after="160" w:line="259" w:lineRule="auto"/>
                        </w:pPr>
                        <w:r>
                          <w:rPr>
                            <w:rFonts w:cs="Cambria Math" w:hAnsi="Cambria Math" w:eastAsia="Cambria Math" w:ascii="Cambria Math"/>
                            <w:sz w:val="17"/>
                          </w:rPr>
                          <w:t xml:space="preserve">=</w:t>
                        </w:r>
                      </w:p>
                    </w:txbxContent>
                  </v:textbox>
                </v:rect>
                <v:rect id="Rectangle 45536" style="position:absolute;width:833;height:1439;left:23274;top:422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rect id="Rectangle 45537" style="position:absolute;width:1518;height:2026;left:30010;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45538" style="position:absolute;width:1122;height:2026;left:31580;top:1926;" filled="f" stroked="f">
                  <v:textbox inset="0,0,0,0">
                    <w:txbxContent>
                      <w:p>
                        <w:pPr>
                          <w:spacing w:before="0" w:after="160" w:line="259" w:lineRule="auto"/>
                        </w:pPr>
                        <w:r>
                          <w:rPr>
                            <w:rFonts w:cs="Cambria Math" w:hAnsi="Cambria Math" w:eastAsia="Cambria Math" w:ascii="Cambria Math"/>
                            <w:sz w:val="24"/>
                          </w:rPr>
                          <w:t xml:space="preserve">0</w:t>
                        </w:r>
                      </w:p>
                    </w:txbxContent>
                  </v:textbox>
                </v:rect>
                <v:rect id="Rectangle 45539" style="position:absolute;width:506;height:2243;left:32421;top:17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line="249" w:lineRule="auto"/>
        <w:ind w:left="10" w:hanging="10"/>
        <w:jc w:val="both"/>
      </w:pPr>
      <w:r>
        <w:rPr>
          <w:rFonts w:ascii="Times New Roman" w:eastAsia="Times New Roman" w:hAnsi="Times New Roman" w:cs="Times New Roman"/>
          <w:sz w:val="24"/>
        </w:rPr>
        <w:t xml:space="preserve">Siendo </w:t>
      </w:r>
    </w:p>
    <w:p w:rsidR="00FF384B" w:rsidRDefault="003E3BA9">
      <w:pPr>
        <w:spacing w:after="13"/>
      </w:pPr>
      <w:r>
        <w:rPr>
          <w:rFonts w:ascii="Times New Roman" w:eastAsia="Times New Roman" w:hAnsi="Times New Roman" w:cs="Times New Roman"/>
          <w:sz w:val="24"/>
        </w:rPr>
        <w:t xml:space="preserve"> </w:t>
      </w:r>
    </w:p>
    <w:p w:rsidR="00FF384B" w:rsidRDefault="003E3BA9">
      <w:pPr>
        <w:numPr>
          <w:ilvl w:val="0"/>
          <w:numId w:val="290"/>
        </w:numPr>
        <w:spacing w:after="5" w:line="247" w:lineRule="auto"/>
        <w:ind w:right="244" w:hanging="360"/>
        <w:jc w:val="both"/>
      </w:pPr>
      <w:r>
        <w:rPr>
          <w:rFonts w:ascii="Arial" w:eastAsia="Arial" w:hAnsi="Arial" w:cs="Arial"/>
          <w:b/>
        </w:rPr>
        <w:t>t</w:t>
      </w:r>
      <w:r>
        <w:rPr>
          <w:rFonts w:ascii="Arial" w:eastAsia="Arial" w:hAnsi="Arial" w:cs="Arial"/>
        </w:rPr>
        <w:t xml:space="preserve"> </w:t>
      </w:r>
      <w:r>
        <w:rPr>
          <w:rFonts w:ascii="Arial" w:eastAsia="Arial" w:hAnsi="Arial" w:cs="Arial"/>
        </w:rPr>
        <w:t xml:space="preserve">son los años medidos en números enteros. </w:t>
      </w:r>
      <w:r>
        <w:rPr>
          <w:rFonts w:ascii="Times New Roman" w:eastAsia="Times New Roman" w:hAnsi="Times New Roman" w:cs="Times New Roman"/>
          <w:sz w:val="24"/>
        </w:rPr>
        <w:t xml:space="preserve"> </w:t>
      </w:r>
    </w:p>
    <w:p w:rsidR="00FF384B" w:rsidRDefault="003E3BA9">
      <w:pPr>
        <w:numPr>
          <w:ilvl w:val="0"/>
          <w:numId w:val="290"/>
        </w:numPr>
        <w:spacing w:after="5" w:line="247" w:lineRule="auto"/>
        <w:ind w:right="244" w:hanging="360"/>
        <w:jc w:val="both"/>
      </w:pPr>
      <w:r>
        <w:rPr>
          <w:rFonts w:ascii="Arial" w:eastAsia="Arial" w:hAnsi="Arial" w:cs="Arial"/>
          <w:b/>
        </w:rPr>
        <w:t>FC</w:t>
      </w:r>
      <w:r>
        <w:rPr>
          <w:rFonts w:ascii="Arial" w:eastAsia="Arial" w:hAnsi="Arial" w:cs="Arial"/>
          <w:b/>
          <w:vertAlign w:val="subscript"/>
        </w:rPr>
        <w:t>t</w:t>
      </w:r>
      <w:r>
        <w:rPr>
          <w:rFonts w:ascii="Arial" w:eastAsia="Arial" w:hAnsi="Arial" w:cs="Arial"/>
          <w:b/>
        </w:rPr>
        <w:t xml:space="preserve"> </w:t>
      </w:r>
      <w:r>
        <w:rPr>
          <w:rFonts w:ascii="Arial" w:eastAsia="Arial" w:hAnsi="Arial" w:cs="Arial"/>
        </w:rPr>
        <w:t>es el flujo de caja esperado del año t.</w:t>
      </w:r>
      <w:r>
        <w:rPr>
          <w:rFonts w:ascii="Times New Roman" w:eastAsia="Times New Roman" w:hAnsi="Times New Roman" w:cs="Times New Roman"/>
          <w:sz w:val="24"/>
        </w:rPr>
        <w:t xml:space="preserve"> </w:t>
      </w:r>
    </w:p>
    <w:p w:rsidR="00FF384B" w:rsidRDefault="003E3BA9">
      <w:pPr>
        <w:numPr>
          <w:ilvl w:val="0"/>
          <w:numId w:val="290"/>
        </w:numPr>
        <w:spacing w:after="5" w:line="247" w:lineRule="auto"/>
        <w:ind w:right="244" w:hanging="360"/>
        <w:jc w:val="both"/>
      </w:pPr>
      <w:r>
        <w:rPr>
          <w:rFonts w:ascii="Arial" w:eastAsia="Arial" w:hAnsi="Arial" w:cs="Arial"/>
          <w:b/>
        </w:rPr>
        <w:t>b</w:t>
      </w:r>
      <w:r>
        <w:rPr>
          <w:rFonts w:ascii="Arial" w:eastAsia="Arial" w:hAnsi="Arial" w:cs="Arial"/>
          <w:b/>
          <w:i/>
        </w:rPr>
        <w:t xml:space="preserve"> </w:t>
      </w:r>
      <w:r>
        <w:rPr>
          <w:rFonts w:ascii="Arial" w:eastAsia="Arial" w:hAnsi="Arial" w:cs="Arial"/>
        </w:rPr>
        <w:t>es la tasa de descuento, cuyo valor será el rendimiento medio en el mercado secundario de la deuda del Estado a diez años en los últimos seis meses incrementado en un</w:t>
      </w:r>
      <w:r>
        <w:rPr>
          <w:rFonts w:ascii="Arial" w:eastAsia="Arial" w:hAnsi="Arial" w:cs="Arial"/>
        </w:rPr>
        <w:t xml:space="preserve"> diferencial de 200 puntos básicos.</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rFonts w:ascii="Arial" w:eastAsia="Arial" w:hAnsi="Arial" w:cs="Arial"/>
        </w:rPr>
        <w:t>El Flujo de Caja procedente de las actividades de explotación, que es la diferencia entre los cobros y los pagos ocasionados por las actividades que constituyen la principal fuente de ingresos del contrato, teniendo en cuenta tanto las contraprestaciones a</w:t>
      </w:r>
      <w:r>
        <w:rPr>
          <w:rFonts w:ascii="Arial" w:eastAsia="Arial" w:hAnsi="Arial" w:cs="Arial"/>
        </w:rPr>
        <w:t xml:space="preserve">bonadas por los usuarios como por la Administración, así como por otras actividades que no pueden ser calificadas como de inversión y financiación. </w:t>
      </w:r>
    </w:p>
    <w:p w:rsidR="00FF384B" w:rsidRDefault="003E3BA9">
      <w:pPr>
        <w:spacing w:after="113"/>
        <w:ind w:left="360"/>
      </w:pPr>
      <w:r>
        <w:rPr>
          <w:rFonts w:ascii="Arial" w:eastAsia="Arial" w:hAnsi="Arial" w:cs="Arial"/>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shd w:val="clear" w:color="auto" w:fill="E0E0E0"/>
        <w:spacing w:after="218"/>
        <w:ind w:left="247"/>
      </w:pPr>
      <w:r>
        <w:rPr>
          <w:rFonts w:ascii="Arial" w:eastAsia="Arial" w:hAnsi="Arial" w:cs="Arial"/>
          <w:b/>
          <w:sz w:val="24"/>
        </w:rPr>
        <w:t xml:space="preserve">PERIODO DE LA RECUPERACIÓN DE LA INVERSIÓN DEL CONTRATO </w:t>
      </w:r>
    </w:p>
    <w:p w:rsidR="00FF384B" w:rsidRDefault="003E3BA9">
      <w:pPr>
        <w:spacing w:after="0" w:line="240" w:lineRule="auto"/>
        <w:ind w:left="-5" w:right="247" w:hanging="10"/>
        <w:jc w:val="both"/>
      </w:pPr>
      <w:r>
        <w:rPr>
          <w:rFonts w:ascii="Arial" w:eastAsia="Arial" w:hAnsi="Arial" w:cs="Arial"/>
          <w:sz w:val="24"/>
        </w:rPr>
        <w:t xml:space="preserve">A continuación, se procede a determinar el periodo de recuperación de la inversión del contrato de gestión de residuos, limpieza viaria y del litoral del municipio de Candelaria. </w:t>
      </w:r>
    </w:p>
    <w:p w:rsidR="00FF384B" w:rsidRDefault="003E3BA9">
      <w:pPr>
        <w:spacing w:after="0"/>
      </w:pPr>
      <w:r>
        <w:rPr>
          <w:rFonts w:ascii="Arial" w:eastAsia="Arial" w:hAnsi="Arial" w:cs="Arial"/>
          <w:sz w:val="24"/>
        </w:rPr>
        <w:t xml:space="preserve"> </w:t>
      </w:r>
    </w:p>
    <w:p w:rsidR="00FF384B" w:rsidRDefault="003E3BA9">
      <w:pPr>
        <w:spacing w:after="0" w:line="240" w:lineRule="auto"/>
        <w:ind w:left="-5" w:right="247" w:hanging="10"/>
        <w:jc w:val="both"/>
      </w:pPr>
      <w:r>
        <w:rPr>
          <w:noProof/>
        </w:rPr>
        <mc:AlternateContent>
          <mc:Choice Requires="wpg">
            <w:drawing>
              <wp:anchor distT="0" distB="0" distL="114300" distR="114300" simplePos="0" relativeHeight="2519101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0997" name="Group 52099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781" name="Picture 45781"/>
                          <pic:cNvPicPr/>
                        </pic:nvPicPr>
                        <pic:blipFill>
                          <a:blip r:embed="rId62"/>
                          <a:stretch>
                            <a:fillRect/>
                          </a:stretch>
                        </pic:blipFill>
                        <pic:spPr>
                          <a:xfrm rot="-5399999">
                            <a:off x="-1720849" y="1720849"/>
                            <a:ext cx="3797300" cy="355601"/>
                          </a:xfrm>
                          <a:prstGeom prst="rect">
                            <a:avLst/>
                          </a:prstGeom>
                        </pic:spPr>
                      </pic:pic>
                      <wps:wsp>
                        <wps:cNvPr id="45782" name="Rectangle 4578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w:t>
                              </w:r>
                              <w:r>
                                <w:rPr>
                                  <w:rFonts w:ascii="Arial" w:eastAsia="Arial" w:hAnsi="Arial" w:cs="Arial"/>
                                  <w:sz w:val="12"/>
                                </w:rPr>
                                <w:t xml:space="preserve">elaria.sedelectronica.es/ </w:t>
                              </w:r>
                            </w:p>
                          </w:txbxContent>
                        </wps:txbx>
                        <wps:bodyPr horzOverflow="overflow" vert="horz" lIns="0" tIns="0" rIns="0" bIns="0" rtlCol="0">
                          <a:noAutofit/>
                        </wps:bodyPr>
                      </wps:wsp>
                      <wps:wsp>
                        <wps:cNvPr id="45783" name="Rectangle 4578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0997" style="width:41.2715pt;height:299pt;position:absolute;mso-position-horizontal-relative:page;mso-position-horizontal:absolute;margin-left:653.71pt;mso-position-vertical-relative:page;margin-top:512.92pt;" coordsize="5241,37973">
                <v:shape id="Picture 45781" style="position:absolute;width:37973;height:3556;left:-17208;top:17208;rotation:-89;" filled="f">
                  <v:imagedata r:id="rId63"/>
                </v:shape>
                <v:rect id="Rectangle 4578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78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245 de 353 </w:t>
                        </w:r>
                      </w:p>
                    </w:txbxContent>
                  </v:textbox>
                </v:rect>
                <w10:wrap type="square"/>
              </v:group>
            </w:pict>
          </mc:Fallback>
        </mc:AlternateContent>
      </w:r>
      <w:r>
        <w:rPr>
          <w:rFonts w:ascii="Arial" w:eastAsia="Arial" w:hAnsi="Arial" w:cs="Arial"/>
          <w:sz w:val="24"/>
        </w:rPr>
        <w:t xml:space="preserve">El estudio económico realizado, establece los siguientes costes del servicio para el año 2021: </w:t>
      </w:r>
    </w:p>
    <w:p w:rsidR="00FF384B" w:rsidRDefault="003E3BA9">
      <w:pPr>
        <w:spacing w:after="0"/>
      </w:pPr>
      <w:r>
        <w:rPr>
          <w:rFonts w:ascii="Arial" w:eastAsia="Arial" w:hAnsi="Arial" w:cs="Arial"/>
          <w:sz w:val="24"/>
        </w:rPr>
        <w:t xml:space="preserve"> </w:t>
      </w:r>
    </w:p>
    <w:tbl>
      <w:tblPr>
        <w:tblStyle w:val="TableGrid"/>
        <w:tblW w:w="8500" w:type="dxa"/>
        <w:tblInd w:w="0" w:type="dxa"/>
        <w:tblCellMar>
          <w:top w:w="3" w:type="dxa"/>
          <w:left w:w="108" w:type="dxa"/>
          <w:bottom w:w="0" w:type="dxa"/>
          <w:right w:w="69" w:type="dxa"/>
        </w:tblCellMar>
        <w:tblLook w:val="04A0" w:firstRow="1" w:lastRow="0" w:firstColumn="1" w:lastColumn="0" w:noHBand="0" w:noVBand="1"/>
      </w:tblPr>
      <w:tblGrid>
        <w:gridCol w:w="960"/>
        <w:gridCol w:w="1037"/>
        <w:gridCol w:w="917"/>
        <w:gridCol w:w="845"/>
        <w:gridCol w:w="986"/>
        <w:gridCol w:w="855"/>
        <w:gridCol w:w="1058"/>
        <w:gridCol w:w="890"/>
        <w:gridCol w:w="951"/>
      </w:tblGrid>
      <w:tr w:rsidR="00FF384B">
        <w:trPr>
          <w:trHeight w:val="744"/>
        </w:trPr>
        <w:tc>
          <w:tcPr>
            <w:tcW w:w="96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34"/>
            </w:pPr>
            <w:r>
              <w:rPr>
                <w:rFonts w:ascii="Arial" w:eastAsia="Arial" w:hAnsi="Arial" w:cs="Arial"/>
                <w:b/>
                <w:sz w:val="16"/>
              </w:rPr>
              <w:t>PERSON</w:t>
            </w:r>
          </w:p>
          <w:p w:rsidR="00FF384B" w:rsidRDefault="003E3BA9">
            <w:pPr>
              <w:spacing w:after="0"/>
              <w:ind w:right="47"/>
              <w:jc w:val="center"/>
            </w:pPr>
            <w:r>
              <w:rPr>
                <w:rFonts w:ascii="Arial" w:eastAsia="Arial" w:hAnsi="Arial" w:cs="Arial"/>
                <w:b/>
                <w:sz w:val="16"/>
              </w:rPr>
              <w:t xml:space="preserve">AL </w:t>
            </w:r>
          </w:p>
        </w:tc>
        <w:tc>
          <w:tcPr>
            <w:tcW w:w="1037"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40"/>
              <w:jc w:val="center"/>
            </w:pPr>
            <w:r>
              <w:rPr>
                <w:rFonts w:ascii="Arial" w:eastAsia="Arial" w:hAnsi="Arial" w:cs="Arial"/>
                <w:b/>
                <w:sz w:val="16"/>
              </w:rPr>
              <w:t xml:space="preserve">MEDIOS </w:t>
            </w:r>
          </w:p>
          <w:p w:rsidR="00FF384B" w:rsidRDefault="003E3BA9">
            <w:pPr>
              <w:spacing w:after="0"/>
              <w:jc w:val="center"/>
            </w:pPr>
            <w:r>
              <w:rPr>
                <w:rFonts w:ascii="Arial" w:eastAsia="Arial" w:hAnsi="Arial" w:cs="Arial"/>
                <w:b/>
                <w:sz w:val="16"/>
              </w:rPr>
              <w:t xml:space="preserve">MATERIAL ES </w:t>
            </w:r>
          </w:p>
        </w:tc>
        <w:tc>
          <w:tcPr>
            <w:tcW w:w="917"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34"/>
            </w:pPr>
            <w:r>
              <w:rPr>
                <w:rFonts w:ascii="Arial" w:eastAsia="Arial" w:hAnsi="Arial" w:cs="Arial"/>
                <w:b/>
                <w:sz w:val="16"/>
              </w:rPr>
              <w:t>AMORTI</w:t>
            </w:r>
          </w:p>
          <w:p w:rsidR="00FF384B" w:rsidRDefault="003E3BA9">
            <w:pPr>
              <w:spacing w:after="0"/>
              <w:ind w:right="40"/>
              <w:jc w:val="center"/>
            </w:pPr>
            <w:r>
              <w:rPr>
                <w:rFonts w:ascii="Arial" w:eastAsia="Arial" w:hAnsi="Arial" w:cs="Arial"/>
                <w:b/>
                <w:sz w:val="16"/>
              </w:rPr>
              <w:t xml:space="preserve">Z. </w:t>
            </w:r>
          </w:p>
        </w:tc>
        <w:tc>
          <w:tcPr>
            <w:tcW w:w="84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36"/>
              <w:jc w:val="center"/>
            </w:pPr>
            <w:r>
              <w:rPr>
                <w:rFonts w:ascii="Arial" w:eastAsia="Arial" w:hAnsi="Arial" w:cs="Arial"/>
                <w:b/>
                <w:sz w:val="16"/>
              </w:rPr>
              <w:t xml:space="preserve">TASA </w:t>
            </w:r>
          </w:p>
          <w:p w:rsidR="00FF384B" w:rsidRDefault="003E3BA9">
            <w:pPr>
              <w:spacing w:after="0"/>
              <w:ind w:right="43"/>
              <w:jc w:val="center"/>
            </w:pPr>
            <w:r>
              <w:rPr>
                <w:rFonts w:ascii="Arial" w:eastAsia="Arial" w:hAnsi="Arial" w:cs="Arial"/>
                <w:b/>
                <w:sz w:val="16"/>
              </w:rPr>
              <w:t xml:space="preserve">DISP. </w:t>
            </w:r>
          </w:p>
        </w:tc>
        <w:tc>
          <w:tcPr>
            <w:tcW w:w="98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12"/>
            </w:pPr>
            <w:r>
              <w:rPr>
                <w:rFonts w:ascii="Arial" w:eastAsia="Arial" w:hAnsi="Arial" w:cs="Arial"/>
                <w:b/>
                <w:sz w:val="16"/>
              </w:rPr>
              <w:t>PAPELER</w:t>
            </w:r>
          </w:p>
          <w:p w:rsidR="00FF384B" w:rsidRDefault="003E3BA9">
            <w:pPr>
              <w:spacing w:after="0"/>
              <w:ind w:left="29"/>
            </w:pPr>
            <w:r>
              <w:rPr>
                <w:rFonts w:ascii="Arial" w:eastAsia="Arial" w:hAnsi="Arial" w:cs="Arial"/>
                <w:b/>
                <w:sz w:val="16"/>
              </w:rPr>
              <w:t xml:space="preserve">AS - RCD </w:t>
            </w:r>
          </w:p>
        </w:tc>
        <w:tc>
          <w:tcPr>
            <w:tcW w:w="85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sz w:val="16"/>
              </w:rPr>
              <w:t xml:space="preserve">GG (5%) </w:t>
            </w:r>
          </w:p>
          <w:p w:rsidR="00FF384B" w:rsidRDefault="003E3BA9">
            <w:pPr>
              <w:spacing w:after="0"/>
              <w:ind w:right="42"/>
              <w:jc w:val="center"/>
            </w:pPr>
            <w:r>
              <w:rPr>
                <w:rFonts w:ascii="Arial" w:eastAsia="Arial" w:hAnsi="Arial" w:cs="Arial"/>
                <w:b/>
                <w:sz w:val="16"/>
              </w:rPr>
              <w:t xml:space="preserve">+ BI </w:t>
            </w:r>
          </w:p>
          <w:p w:rsidR="00FF384B" w:rsidRDefault="003E3BA9">
            <w:pPr>
              <w:spacing w:after="0"/>
              <w:ind w:right="43"/>
              <w:jc w:val="center"/>
            </w:pPr>
            <w:r>
              <w:rPr>
                <w:rFonts w:ascii="Arial" w:eastAsia="Arial" w:hAnsi="Arial" w:cs="Arial"/>
                <w:b/>
                <w:sz w:val="16"/>
              </w:rPr>
              <w:t xml:space="preserve">(6%) </w:t>
            </w:r>
          </w:p>
        </w:tc>
        <w:tc>
          <w:tcPr>
            <w:tcW w:w="1058"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53"/>
            </w:pPr>
            <w:r>
              <w:rPr>
                <w:rFonts w:ascii="Arial" w:eastAsia="Arial" w:hAnsi="Arial" w:cs="Arial"/>
                <w:b/>
                <w:sz w:val="16"/>
              </w:rPr>
              <w:t>CONCIEN</w:t>
            </w:r>
          </w:p>
          <w:p w:rsidR="00FF384B" w:rsidRDefault="003E3BA9">
            <w:pPr>
              <w:spacing w:after="0"/>
              <w:ind w:right="43"/>
              <w:jc w:val="center"/>
            </w:pPr>
            <w:r>
              <w:rPr>
                <w:rFonts w:ascii="Arial" w:eastAsia="Arial" w:hAnsi="Arial" w:cs="Arial"/>
                <w:b/>
                <w:sz w:val="16"/>
              </w:rPr>
              <w:t xml:space="preserve">CIA. </w:t>
            </w:r>
          </w:p>
        </w:tc>
        <w:tc>
          <w:tcPr>
            <w:tcW w:w="890" w:type="dxa"/>
            <w:tcBorders>
              <w:top w:val="single" w:sz="4" w:space="0" w:color="000000"/>
              <w:left w:val="single" w:sz="4" w:space="0" w:color="000000"/>
              <w:bottom w:val="single" w:sz="4" w:space="0" w:color="000000"/>
              <w:right w:val="single" w:sz="4" w:space="0" w:color="000000"/>
            </w:tcBorders>
          </w:tcPr>
          <w:p w:rsidR="00FF384B" w:rsidRDefault="003E3BA9">
            <w:pPr>
              <w:spacing w:after="2" w:line="237" w:lineRule="auto"/>
              <w:jc w:val="center"/>
            </w:pPr>
            <w:r>
              <w:rPr>
                <w:rFonts w:ascii="Arial" w:eastAsia="Arial" w:hAnsi="Arial" w:cs="Arial"/>
                <w:b/>
                <w:sz w:val="16"/>
              </w:rPr>
              <w:t xml:space="preserve">INGRES OS </w:t>
            </w:r>
          </w:p>
          <w:p w:rsidR="00FF384B" w:rsidRDefault="003E3BA9">
            <w:pPr>
              <w:spacing w:after="0"/>
              <w:jc w:val="center"/>
            </w:pPr>
            <w:r>
              <w:rPr>
                <w:rFonts w:ascii="Arial" w:eastAsia="Arial" w:hAnsi="Arial" w:cs="Arial"/>
                <w:b/>
                <w:sz w:val="16"/>
              </w:rPr>
              <w:t xml:space="preserve">EELL + PyC </w:t>
            </w:r>
          </w:p>
        </w:tc>
        <w:tc>
          <w:tcPr>
            <w:tcW w:w="951"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38"/>
              <w:jc w:val="center"/>
            </w:pPr>
            <w:r>
              <w:rPr>
                <w:rFonts w:ascii="Arial" w:eastAsia="Arial" w:hAnsi="Arial" w:cs="Arial"/>
                <w:b/>
                <w:sz w:val="16"/>
              </w:rPr>
              <w:t xml:space="preserve">SUMA </w:t>
            </w:r>
          </w:p>
        </w:tc>
      </w:tr>
      <w:tr w:rsidR="00FF384B">
        <w:trPr>
          <w:trHeight w:val="564"/>
        </w:trPr>
        <w:tc>
          <w:tcPr>
            <w:tcW w:w="96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1.870.715 ,18 € </w:t>
            </w:r>
          </w:p>
        </w:tc>
        <w:tc>
          <w:tcPr>
            <w:tcW w:w="1037"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278.588,32 € </w:t>
            </w:r>
          </w:p>
        </w:tc>
        <w:tc>
          <w:tcPr>
            <w:tcW w:w="917" w:type="dxa"/>
            <w:tcBorders>
              <w:top w:val="single" w:sz="4" w:space="0" w:color="000000"/>
              <w:left w:val="single" w:sz="4" w:space="0" w:color="000000"/>
              <w:bottom w:val="single" w:sz="4" w:space="0" w:color="000000"/>
              <w:right w:val="single" w:sz="4" w:space="0" w:color="000000"/>
            </w:tcBorders>
          </w:tcPr>
          <w:p w:rsidR="00FF384B" w:rsidRDefault="003E3BA9">
            <w:pPr>
              <w:spacing w:after="10"/>
            </w:pPr>
            <w:r>
              <w:rPr>
                <w:rFonts w:ascii="Arial" w:eastAsia="Arial" w:hAnsi="Arial" w:cs="Arial"/>
                <w:sz w:val="16"/>
              </w:rPr>
              <w:t>114.1847,</w:t>
            </w:r>
          </w:p>
          <w:p w:rsidR="00FF384B" w:rsidRDefault="003E3BA9">
            <w:pPr>
              <w:spacing w:after="0"/>
              <w:ind w:right="39"/>
              <w:jc w:val="center"/>
            </w:pPr>
            <w:r>
              <w:rPr>
                <w:rFonts w:ascii="Arial" w:eastAsia="Arial" w:hAnsi="Arial" w:cs="Arial"/>
                <w:sz w:val="16"/>
              </w:rPr>
              <w:t xml:space="preserve">23 € </w:t>
            </w:r>
          </w:p>
        </w:tc>
        <w:tc>
          <w:tcPr>
            <w:tcW w:w="845" w:type="dxa"/>
            <w:tcBorders>
              <w:top w:val="single" w:sz="4" w:space="0" w:color="000000"/>
              <w:left w:val="single" w:sz="4" w:space="0" w:color="000000"/>
              <w:bottom w:val="single" w:sz="4" w:space="0" w:color="000000"/>
              <w:right w:val="single" w:sz="4" w:space="0" w:color="000000"/>
            </w:tcBorders>
          </w:tcPr>
          <w:p w:rsidR="00FF384B" w:rsidRDefault="003E3BA9">
            <w:pPr>
              <w:spacing w:after="10"/>
              <w:ind w:left="5"/>
            </w:pPr>
            <w:r>
              <w:rPr>
                <w:rFonts w:ascii="Arial" w:eastAsia="Arial" w:hAnsi="Arial" w:cs="Arial"/>
                <w:sz w:val="16"/>
              </w:rPr>
              <w:t>407.112,</w:t>
            </w:r>
          </w:p>
          <w:p w:rsidR="00FF384B" w:rsidRDefault="003E3BA9">
            <w:pPr>
              <w:spacing w:after="0"/>
              <w:ind w:right="44"/>
              <w:jc w:val="center"/>
            </w:pPr>
            <w:r>
              <w:rPr>
                <w:rFonts w:ascii="Arial" w:eastAsia="Arial" w:hAnsi="Arial" w:cs="Arial"/>
                <w:sz w:val="16"/>
              </w:rPr>
              <w:t xml:space="preserve">37 € </w:t>
            </w:r>
          </w:p>
        </w:tc>
        <w:tc>
          <w:tcPr>
            <w:tcW w:w="98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7"/>
            </w:pPr>
            <w:r>
              <w:rPr>
                <w:rFonts w:ascii="Arial" w:eastAsia="Arial" w:hAnsi="Arial" w:cs="Arial"/>
                <w:sz w:val="16"/>
              </w:rPr>
              <w:t xml:space="preserve">8.000,00 € </w:t>
            </w:r>
          </w:p>
        </w:tc>
        <w:tc>
          <w:tcPr>
            <w:tcW w:w="855" w:type="dxa"/>
            <w:tcBorders>
              <w:top w:val="single" w:sz="4" w:space="0" w:color="000000"/>
              <w:left w:val="single" w:sz="4" w:space="0" w:color="000000"/>
              <w:bottom w:val="single" w:sz="4" w:space="0" w:color="000000"/>
              <w:right w:val="single" w:sz="4" w:space="0" w:color="000000"/>
            </w:tcBorders>
          </w:tcPr>
          <w:p w:rsidR="00FF384B" w:rsidRDefault="003E3BA9">
            <w:pPr>
              <w:spacing w:after="10"/>
              <w:ind w:left="7"/>
            </w:pPr>
            <w:r>
              <w:rPr>
                <w:rFonts w:ascii="Arial" w:eastAsia="Arial" w:hAnsi="Arial" w:cs="Arial"/>
                <w:sz w:val="16"/>
              </w:rPr>
              <w:t>294.646,</w:t>
            </w:r>
          </w:p>
          <w:p w:rsidR="00FF384B" w:rsidRDefault="003E3BA9">
            <w:pPr>
              <w:spacing w:after="0"/>
              <w:ind w:right="38"/>
              <w:jc w:val="center"/>
            </w:pPr>
            <w:r>
              <w:rPr>
                <w:rFonts w:ascii="Arial" w:eastAsia="Arial" w:hAnsi="Arial" w:cs="Arial"/>
                <w:sz w:val="16"/>
              </w:rPr>
              <w:t xml:space="preserve">01 € </w:t>
            </w:r>
          </w:p>
        </w:tc>
        <w:tc>
          <w:tcPr>
            <w:tcW w:w="105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0" w:right="15"/>
              <w:jc w:val="center"/>
            </w:pPr>
            <w:r>
              <w:rPr>
                <w:rFonts w:ascii="Arial" w:eastAsia="Arial" w:hAnsi="Arial" w:cs="Arial"/>
                <w:sz w:val="16"/>
              </w:rPr>
              <w:t xml:space="preserve">15.000,00 € </w:t>
            </w:r>
          </w:p>
        </w:tc>
        <w:tc>
          <w:tcPr>
            <w:tcW w:w="89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41"/>
              <w:jc w:val="center"/>
            </w:pPr>
            <w:r>
              <w:rPr>
                <w:rFonts w:ascii="Arial" w:eastAsia="Arial" w:hAnsi="Arial" w:cs="Arial"/>
                <w:sz w:val="16"/>
              </w:rPr>
              <w:t>-</w:t>
            </w:r>
          </w:p>
          <w:p w:rsidR="00FF384B" w:rsidRDefault="003E3BA9">
            <w:pPr>
              <w:spacing w:after="0"/>
              <w:ind w:right="21"/>
              <w:jc w:val="center"/>
            </w:pPr>
            <w:r>
              <w:rPr>
                <w:rFonts w:ascii="Arial" w:eastAsia="Arial" w:hAnsi="Arial" w:cs="Arial"/>
                <w:sz w:val="16"/>
              </w:rPr>
              <w:t xml:space="preserve">80.000,0 0 € </w:t>
            </w:r>
          </w:p>
        </w:tc>
        <w:tc>
          <w:tcPr>
            <w:tcW w:w="951"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sz w:val="16"/>
              </w:rPr>
              <w:t xml:space="preserve">2.908.246 ,11 € </w:t>
            </w:r>
          </w:p>
        </w:tc>
      </w:tr>
    </w:tbl>
    <w:p w:rsidR="00FF384B" w:rsidRDefault="003E3BA9">
      <w:pPr>
        <w:spacing w:after="41"/>
      </w:pPr>
      <w:r>
        <w:rPr>
          <w:rFonts w:ascii="Times New Roman" w:eastAsia="Times New Roman" w:hAnsi="Times New Roman" w:cs="Times New Roman"/>
          <w:sz w:val="16"/>
        </w:rPr>
        <w:t xml:space="preserve"> </w:t>
      </w:r>
    </w:p>
    <w:p w:rsidR="00FF384B" w:rsidRDefault="003E3BA9">
      <w:pPr>
        <w:spacing w:after="5" w:line="247" w:lineRule="auto"/>
        <w:ind w:left="10" w:right="244" w:hanging="10"/>
        <w:jc w:val="both"/>
      </w:pPr>
      <w:r>
        <w:rPr>
          <w:rFonts w:ascii="Arial" w:eastAsia="Arial" w:hAnsi="Arial" w:cs="Arial"/>
        </w:rPr>
        <w:t xml:space="preserve">Para el estudio del período de recuperación de la inversión del contrato se han tomado las siguientes consideraciones: </w:t>
      </w:r>
    </w:p>
    <w:p w:rsidR="00FF384B" w:rsidRDefault="003E3BA9">
      <w:pPr>
        <w:spacing w:after="0"/>
      </w:pPr>
      <w:r>
        <w:rPr>
          <w:rFonts w:ascii="Arial" w:eastAsia="Arial" w:hAnsi="Arial" w:cs="Arial"/>
        </w:rPr>
        <w:t xml:space="preserve"> </w:t>
      </w:r>
    </w:p>
    <w:p w:rsidR="00FF384B" w:rsidRDefault="003E3BA9">
      <w:pPr>
        <w:numPr>
          <w:ilvl w:val="0"/>
          <w:numId w:val="291"/>
        </w:numPr>
        <w:spacing w:after="5" w:line="247" w:lineRule="auto"/>
        <w:ind w:right="244" w:hanging="360"/>
        <w:jc w:val="both"/>
      </w:pPr>
      <w:r>
        <w:rPr>
          <w:rFonts w:ascii="Arial" w:eastAsia="Arial" w:hAnsi="Arial" w:cs="Arial"/>
        </w:rPr>
        <w:t>El estudio económico determina los ingresos/costes para el año 2021 (año 1). Para el año 2 y sucesivos, se han considerado los siguien</w:t>
      </w:r>
      <w:r>
        <w:rPr>
          <w:rFonts w:ascii="Arial" w:eastAsia="Arial" w:hAnsi="Arial" w:cs="Arial"/>
        </w:rPr>
        <w:t xml:space="preserve">tes incrementos: </w:t>
      </w:r>
    </w:p>
    <w:p w:rsidR="00FF384B" w:rsidRDefault="003E3BA9">
      <w:pPr>
        <w:spacing w:after="0"/>
        <w:ind w:left="720"/>
      </w:pPr>
      <w:r>
        <w:rPr>
          <w:rFonts w:ascii="Arial" w:eastAsia="Arial" w:hAnsi="Arial" w:cs="Arial"/>
        </w:rPr>
        <w:t xml:space="preserve"> </w:t>
      </w:r>
    </w:p>
    <w:p w:rsidR="00FF384B" w:rsidRDefault="003E3BA9">
      <w:pPr>
        <w:numPr>
          <w:ilvl w:val="1"/>
          <w:numId w:val="291"/>
        </w:numPr>
        <w:spacing w:after="12" w:line="249" w:lineRule="auto"/>
        <w:ind w:right="245" w:hanging="360"/>
        <w:jc w:val="both"/>
      </w:pPr>
      <w:r>
        <w:rPr>
          <w:rFonts w:ascii="Arial" w:eastAsia="Arial" w:hAnsi="Arial" w:cs="Arial"/>
        </w:rPr>
        <w:t xml:space="preserve">Incremento anual de costes de personal es de 2.1% (art 34 Convenio 1.25%). </w:t>
      </w:r>
    </w:p>
    <w:p w:rsidR="00FF384B" w:rsidRDefault="003E3BA9">
      <w:pPr>
        <w:numPr>
          <w:ilvl w:val="1"/>
          <w:numId w:val="291"/>
        </w:numPr>
        <w:spacing w:after="5" w:line="247" w:lineRule="auto"/>
        <w:ind w:right="245" w:hanging="360"/>
        <w:jc w:val="both"/>
      </w:pPr>
      <w:r>
        <w:rPr>
          <w:rFonts w:ascii="Arial" w:eastAsia="Arial" w:hAnsi="Arial" w:cs="Arial"/>
        </w:rPr>
        <w:t xml:space="preserve">Incremento anual del resto de costes es de 1.4%. </w:t>
      </w:r>
    </w:p>
    <w:p w:rsidR="00FF384B" w:rsidRDefault="003E3BA9">
      <w:pPr>
        <w:spacing w:after="0"/>
        <w:ind w:left="1080"/>
      </w:pPr>
      <w:r>
        <w:rPr>
          <w:rFonts w:ascii="Arial" w:eastAsia="Arial" w:hAnsi="Arial" w:cs="Arial"/>
        </w:rPr>
        <w:t xml:space="preserve"> </w:t>
      </w:r>
    </w:p>
    <w:p w:rsidR="00FF384B" w:rsidRDefault="003E3BA9">
      <w:pPr>
        <w:numPr>
          <w:ilvl w:val="0"/>
          <w:numId w:val="291"/>
        </w:numPr>
        <w:spacing w:after="5" w:line="247" w:lineRule="auto"/>
        <w:ind w:right="244" w:hanging="360"/>
        <w:jc w:val="both"/>
      </w:pPr>
      <w:r>
        <w:rPr>
          <w:rFonts w:ascii="Arial" w:eastAsia="Arial" w:hAnsi="Arial" w:cs="Arial"/>
        </w:rPr>
        <w:t xml:space="preserve">Dada una tasa de descuento del 2,30%. </w:t>
      </w:r>
    </w:p>
    <w:p w:rsidR="00FF384B" w:rsidRDefault="003E3BA9">
      <w:pPr>
        <w:spacing w:after="0"/>
        <w:ind w:left="720"/>
      </w:pPr>
      <w:r>
        <w:rPr>
          <w:rFonts w:ascii="Arial" w:eastAsia="Arial" w:hAnsi="Arial" w:cs="Arial"/>
        </w:rPr>
        <w:t xml:space="preserve"> </w:t>
      </w:r>
    </w:p>
    <w:p w:rsidR="00FF384B" w:rsidRDefault="003E3BA9">
      <w:pPr>
        <w:spacing w:after="12"/>
      </w:pPr>
      <w:r>
        <w:rPr>
          <w:noProof/>
        </w:rPr>
        <mc:AlternateContent>
          <mc:Choice Requires="wpg">
            <w:drawing>
              <wp:inline distT="0" distB="0" distL="0" distR="0">
                <wp:extent cx="5448046" cy="3104413"/>
                <wp:effectExtent l="0" t="0" r="0" b="0"/>
                <wp:docPr id="519943" name="Group 519943"/>
                <wp:cNvGraphicFramePr/>
                <a:graphic xmlns:a="http://schemas.openxmlformats.org/drawingml/2006/main">
                  <a:graphicData uri="http://schemas.microsoft.com/office/word/2010/wordprocessingGroup">
                    <wpg:wgp>
                      <wpg:cNvGrpSpPr/>
                      <wpg:grpSpPr>
                        <a:xfrm>
                          <a:off x="0" y="0"/>
                          <a:ext cx="5448046" cy="3104413"/>
                          <a:chOff x="0" y="0"/>
                          <a:chExt cx="5448046" cy="3104413"/>
                        </a:xfrm>
                      </wpg:grpSpPr>
                      <wps:wsp>
                        <wps:cNvPr id="45822" name="Rectangle 45822"/>
                        <wps:cNvSpPr/>
                        <wps:spPr>
                          <a:xfrm>
                            <a:off x="5409946" y="2798547"/>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823" name="Rectangle 45823"/>
                        <wps:cNvSpPr/>
                        <wps:spPr>
                          <a:xfrm>
                            <a:off x="305" y="2935707"/>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829" name="Picture 45829"/>
                          <pic:cNvPicPr/>
                        </pic:nvPicPr>
                        <pic:blipFill>
                          <a:blip r:embed="rId80"/>
                          <a:stretch>
                            <a:fillRect/>
                          </a:stretch>
                        </pic:blipFill>
                        <pic:spPr>
                          <a:xfrm>
                            <a:off x="0" y="0"/>
                            <a:ext cx="5401056" cy="2926080"/>
                          </a:xfrm>
                          <a:prstGeom prst="rect">
                            <a:avLst/>
                          </a:prstGeom>
                        </pic:spPr>
                      </pic:pic>
                      <wps:wsp>
                        <wps:cNvPr id="45906" name="Shape 45906"/>
                        <wps:cNvSpPr/>
                        <wps:spPr>
                          <a:xfrm>
                            <a:off x="5053584" y="2328672"/>
                            <a:ext cx="230124" cy="601980"/>
                          </a:xfrm>
                          <a:custGeom>
                            <a:avLst/>
                            <a:gdLst/>
                            <a:ahLst/>
                            <a:cxnLst/>
                            <a:rect l="0" t="0" r="0" b="0"/>
                            <a:pathLst>
                              <a:path w="230124" h="601980">
                                <a:moveTo>
                                  <a:pt x="0" y="601980"/>
                                </a:moveTo>
                                <a:lnTo>
                                  <a:pt x="230124" y="601980"/>
                                </a:lnTo>
                                <a:lnTo>
                                  <a:pt x="230124" y="0"/>
                                </a:lnTo>
                                <a:lnTo>
                                  <a:pt x="0" y="0"/>
                                </a:ln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943" style="width:428.98pt;height:244.442pt;mso-position-horizontal-relative:char;mso-position-vertical-relative:line" coordsize="54480,31044">
                <v:rect id="Rectangle 45822" style="position:absolute;width:506;height:2243;left:54099;top:2798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5823" style="position:absolute;width:506;height:2243;left:3;top:293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45829" style="position:absolute;width:54010;height:29260;left:0;top:0;" filled="f">
                  <v:imagedata r:id="rId71"/>
                </v:shape>
                <v:shape id="Shape 45906" style="position:absolute;width:2301;height:6019;left:50535;top:23286;" coordsize="230124,601980" path="m0,601980l230124,601980l230124,0l0,0x">
                  <v:stroke weight="0.96pt" endcap="flat" joinstyle="miter" miterlimit="10" on="true" color="#ff0000"/>
                  <v:fill on="false" color="#000000" opacity="0"/>
                </v:shape>
              </v:group>
            </w:pict>
          </mc:Fallback>
        </mc:AlternateContent>
      </w:r>
    </w:p>
    <w:tbl>
      <w:tblPr>
        <w:tblStyle w:val="TableGrid"/>
        <w:tblW w:w="8497" w:type="dxa"/>
        <w:tblInd w:w="4" w:type="dxa"/>
        <w:tblCellMar>
          <w:top w:w="18" w:type="dxa"/>
          <w:left w:w="22" w:type="dxa"/>
          <w:bottom w:w="1" w:type="dxa"/>
          <w:right w:w="33" w:type="dxa"/>
        </w:tblCellMar>
        <w:tblLook w:val="04A0" w:firstRow="1" w:lastRow="0" w:firstColumn="1" w:lastColumn="0" w:noHBand="0" w:noVBand="1"/>
      </w:tblPr>
      <w:tblGrid>
        <w:gridCol w:w="2946"/>
        <w:gridCol w:w="925"/>
        <w:gridCol w:w="925"/>
        <w:gridCol w:w="925"/>
        <w:gridCol w:w="925"/>
        <w:gridCol w:w="925"/>
        <w:gridCol w:w="926"/>
      </w:tblGrid>
      <w:tr w:rsidR="00FF384B">
        <w:trPr>
          <w:trHeight w:val="179"/>
        </w:trPr>
        <w:tc>
          <w:tcPr>
            <w:tcW w:w="2946" w:type="dxa"/>
            <w:tcBorders>
              <w:top w:val="single" w:sz="4" w:space="0" w:color="D4D4D4"/>
              <w:left w:val="single" w:sz="4" w:space="0" w:color="D4D4D4"/>
              <w:bottom w:val="single" w:sz="4" w:space="0" w:color="000000"/>
              <w:right w:val="single" w:sz="4" w:space="0" w:color="D4D4D4"/>
            </w:tcBorders>
          </w:tcPr>
          <w:p w:rsidR="00FF384B" w:rsidRDefault="00FF384B"/>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ago-20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9"/>
              <w:jc w:val="center"/>
            </w:pPr>
            <w:r>
              <w:rPr>
                <w:rFonts w:ascii="Arial" w:eastAsia="Arial" w:hAnsi="Arial" w:cs="Arial"/>
                <w:sz w:val="14"/>
              </w:rPr>
              <w:t>sep-20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oct-20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0"/>
              <w:jc w:val="center"/>
            </w:pPr>
            <w:r>
              <w:rPr>
                <w:rFonts w:ascii="Arial" w:eastAsia="Arial" w:hAnsi="Arial" w:cs="Arial"/>
                <w:sz w:val="14"/>
              </w:rPr>
              <w:t>nov-20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dic-20</w:t>
            </w:r>
          </w:p>
        </w:tc>
        <w:tc>
          <w:tcPr>
            <w:tcW w:w="926"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8"/>
              <w:jc w:val="center"/>
            </w:pPr>
            <w:r>
              <w:rPr>
                <w:rFonts w:ascii="Arial" w:eastAsia="Arial" w:hAnsi="Arial" w:cs="Arial"/>
                <w:sz w:val="14"/>
              </w:rPr>
              <w:t>ene-21</w:t>
            </w:r>
          </w:p>
        </w:tc>
      </w:tr>
      <w:tr w:rsidR="00FF384B">
        <w:trPr>
          <w:trHeight w:val="188"/>
        </w:trPr>
        <w:tc>
          <w:tcPr>
            <w:tcW w:w="294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
              <w:jc w:val="center"/>
            </w:pPr>
            <w:r>
              <w:rPr>
                <w:rFonts w:ascii="Arial" w:eastAsia="Arial" w:hAnsi="Arial" w:cs="Arial"/>
                <w:b/>
                <w:sz w:val="14"/>
              </w:rPr>
              <w:t>Rentabilidad obligaciones a 10 años.</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0,29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0"/>
              <w:jc w:val="center"/>
            </w:pPr>
            <w:r>
              <w:rPr>
                <w:rFonts w:ascii="Arial" w:eastAsia="Arial" w:hAnsi="Arial" w:cs="Arial"/>
                <w:sz w:val="14"/>
              </w:rPr>
              <w:t>0,27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0,17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0,04</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8"/>
              <w:jc w:val="center"/>
            </w:pPr>
            <w:r>
              <w:rPr>
                <w:rFonts w:ascii="Arial" w:eastAsia="Arial" w:hAnsi="Arial" w:cs="Arial"/>
                <w:sz w:val="14"/>
              </w:rPr>
              <w:t>0,08</w:t>
            </w:r>
          </w:p>
        </w:tc>
      </w:tr>
      <w:tr w:rsidR="00FF384B">
        <w:trPr>
          <w:trHeight w:val="179"/>
        </w:trPr>
        <w:tc>
          <w:tcPr>
            <w:tcW w:w="4796" w:type="dxa"/>
            <w:gridSpan w:val="3"/>
            <w:vMerge w:val="restart"/>
            <w:tcBorders>
              <w:top w:val="single" w:sz="4" w:space="0" w:color="000000"/>
              <w:left w:val="single" w:sz="4" w:space="0" w:color="D4D4D4"/>
              <w:bottom w:val="single" w:sz="4" w:space="0" w:color="D4D4D4"/>
              <w:right w:val="single" w:sz="4" w:space="0" w:color="000000"/>
            </w:tcBorders>
            <w:vAlign w:val="bottom"/>
          </w:tcPr>
          <w:p w:rsidR="00FF384B" w:rsidRDefault="003E3BA9">
            <w:pPr>
              <w:spacing w:after="0"/>
            </w:pPr>
            <w:r>
              <w:rPr>
                <w:rFonts w:ascii="Arial" w:eastAsia="Arial" w:hAnsi="Arial" w:cs="Arial"/>
                <w:color w:val="808080"/>
                <w:sz w:val="12"/>
              </w:rPr>
              <w:t>Fuente: BANCO DE ESPAÑA/ SÍNTESIS DE INDICADORES 05/03/2021</w:t>
            </w:r>
          </w:p>
        </w:tc>
        <w:tc>
          <w:tcPr>
            <w:tcW w:w="925" w:type="dxa"/>
            <w:tcBorders>
              <w:top w:val="single" w:sz="4" w:space="0" w:color="000000"/>
              <w:left w:val="single" w:sz="4" w:space="0" w:color="D4D4D4"/>
              <w:bottom w:val="single" w:sz="4" w:space="0" w:color="000000"/>
              <w:right w:val="single" w:sz="4" w:space="0" w:color="D4D4D4"/>
            </w:tcBorders>
          </w:tcPr>
          <w:p w:rsidR="00FF384B" w:rsidRDefault="00FF384B"/>
        </w:tc>
        <w:tc>
          <w:tcPr>
            <w:tcW w:w="925" w:type="dxa"/>
            <w:tcBorders>
              <w:top w:val="single" w:sz="4" w:space="0" w:color="000000"/>
              <w:left w:val="single" w:sz="4" w:space="0" w:color="D4D4D4"/>
              <w:bottom w:val="single" w:sz="4" w:space="0" w:color="000000"/>
              <w:right w:val="single" w:sz="4" w:space="0" w:color="000000"/>
            </w:tcBorders>
          </w:tcPr>
          <w:p w:rsidR="00FF384B" w:rsidRDefault="00FF384B"/>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sz w:val="14"/>
              </w:rPr>
              <w:t>Media</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sz w:val="14"/>
              </w:rPr>
              <w:t>0,16</w:t>
            </w:r>
          </w:p>
        </w:tc>
      </w:tr>
      <w:tr w:rsidR="00FF384B">
        <w:trPr>
          <w:trHeight w:val="188"/>
        </w:trPr>
        <w:tc>
          <w:tcPr>
            <w:tcW w:w="0" w:type="auto"/>
            <w:gridSpan w:val="3"/>
            <w:vMerge/>
            <w:tcBorders>
              <w:top w:val="nil"/>
              <w:left w:val="single" w:sz="4" w:space="0" w:color="D4D4D4"/>
              <w:bottom w:val="single" w:sz="4" w:space="0" w:color="D4D4D4"/>
              <w:right w:val="single" w:sz="4" w:space="0" w:color="000000"/>
            </w:tcBorders>
          </w:tcPr>
          <w:p w:rsidR="00FF384B" w:rsidRDefault="00FF384B"/>
        </w:tc>
        <w:tc>
          <w:tcPr>
            <w:tcW w:w="2775" w:type="dxa"/>
            <w:gridSpan w:val="3"/>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b/>
                <w:sz w:val="14"/>
              </w:rPr>
              <w:t>Tasa de descuento: Media+200 (b)</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b/>
                <w:sz w:val="14"/>
              </w:rPr>
              <w:t>2,16</w:t>
            </w:r>
          </w:p>
        </w:tc>
      </w:tr>
    </w:tbl>
    <w:p w:rsidR="00FF384B" w:rsidRDefault="003E3BA9">
      <w:pPr>
        <w:spacing w:after="0"/>
      </w:pPr>
      <w:r>
        <w:rPr>
          <w:rFonts w:ascii="Times New Roman" w:eastAsia="Times New Roman" w:hAnsi="Times New Roman" w:cs="Times New Roman"/>
          <w:sz w:val="24"/>
        </w:rPr>
        <w:t xml:space="preserve"> </w:t>
      </w:r>
    </w:p>
    <w:p w:rsidR="00FF384B" w:rsidRDefault="003E3BA9">
      <w:pPr>
        <w:spacing w:after="5" w:line="247" w:lineRule="auto"/>
        <w:ind w:left="10" w:right="244" w:hanging="10"/>
        <w:jc w:val="both"/>
      </w:pPr>
      <w:r>
        <w:rPr>
          <w:noProof/>
        </w:rPr>
        <mc:AlternateContent>
          <mc:Choice Requires="wpg">
            <w:drawing>
              <wp:anchor distT="0" distB="0" distL="114300" distR="114300" simplePos="0" relativeHeight="251911168"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19945" name="Group 51994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5908" name="Picture 45908"/>
                          <pic:cNvPicPr/>
                        </pic:nvPicPr>
                        <pic:blipFill>
                          <a:blip r:embed="rId62"/>
                          <a:stretch>
                            <a:fillRect/>
                          </a:stretch>
                        </pic:blipFill>
                        <pic:spPr>
                          <a:xfrm rot="-5399999">
                            <a:off x="-1720849" y="1720849"/>
                            <a:ext cx="3797300" cy="355601"/>
                          </a:xfrm>
                          <a:prstGeom prst="rect">
                            <a:avLst/>
                          </a:prstGeom>
                        </pic:spPr>
                      </pic:pic>
                      <wps:wsp>
                        <wps:cNvPr id="45909" name="Rectangle 4590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5910" name="Rectangle 4591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9945" style="width:41.2715pt;height:299pt;position:absolute;mso-position-horizontal-relative:page;mso-position-horizontal:absolute;margin-left:653.71pt;mso-position-vertical-relative:page;margin-top:512.92pt;" coordsize="5241,37973">
                <v:shape id="Picture 45908" style="position:absolute;width:37973;height:3556;left:-17208;top:17208;rotation:-89;" filled="f">
                  <v:imagedata r:id="rId63"/>
                </v:shape>
                <v:rect id="Rectangle 4590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591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246 de 353 </w:t>
                        </w:r>
                      </w:p>
                    </w:txbxContent>
                  </v:textbox>
                </v:rect>
                <w10:wrap type="topAndBottom"/>
              </v:group>
            </w:pict>
          </mc:Fallback>
        </mc:AlternateContent>
      </w:r>
      <w:r>
        <w:rPr>
          <w:rFonts w:ascii="Arial" w:eastAsia="Arial" w:hAnsi="Arial" w:cs="Arial"/>
        </w:rPr>
        <w:t>El periodo de recuperación de las inversiones se calcula en b</w:t>
      </w:r>
      <w:r>
        <w:rPr>
          <w:rFonts w:ascii="Arial" w:eastAsia="Arial" w:hAnsi="Arial" w:cs="Arial"/>
        </w:rPr>
        <w:t>ase de la normativa de aplicación en la siguiente tabla:</w:t>
      </w:r>
    </w:p>
    <w:p w:rsidR="00FF384B" w:rsidRDefault="00FF384B">
      <w:pPr>
        <w:sectPr w:rsidR="00FF384B">
          <w:headerReference w:type="even" r:id="rId101"/>
          <w:headerReference w:type="default" r:id="rId102"/>
          <w:footerReference w:type="even" r:id="rId103"/>
          <w:footerReference w:type="default" r:id="rId104"/>
          <w:headerReference w:type="first" r:id="rId105"/>
          <w:footerReference w:type="first" r:id="rId106"/>
          <w:pgSz w:w="14174" w:h="16838"/>
          <w:pgMar w:top="1997" w:right="2579" w:bottom="1440" w:left="2836" w:header="708" w:footer="687" w:gutter="0"/>
          <w:cols w:space="720"/>
        </w:sectPr>
      </w:pPr>
    </w:p>
    <w:p w:rsidR="00FF384B" w:rsidRDefault="003E3BA9">
      <w:pPr>
        <w:spacing w:after="5259"/>
      </w:pPr>
      <w:r>
        <w:rPr>
          <w:noProof/>
        </w:rPr>
        <w:drawing>
          <wp:inline distT="0" distB="0" distL="0" distR="0">
            <wp:extent cx="609600" cy="701040"/>
            <wp:effectExtent l="0" t="0" r="0" b="0"/>
            <wp:docPr id="45943" name="Picture 45943"/>
            <wp:cNvGraphicFramePr/>
            <a:graphic xmlns:a="http://schemas.openxmlformats.org/drawingml/2006/main">
              <a:graphicData uri="http://schemas.openxmlformats.org/drawingml/2006/picture">
                <pic:pic xmlns:pic="http://schemas.openxmlformats.org/drawingml/2006/picture">
                  <pic:nvPicPr>
                    <pic:cNvPr id="45943" name="Picture 45943"/>
                    <pic:cNvPicPr/>
                  </pic:nvPicPr>
                  <pic:blipFill>
                    <a:blip r:embed="rId78"/>
                    <a:stretch>
                      <a:fillRect/>
                    </a:stretch>
                  </pic:blipFill>
                  <pic:spPr>
                    <a:xfrm>
                      <a:off x="0" y="0"/>
                      <a:ext cx="609600" cy="70104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3767"/>
      </w:pPr>
      <w:r>
        <w:rPr>
          <w:rFonts w:ascii="Times New Roman" w:eastAsia="Times New Roman" w:hAnsi="Times New Roman" w:cs="Times New Roman"/>
          <w:sz w:val="24"/>
        </w:rPr>
        <w:t xml:space="preserve"> </w:t>
      </w:r>
    </w:p>
    <w:p w:rsidR="00FF384B" w:rsidRDefault="003E3BA9">
      <w:pPr>
        <w:spacing w:after="0"/>
        <w:ind w:right="3767"/>
      </w:pPr>
      <w:r>
        <w:rPr>
          <w:rFonts w:ascii="Times New Roman" w:eastAsia="Times New Roman" w:hAnsi="Times New Roman" w:cs="Times New Roman"/>
          <w:sz w:val="24"/>
        </w:rPr>
        <w:t xml:space="preserve"> </w:t>
      </w:r>
    </w:p>
    <w:tbl>
      <w:tblPr>
        <w:tblStyle w:val="TableGrid"/>
        <w:tblpPr w:vertAnchor="text" w:tblpX="-280" w:tblpY="-5893"/>
        <w:tblOverlap w:val="never"/>
        <w:tblW w:w="13420" w:type="dxa"/>
        <w:tblInd w:w="0" w:type="dxa"/>
        <w:tblCellMar>
          <w:top w:w="9" w:type="dxa"/>
          <w:left w:w="20" w:type="dxa"/>
          <w:bottom w:w="0" w:type="dxa"/>
          <w:right w:w="20" w:type="dxa"/>
        </w:tblCellMar>
        <w:tblLook w:val="04A0" w:firstRow="1" w:lastRow="0" w:firstColumn="1" w:lastColumn="0" w:noHBand="0" w:noVBand="1"/>
      </w:tblPr>
      <w:tblGrid>
        <w:gridCol w:w="3160"/>
        <w:gridCol w:w="1273"/>
        <w:gridCol w:w="1581"/>
        <w:gridCol w:w="1179"/>
        <w:gridCol w:w="1038"/>
        <w:gridCol w:w="1037"/>
        <w:gridCol w:w="1037"/>
        <w:gridCol w:w="1038"/>
        <w:gridCol w:w="1038"/>
        <w:gridCol w:w="1037"/>
      </w:tblGrid>
      <w:tr w:rsidR="00FF384B">
        <w:trPr>
          <w:trHeight w:val="176"/>
        </w:trPr>
        <w:tc>
          <w:tcPr>
            <w:tcW w:w="3160" w:type="dxa"/>
            <w:tcBorders>
              <w:top w:val="single" w:sz="3" w:space="0" w:color="D4D4D4"/>
              <w:left w:val="single" w:sz="3" w:space="0" w:color="D4D4D4"/>
              <w:bottom w:val="single" w:sz="3" w:space="0" w:color="D4D4D4"/>
              <w:right w:val="nil"/>
            </w:tcBorders>
          </w:tcPr>
          <w:p w:rsidR="00FF384B" w:rsidRDefault="00FF384B"/>
        </w:tc>
        <w:tc>
          <w:tcPr>
            <w:tcW w:w="10259" w:type="dxa"/>
            <w:gridSpan w:val="9"/>
            <w:tcBorders>
              <w:top w:val="single" w:sz="3" w:space="0" w:color="D4D4D4"/>
              <w:left w:val="nil"/>
              <w:bottom w:val="single" w:sz="3" w:space="0" w:color="D4D4D4"/>
              <w:right w:val="single" w:sz="3" w:space="0" w:color="D4D4D4"/>
            </w:tcBorders>
          </w:tcPr>
          <w:p w:rsidR="00FF384B" w:rsidRDefault="003E3BA9">
            <w:pPr>
              <w:spacing w:after="0"/>
              <w:ind w:left="1759"/>
            </w:pPr>
            <w:r>
              <w:rPr>
                <w:rFonts w:ascii="Arial" w:eastAsia="Arial" w:hAnsi="Arial" w:cs="Arial"/>
                <w:b/>
                <w:sz w:val="13"/>
              </w:rPr>
              <w:t>PERIODO DE RECUPERACIÓN DE LA INVERSIÓN (PRI)</w:t>
            </w:r>
          </w:p>
        </w:tc>
      </w:tr>
      <w:tr w:rsidR="00FF384B">
        <w:trPr>
          <w:trHeight w:val="176"/>
        </w:trPr>
        <w:tc>
          <w:tcPr>
            <w:tcW w:w="3160" w:type="dxa"/>
            <w:tcBorders>
              <w:top w:val="single" w:sz="3" w:space="0" w:color="D4D4D4"/>
              <w:left w:val="single" w:sz="3" w:space="0" w:color="D4D4D4"/>
              <w:bottom w:val="single" w:sz="3" w:space="0" w:color="D4D4D4"/>
              <w:right w:val="single" w:sz="3" w:space="0" w:color="D4D4D4"/>
            </w:tcBorders>
          </w:tcPr>
          <w:p w:rsidR="00FF384B" w:rsidRDefault="00FF384B"/>
        </w:tc>
        <w:tc>
          <w:tcPr>
            <w:tcW w:w="1273" w:type="dxa"/>
            <w:tcBorders>
              <w:top w:val="single" w:sz="3" w:space="0" w:color="D4D4D4"/>
              <w:left w:val="single" w:sz="3" w:space="0" w:color="D4D4D4"/>
              <w:bottom w:val="single" w:sz="3" w:space="0" w:color="D4D4D4"/>
              <w:right w:val="single" w:sz="3" w:space="0" w:color="D4D4D4"/>
            </w:tcBorders>
          </w:tcPr>
          <w:p w:rsidR="00FF384B" w:rsidRDefault="00FF384B"/>
        </w:tc>
        <w:tc>
          <w:tcPr>
            <w:tcW w:w="1581" w:type="dxa"/>
            <w:tcBorders>
              <w:top w:val="single" w:sz="3" w:space="0" w:color="D4D4D4"/>
              <w:left w:val="single" w:sz="3" w:space="0" w:color="D4D4D4"/>
              <w:bottom w:val="single" w:sz="3" w:space="0" w:color="D4D4D4"/>
              <w:right w:val="single" w:sz="3" w:space="0" w:color="D4D4D4"/>
            </w:tcBorders>
          </w:tcPr>
          <w:p w:rsidR="00FF384B" w:rsidRDefault="00FF384B"/>
        </w:tc>
        <w:tc>
          <w:tcPr>
            <w:tcW w:w="1179"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r>
      <w:tr w:rsidR="00FF384B">
        <w:trPr>
          <w:trHeight w:val="166"/>
        </w:trPr>
        <w:tc>
          <w:tcPr>
            <w:tcW w:w="3160" w:type="dxa"/>
            <w:tcBorders>
              <w:top w:val="single" w:sz="3" w:space="0" w:color="D4D4D4"/>
              <w:left w:val="single" w:sz="3" w:space="0" w:color="D4D4D4"/>
              <w:bottom w:val="single" w:sz="3" w:space="0" w:color="000000"/>
              <w:right w:val="nil"/>
            </w:tcBorders>
          </w:tcPr>
          <w:p w:rsidR="00FF384B" w:rsidRDefault="00FF384B"/>
        </w:tc>
        <w:tc>
          <w:tcPr>
            <w:tcW w:w="10259" w:type="dxa"/>
            <w:gridSpan w:val="9"/>
            <w:tcBorders>
              <w:top w:val="single" w:sz="3" w:space="0" w:color="D4D4D4"/>
              <w:left w:val="nil"/>
              <w:bottom w:val="single" w:sz="3" w:space="0" w:color="000000"/>
              <w:right w:val="single" w:sz="3" w:space="0" w:color="D4D4D4"/>
            </w:tcBorders>
          </w:tcPr>
          <w:p w:rsidR="00FF384B" w:rsidRDefault="003E3BA9">
            <w:pPr>
              <w:spacing w:after="0"/>
              <w:ind w:right="13"/>
              <w:jc w:val="right"/>
            </w:pPr>
            <w:r>
              <w:rPr>
                <w:rFonts w:ascii="Arial" w:eastAsia="Arial" w:hAnsi="Arial" w:cs="Arial"/>
                <w:sz w:val="13"/>
              </w:rPr>
              <w:t>EN Miles de €</w:t>
            </w:r>
          </w:p>
        </w:tc>
      </w:tr>
      <w:tr w:rsidR="00FF384B">
        <w:trPr>
          <w:trHeight w:val="177"/>
        </w:trPr>
        <w:tc>
          <w:tcPr>
            <w:tcW w:w="3160" w:type="dxa"/>
            <w:vMerge w:val="restart"/>
            <w:tcBorders>
              <w:top w:val="single" w:sz="3" w:space="0" w:color="000000"/>
              <w:left w:val="single" w:sz="3" w:space="0" w:color="000000"/>
              <w:bottom w:val="single" w:sz="3" w:space="0" w:color="000000"/>
              <w:right w:val="single" w:sz="3" w:space="0" w:color="000000"/>
            </w:tcBorders>
            <w:vAlign w:val="center"/>
          </w:tcPr>
          <w:p w:rsidR="00FF384B" w:rsidRDefault="003E3BA9">
            <w:pPr>
              <w:spacing w:after="0"/>
              <w:ind w:left="5"/>
              <w:jc w:val="center"/>
            </w:pPr>
            <w:r>
              <w:rPr>
                <w:rFonts w:ascii="Arial" w:eastAsia="Arial" w:hAnsi="Arial" w:cs="Arial"/>
                <w:b/>
                <w:sz w:val="16"/>
              </w:rPr>
              <w:t>CONCEPTO</w:t>
            </w:r>
          </w:p>
        </w:tc>
        <w:tc>
          <w:tcPr>
            <w:tcW w:w="10259" w:type="dxa"/>
            <w:gridSpan w:val="9"/>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Años</w:t>
            </w:r>
          </w:p>
        </w:tc>
      </w:tr>
      <w:tr w:rsidR="00FF384B">
        <w:trPr>
          <w:trHeight w:val="177"/>
        </w:trPr>
        <w:tc>
          <w:tcPr>
            <w:tcW w:w="0" w:type="auto"/>
            <w:vMerge/>
            <w:tcBorders>
              <w:top w:val="nil"/>
              <w:left w:val="single" w:sz="3" w:space="0" w:color="000000"/>
              <w:bottom w:val="nil"/>
              <w:right w:val="single" w:sz="3" w:space="0" w:color="000000"/>
            </w:tcBorders>
          </w:tcPr>
          <w:p w:rsidR="00FF384B" w:rsidRDefault="00FF384B"/>
        </w:tc>
        <w:tc>
          <w:tcPr>
            <w:tcW w:w="1273"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2021</w:t>
            </w:r>
          </w:p>
        </w:tc>
        <w:tc>
          <w:tcPr>
            <w:tcW w:w="1581"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2021</w:t>
            </w:r>
          </w:p>
        </w:tc>
        <w:tc>
          <w:tcPr>
            <w:tcW w:w="1179"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2022</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2023</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2024</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2025</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2026</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2027</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2028</w:t>
            </w:r>
          </w:p>
        </w:tc>
      </w:tr>
      <w:tr w:rsidR="00FF384B">
        <w:trPr>
          <w:trHeight w:val="165"/>
        </w:trPr>
        <w:tc>
          <w:tcPr>
            <w:tcW w:w="0" w:type="auto"/>
            <w:vMerge/>
            <w:tcBorders>
              <w:top w:val="nil"/>
              <w:left w:val="single" w:sz="3" w:space="0" w:color="000000"/>
              <w:bottom w:val="single" w:sz="3" w:space="0" w:color="000000"/>
              <w:right w:val="single" w:sz="3" w:space="0" w:color="000000"/>
            </w:tcBorders>
          </w:tcPr>
          <w:p w:rsidR="00FF384B" w:rsidRDefault="00FF384B"/>
        </w:tc>
        <w:tc>
          <w:tcPr>
            <w:tcW w:w="1273"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1"/>
              <w:jc w:val="center"/>
            </w:pPr>
            <w:r>
              <w:rPr>
                <w:rFonts w:ascii="Arial" w:eastAsia="Arial" w:hAnsi="Arial" w:cs="Arial"/>
                <w:sz w:val="10"/>
              </w:rPr>
              <w:t>0</w:t>
            </w:r>
          </w:p>
        </w:tc>
        <w:tc>
          <w:tcPr>
            <w:tcW w:w="1581"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1</w:t>
            </w:r>
          </w:p>
        </w:tc>
        <w:tc>
          <w:tcPr>
            <w:tcW w:w="1179"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2</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3</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4</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5</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6</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4"/>
              <w:jc w:val="center"/>
            </w:pPr>
            <w:r>
              <w:rPr>
                <w:rFonts w:ascii="Arial" w:eastAsia="Arial" w:hAnsi="Arial" w:cs="Arial"/>
                <w:sz w:val="10"/>
              </w:rPr>
              <w:t>7</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5"/>
              <w:jc w:val="center"/>
            </w:pPr>
            <w:r>
              <w:rPr>
                <w:rFonts w:ascii="Arial" w:eastAsia="Arial" w:hAnsi="Arial" w:cs="Arial"/>
                <w:sz w:val="10"/>
              </w:rPr>
              <w:t>8</w:t>
            </w:r>
          </w:p>
        </w:tc>
      </w:tr>
      <w:tr w:rsidR="00FF384B">
        <w:trPr>
          <w:trHeight w:val="181"/>
        </w:trPr>
        <w:tc>
          <w:tcPr>
            <w:tcW w:w="3160" w:type="dxa"/>
            <w:tcBorders>
              <w:top w:val="single" w:sz="3" w:space="0" w:color="000000"/>
              <w:left w:val="single" w:sz="3" w:space="0" w:color="000000"/>
              <w:bottom w:val="nil"/>
              <w:right w:val="single" w:sz="3" w:space="0" w:color="000000"/>
            </w:tcBorders>
            <w:shd w:val="clear" w:color="auto" w:fill="C4BD97"/>
          </w:tcPr>
          <w:p w:rsidR="00FF384B" w:rsidRDefault="003E3BA9">
            <w:pPr>
              <w:spacing w:after="0"/>
              <w:ind w:left="8"/>
            </w:pPr>
            <w:r>
              <w:rPr>
                <w:rFonts w:ascii="Arial" w:eastAsia="Arial" w:hAnsi="Arial" w:cs="Arial"/>
                <w:b/>
                <w:sz w:val="13"/>
              </w:rPr>
              <w:t>INGRESOS ANUALES ESTIMADOS</w:t>
            </w:r>
          </w:p>
        </w:tc>
        <w:tc>
          <w:tcPr>
            <w:tcW w:w="1273"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581"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179"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Contrato Ayto</w:t>
            </w:r>
          </w:p>
        </w:tc>
        <w:tc>
          <w:tcPr>
            <w:tcW w:w="1273" w:type="dxa"/>
            <w:tcBorders>
              <w:top w:val="nil"/>
              <w:left w:val="single" w:sz="3" w:space="0" w:color="000000"/>
              <w:bottom w:val="single" w:sz="3" w:space="0" w:color="D4D4D4"/>
              <w:right w:val="single" w:sz="3" w:space="0" w:color="000000"/>
            </w:tcBorders>
          </w:tcPr>
          <w:p w:rsidR="00FF384B" w:rsidRDefault="00FF384B"/>
        </w:tc>
        <w:tc>
          <w:tcPr>
            <w:tcW w:w="1581"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179"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w:t>
            </w:r>
            <w:r>
              <w:rPr>
                <w:rFonts w:ascii="Arial" w:eastAsia="Arial" w:hAnsi="Arial" w:cs="Arial"/>
                <w:sz w:val="13"/>
              </w:rPr>
              <w:t>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2.908.246,11 €</w:t>
            </w:r>
          </w:p>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Venta Selectiva</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80.000,00 €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FF384B"/>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FF384B"/>
        </w:tc>
        <w:tc>
          <w:tcPr>
            <w:tcW w:w="1179"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r>
      <w:tr w:rsidR="00FF384B">
        <w:trPr>
          <w:trHeight w:val="172"/>
        </w:trPr>
        <w:tc>
          <w:tcPr>
            <w:tcW w:w="3160" w:type="dxa"/>
            <w:tcBorders>
              <w:top w:val="nil"/>
              <w:left w:val="single" w:sz="3" w:space="0" w:color="000000"/>
              <w:bottom w:val="nil"/>
              <w:right w:val="single" w:sz="3" w:space="0" w:color="000000"/>
            </w:tcBorders>
            <w:shd w:val="clear" w:color="auto" w:fill="C4BD97"/>
          </w:tcPr>
          <w:p w:rsidR="00FF384B" w:rsidRDefault="003E3BA9">
            <w:pPr>
              <w:spacing w:after="0"/>
            </w:pPr>
            <w:r>
              <w:rPr>
                <w:rFonts w:ascii="Arial" w:eastAsia="Arial" w:hAnsi="Arial" w:cs="Arial"/>
                <w:sz w:val="13"/>
              </w:rPr>
              <w:t>TOTAL INGRESOS</w:t>
            </w:r>
          </w:p>
        </w:tc>
        <w:tc>
          <w:tcPr>
            <w:tcW w:w="1273" w:type="dxa"/>
            <w:tcBorders>
              <w:top w:val="nil"/>
              <w:left w:val="single" w:sz="3" w:space="0" w:color="000000"/>
              <w:bottom w:val="nil"/>
              <w:right w:val="single" w:sz="3" w:space="0" w:color="000000"/>
            </w:tcBorders>
            <w:shd w:val="clear" w:color="auto" w:fill="C4BD97"/>
          </w:tcPr>
          <w:p w:rsidR="00FF384B" w:rsidRDefault="00FF384B"/>
        </w:tc>
        <w:tc>
          <w:tcPr>
            <w:tcW w:w="1581"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179"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2"/>
            </w:pPr>
            <w:r>
              <w:rPr>
                <w:rFonts w:ascii="Arial" w:eastAsia="Arial" w:hAnsi="Arial" w:cs="Arial"/>
                <w:sz w:val="13"/>
              </w:rPr>
              <w:t xml:space="preserve">    2.988.246,11 €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80"/>
        </w:trPr>
        <w:tc>
          <w:tcPr>
            <w:tcW w:w="3160" w:type="dxa"/>
            <w:tcBorders>
              <w:top w:val="nil"/>
              <w:left w:val="single" w:sz="3" w:space="0" w:color="000000"/>
              <w:bottom w:val="nil"/>
              <w:right w:val="single" w:sz="3" w:space="0" w:color="000000"/>
            </w:tcBorders>
            <w:shd w:val="clear" w:color="auto" w:fill="FABF8F"/>
          </w:tcPr>
          <w:p w:rsidR="00FF384B" w:rsidRDefault="003E3BA9">
            <w:pPr>
              <w:spacing w:after="0"/>
            </w:pPr>
            <w:r>
              <w:rPr>
                <w:rFonts w:ascii="Arial" w:eastAsia="Arial" w:hAnsi="Arial" w:cs="Arial"/>
                <w:b/>
                <w:sz w:val="13"/>
              </w:rPr>
              <w:t>GASTOS ANUALES ESTIMADOS</w:t>
            </w:r>
          </w:p>
        </w:tc>
        <w:tc>
          <w:tcPr>
            <w:tcW w:w="1273" w:type="dxa"/>
            <w:tcBorders>
              <w:top w:val="nil"/>
              <w:left w:val="single" w:sz="3" w:space="0" w:color="000000"/>
              <w:bottom w:val="nil"/>
              <w:right w:val="single" w:sz="3" w:space="0" w:color="000000"/>
            </w:tcBorders>
            <w:shd w:val="clear" w:color="auto" w:fill="FABF8F"/>
          </w:tcPr>
          <w:p w:rsidR="00FF384B" w:rsidRDefault="00FF384B"/>
        </w:tc>
        <w:tc>
          <w:tcPr>
            <w:tcW w:w="1581" w:type="dxa"/>
            <w:tcBorders>
              <w:top w:val="nil"/>
              <w:left w:val="single" w:sz="3" w:space="0" w:color="000000"/>
              <w:bottom w:val="nil"/>
              <w:right w:val="single" w:sz="3" w:space="0" w:color="000000"/>
            </w:tcBorders>
            <w:shd w:val="clear" w:color="auto" w:fill="FABF8F"/>
          </w:tcPr>
          <w:p w:rsidR="00FF384B" w:rsidRDefault="00FF384B"/>
        </w:tc>
        <w:tc>
          <w:tcPr>
            <w:tcW w:w="1179"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Inversion parque movil</w:t>
            </w:r>
          </w:p>
        </w:tc>
        <w:tc>
          <w:tcPr>
            <w:tcW w:w="1273" w:type="dxa"/>
            <w:tcBorders>
              <w:top w:val="nil"/>
              <w:left w:val="single" w:sz="3" w:space="0" w:color="000000"/>
              <w:bottom w:val="single" w:sz="3" w:space="0" w:color="D4D4D4"/>
              <w:right w:val="single" w:sz="3" w:space="0" w:color="000000"/>
            </w:tcBorders>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single" w:sz="3" w:space="0" w:color="D4D4D4"/>
              <w:right w:val="single" w:sz="3" w:space="0" w:color="000000"/>
            </w:tcBorders>
          </w:tcPr>
          <w:p w:rsidR="00FF384B" w:rsidRDefault="00FF384B"/>
        </w:tc>
        <w:tc>
          <w:tcPr>
            <w:tcW w:w="1179"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Personal</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1.870.715,18 €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1.910.000,20 €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1.936.740,20 €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1.963.854,56 €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1.991.348,53 €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2.019.227,40 €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xml:space="preserve">-    </w:t>
            </w:r>
            <w:r>
              <w:rPr>
                <w:rFonts w:ascii="Arial" w:eastAsia="Arial" w:hAnsi="Arial" w:cs="Arial"/>
                <w:sz w:val="13"/>
              </w:rPr>
              <w:t>2.047.496,59 €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2.076.161,54 €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coste medios materiales</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278.588,32 €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282.488,56 €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286.443,40 €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290.453,60 €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294.519,95 €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298.643,23 €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302.824,24 €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307.063,78 €</w:t>
            </w:r>
          </w:p>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3E3BA9">
            <w:pPr>
              <w:spacing w:after="0"/>
            </w:pPr>
            <w:r>
              <w:rPr>
                <w:rFonts w:ascii="Arial" w:eastAsia="Arial" w:hAnsi="Arial" w:cs="Arial"/>
                <w:sz w:val="13"/>
              </w:rPr>
              <w:t>Gastos generales</w:t>
            </w:r>
          </w:p>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179"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8"/>
            </w:pPr>
            <w:r>
              <w:rPr>
                <w:rFonts w:ascii="Arial" w:eastAsia="Arial" w:hAnsi="Arial" w:cs="Arial"/>
                <w:sz w:val="13"/>
              </w:rPr>
              <w:t>-       133.930,00 €</w:t>
            </w:r>
          </w:p>
        </w:tc>
      </w:tr>
      <w:tr w:rsidR="00FF384B">
        <w:trPr>
          <w:trHeight w:val="172"/>
        </w:trPr>
        <w:tc>
          <w:tcPr>
            <w:tcW w:w="3160" w:type="dxa"/>
            <w:tcBorders>
              <w:top w:val="nil"/>
              <w:left w:val="single" w:sz="3" w:space="0" w:color="000000"/>
              <w:bottom w:val="nil"/>
              <w:right w:val="single" w:sz="3" w:space="0" w:color="000000"/>
            </w:tcBorders>
            <w:shd w:val="clear" w:color="auto" w:fill="F79646"/>
          </w:tcPr>
          <w:p w:rsidR="00FF384B" w:rsidRDefault="003E3BA9">
            <w:pPr>
              <w:spacing w:after="0"/>
            </w:pPr>
            <w:r>
              <w:rPr>
                <w:rFonts w:ascii="Arial" w:eastAsia="Arial" w:hAnsi="Arial" w:cs="Arial"/>
                <w:sz w:val="13"/>
              </w:rPr>
              <w:t>TOTAL DE GASTOS</w:t>
            </w:r>
          </w:p>
        </w:tc>
        <w:tc>
          <w:tcPr>
            <w:tcW w:w="1273" w:type="dxa"/>
            <w:tcBorders>
              <w:top w:val="nil"/>
              <w:left w:val="single" w:sz="3" w:space="0" w:color="000000"/>
              <w:bottom w:val="nil"/>
              <w:right w:val="single" w:sz="3" w:space="0" w:color="000000"/>
            </w:tcBorders>
            <w:shd w:val="clear" w:color="auto" w:fill="F79646"/>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2.283.233,50 €</w:t>
            </w:r>
          </w:p>
        </w:tc>
        <w:tc>
          <w:tcPr>
            <w:tcW w:w="1179"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2.326.418,76 €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2.357.113,60 €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2.388.238,17 €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2.419.798,48 €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2.451.800,64 €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2.484.250,83 €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8"/>
            </w:pPr>
            <w:r>
              <w:rPr>
                <w:rFonts w:ascii="Arial" w:eastAsia="Arial" w:hAnsi="Arial" w:cs="Arial"/>
                <w:sz w:val="13"/>
              </w:rPr>
              <w:t>-    2.517.155,32 €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76"/>
        </w:trPr>
        <w:tc>
          <w:tcPr>
            <w:tcW w:w="3160" w:type="dxa"/>
            <w:tcBorders>
              <w:top w:val="nil"/>
              <w:left w:val="single" w:sz="3" w:space="0" w:color="000000"/>
              <w:bottom w:val="nil"/>
              <w:right w:val="single" w:sz="3" w:space="0" w:color="000000"/>
            </w:tcBorders>
            <w:shd w:val="clear" w:color="auto" w:fill="C4D79B"/>
          </w:tcPr>
          <w:p w:rsidR="00FF384B" w:rsidRDefault="003E3BA9">
            <w:pPr>
              <w:spacing w:after="0"/>
              <w:ind w:left="8"/>
            </w:pPr>
            <w:r>
              <w:rPr>
                <w:rFonts w:ascii="Arial" w:eastAsia="Arial" w:hAnsi="Arial" w:cs="Arial"/>
                <w:b/>
                <w:sz w:val="13"/>
              </w:rPr>
              <w:t>Flujo de caja</w:t>
            </w:r>
          </w:p>
        </w:tc>
        <w:tc>
          <w:tcPr>
            <w:tcW w:w="1273" w:type="dxa"/>
            <w:tcBorders>
              <w:top w:val="nil"/>
              <w:left w:val="single" w:sz="3" w:space="0" w:color="000000"/>
              <w:bottom w:val="nil"/>
              <w:right w:val="single" w:sz="3" w:space="0" w:color="000000"/>
            </w:tcBorders>
            <w:shd w:val="clear" w:color="auto" w:fill="C4D79B"/>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w:t>
            </w:r>
            <w:r>
              <w:rPr>
                <w:rFonts w:ascii="Arial" w:eastAsia="Arial" w:hAnsi="Arial" w:cs="Arial"/>
                <w:sz w:val="13"/>
              </w:rPr>
              <w:t>705.012,60 €</w:t>
            </w:r>
          </w:p>
        </w:tc>
        <w:tc>
          <w:tcPr>
            <w:tcW w:w="1179"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661.827,35 €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631.132,51 €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600.007,94 €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568.447,62 €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536.445,46 €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503.995,27 €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0"/>
            </w:pPr>
            <w:r>
              <w:rPr>
                <w:rFonts w:ascii="Arial" w:eastAsia="Arial" w:hAnsi="Arial" w:cs="Arial"/>
                <w:sz w:val="13"/>
              </w:rPr>
              <w:t xml:space="preserve">       471.090,78 €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209"/>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FLUJO NETO DE CAJA Definitivo (FC</w:t>
            </w:r>
            <w:r>
              <w:rPr>
                <w:rFonts w:ascii="Arial" w:eastAsia="Arial" w:hAnsi="Arial" w:cs="Arial"/>
                <w:sz w:val="13"/>
                <w:vertAlign w:val="subscript"/>
              </w:rPr>
              <w:t>t</w:t>
            </w:r>
            <w:r>
              <w:rPr>
                <w:rFonts w:ascii="Arial" w:eastAsia="Arial" w:hAnsi="Arial" w:cs="Arial"/>
                <w:sz w:val="13"/>
              </w:rPr>
              <w:t>)</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705012,60</w:t>
            </w:r>
          </w:p>
        </w:tc>
        <w:tc>
          <w:tcPr>
            <w:tcW w:w="1179"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661827,35</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631132,51</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600007,94</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568447,62</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536445,46</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503995,27</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9"/>
              <w:jc w:val="center"/>
            </w:pPr>
            <w:r>
              <w:rPr>
                <w:rFonts w:ascii="Arial" w:eastAsia="Arial" w:hAnsi="Arial" w:cs="Arial"/>
                <w:sz w:val="13"/>
              </w:rPr>
              <w:t>471090,78</w:t>
            </w:r>
          </w:p>
        </w:tc>
      </w:tr>
      <w:tr w:rsidR="00FF384B">
        <w:trPr>
          <w:trHeight w:val="172"/>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Tasa de descuento (b)</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12"/>
              <w:jc w:val="center"/>
            </w:pPr>
            <w:r>
              <w:rPr>
                <w:rFonts w:ascii="Arial" w:eastAsia="Arial" w:hAnsi="Arial" w:cs="Arial"/>
                <w:sz w:val="13"/>
              </w:rPr>
              <w:t>2,16</w:t>
            </w:r>
          </w:p>
        </w:tc>
        <w:tc>
          <w:tcPr>
            <w:tcW w:w="1581" w:type="dxa"/>
            <w:tcBorders>
              <w:top w:val="nil"/>
              <w:left w:val="single" w:sz="3" w:space="0" w:color="000000"/>
              <w:bottom w:val="nil"/>
              <w:right w:val="single" w:sz="3" w:space="0" w:color="000000"/>
            </w:tcBorders>
            <w:shd w:val="clear" w:color="auto" w:fill="808080"/>
          </w:tcPr>
          <w:p w:rsidR="00FF384B" w:rsidRDefault="00FF384B"/>
        </w:tc>
        <w:tc>
          <w:tcPr>
            <w:tcW w:w="1179"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r>
      <w:tr w:rsidR="00FF384B">
        <w:trPr>
          <w:trHeight w:val="201"/>
        </w:trPr>
        <w:tc>
          <w:tcPr>
            <w:tcW w:w="3160" w:type="dxa"/>
            <w:tcBorders>
              <w:top w:val="nil"/>
              <w:left w:val="single" w:sz="3" w:space="0" w:color="000000"/>
              <w:bottom w:val="nil"/>
              <w:right w:val="single" w:sz="3" w:space="0" w:color="000000"/>
            </w:tcBorders>
          </w:tcPr>
          <w:p w:rsidR="00FF384B" w:rsidRDefault="003E3BA9">
            <w:pPr>
              <w:spacing w:after="0"/>
              <w:jc w:val="right"/>
            </w:pPr>
            <w:r>
              <w:rPr>
                <w:rFonts w:ascii="Arial" w:eastAsia="Arial" w:hAnsi="Arial" w:cs="Arial"/>
                <w:sz w:val="13"/>
              </w:rPr>
              <w:t>A efectos del pago siguiente:</w:t>
            </w:r>
          </w:p>
        </w:tc>
        <w:tc>
          <w:tcPr>
            <w:tcW w:w="1273" w:type="dxa"/>
            <w:tcBorders>
              <w:top w:val="nil"/>
              <w:left w:val="single" w:sz="3" w:space="0" w:color="000000"/>
              <w:bottom w:val="nil"/>
              <w:right w:val="single" w:sz="3" w:space="0" w:color="000000"/>
            </w:tcBorders>
          </w:tcPr>
          <w:p w:rsidR="00FF384B" w:rsidRDefault="003E3BA9">
            <w:pPr>
              <w:spacing w:after="0"/>
              <w:ind w:left="69"/>
            </w:pPr>
            <w:r>
              <w:rPr>
                <w:rFonts w:ascii="Arial" w:eastAsia="Arial" w:hAnsi="Arial" w:cs="Arial"/>
                <w:sz w:val="13"/>
              </w:rPr>
              <w:t>FC</w:t>
            </w:r>
            <w:r>
              <w:rPr>
                <w:rFonts w:ascii="Arial" w:eastAsia="Arial" w:hAnsi="Arial" w:cs="Arial"/>
                <w:sz w:val="13"/>
                <w:vertAlign w:val="subscript"/>
              </w:rPr>
              <w:t>0</w:t>
            </w:r>
            <w:r>
              <w:rPr>
                <w:rFonts w:ascii="Arial" w:eastAsia="Arial" w:hAnsi="Arial" w:cs="Arial"/>
                <w:sz w:val="13"/>
              </w:rPr>
              <w:t>/(1,0216)^0=FC</w:t>
            </w:r>
            <w:r>
              <w:rPr>
                <w:rFonts w:ascii="Arial" w:eastAsia="Arial" w:hAnsi="Arial" w:cs="Arial"/>
                <w:sz w:val="13"/>
                <w:vertAlign w:val="subscript"/>
              </w:rPr>
              <w:t>0</w:t>
            </w:r>
          </w:p>
        </w:tc>
        <w:tc>
          <w:tcPr>
            <w:tcW w:w="1581" w:type="dxa"/>
            <w:tcBorders>
              <w:top w:val="nil"/>
              <w:left w:val="single" w:sz="3" w:space="0" w:color="000000"/>
              <w:bottom w:val="nil"/>
              <w:right w:val="single" w:sz="3" w:space="0" w:color="000000"/>
            </w:tcBorders>
          </w:tcPr>
          <w:p w:rsidR="00FF384B" w:rsidRDefault="003E3BA9">
            <w:pPr>
              <w:spacing w:after="0"/>
              <w:ind w:left="5"/>
              <w:jc w:val="center"/>
            </w:pPr>
            <w:r>
              <w:rPr>
                <w:rFonts w:ascii="Arial" w:eastAsia="Arial" w:hAnsi="Arial" w:cs="Arial"/>
                <w:sz w:val="13"/>
              </w:rPr>
              <w:t>FC</w:t>
            </w:r>
            <w:r>
              <w:rPr>
                <w:rFonts w:ascii="Arial" w:eastAsia="Arial" w:hAnsi="Arial" w:cs="Arial"/>
                <w:sz w:val="13"/>
                <w:vertAlign w:val="subscript"/>
              </w:rPr>
              <w:t>1</w:t>
            </w:r>
            <w:r>
              <w:rPr>
                <w:rFonts w:ascii="Arial" w:eastAsia="Arial" w:hAnsi="Arial" w:cs="Arial"/>
                <w:sz w:val="13"/>
              </w:rPr>
              <w:t>/(1,0216)=FC</w:t>
            </w:r>
            <w:r>
              <w:rPr>
                <w:rFonts w:ascii="Arial" w:eastAsia="Arial" w:hAnsi="Arial" w:cs="Arial"/>
                <w:sz w:val="13"/>
                <w:vertAlign w:val="subscript"/>
              </w:rPr>
              <w:t>1</w:t>
            </w:r>
          </w:p>
        </w:tc>
        <w:tc>
          <w:tcPr>
            <w:tcW w:w="1179" w:type="dxa"/>
            <w:tcBorders>
              <w:top w:val="nil"/>
              <w:left w:val="single" w:sz="3" w:space="0" w:color="000000"/>
              <w:bottom w:val="nil"/>
              <w:right w:val="single" w:sz="3" w:space="0" w:color="000000"/>
            </w:tcBorders>
          </w:tcPr>
          <w:p w:rsidR="00FF384B" w:rsidRDefault="003E3BA9">
            <w:pPr>
              <w:spacing w:after="0"/>
              <w:ind w:left="11"/>
              <w:jc w:val="center"/>
            </w:pPr>
            <w:r>
              <w:rPr>
                <w:rFonts w:ascii="Arial" w:eastAsia="Arial" w:hAnsi="Arial" w:cs="Arial"/>
                <w:sz w:val="13"/>
              </w:rPr>
              <w:t>FC</w:t>
            </w:r>
            <w:r>
              <w:rPr>
                <w:rFonts w:ascii="Arial" w:eastAsia="Arial" w:hAnsi="Arial" w:cs="Arial"/>
                <w:sz w:val="13"/>
                <w:vertAlign w:val="subscript"/>
              </w:rPr>
              <w:t>2</w:t>
            </w:r>
            <w:r>
              <w:rPr>
                <w:rFonts w:ascii="Arial" w:eastAsia="Arial" w:hAnsi="Arial" w:cs="Arial"/>
                <w:sz w:val="13"/>
              </w:rPr>
              <w:t>/(1,0216)^2</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3</w:t>
            </w:r>
            <w:r>
              <w:rPr>
                <w:rFonts w:ascii="Arial" w:eastAsia="Arial" w:hAnsi="Arial" w:cs="Arial"/>
                <w:sz w:val="13"/>
              </w:rPr>
              <w:t>/(1,0216)^3</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4</w:t>
            </w:r>
            <w:r>
              <w:rPr>
                <w:rFonts w:ascii="Arial" w:eastAsia="Arial" w:hAnsi="Arial" w:cs="Arial"/>
                <w:sz w:val="13"/>
              </w:rPr>
              <w:t>/(1,0216)^4</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5</w:t>
            </w:r>
            <w:r>
              <w:rPr>
                <w:rFonts w:ascii="Arial" w:eastAsia="Arial" w:hAnsi="Arial" w:cs="Arial"/>
                <w:sz w:val="13"/>
              </w:rPr>
              <w:t>/(1,0216)^5</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6</w:t>
            </w:r>
            <w:r>
              <w:rPr>
                <w:rFonts w:ascii="Arial" w:eastAsia="Arial" w:hAnsi="Arial" w:cs="Arial"/>
                <w:sz w:val="13"/>
              </w:rPr>
              <w:t>/(1,0216)^6</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7</w:t>
            </w:r>
            <w:r>
              <w:rPr>
                <w:rFonts w:ascii="Arial" w:eastAsia="Arial" w:hAnsi="Arial" w:cs="Arial"/>
                <w:sz w:val="13"/>
              </w:rPr>
              <w:t>/(1,0216)^7</w:t>
            </w:r>
          </w:p>
        </w:tc>
        <w:tc>
          <w:tcPr>
            <w:tcW w:w="1037" w:type="dxa"/>
            <w:tcBorders>
              <w:top w:val="nil"/>
              <w:left w:val="single" w:sz="3" w:space="0" w:color="000000"/>
              <w:bottom w:val="nil"/>
              <w:right w:val="single" w:sz="3" w:space="0" w:color="000000"/>
            </w:tcBorders>
          </w:tcPr>
          <w:p w:rsidR="00FF384B" w:rsidRDefault="003E3BA9">
            <w:pPr>
              <w:spacing w:after="0"/>
              <w:ind w:left="92"/>
            </w:pPr>
            <w:r>
              <w:rPr>
                <w:rFonts w:ascii="Arial" w:eastAsia="Arial" w:hAnsi="Arial" w:cs="Arial"/>
                <w:sz w:val="13"/>
              </w:rPr>
              <w:t>FC</w:t>
            </w:r>
            <w:r>
              <w:rPr>
                <w:rFonts w:ascii="Arial" w:eastAsia="Arial" w:hAnsi="Arial" w:cs="Arial"/>
                <w:sz w:val="13"/>
                <w:vertAlign w:val="subscript"/>
              </w:rPr>
              <w:t>8</w:t>
            </w:r>
            <w:r>
              <w:rPr>
                <w:rFonts w:ascii="Arial" w:eastAsia="Arial" w:hAnsi="Arial" w:cs="Arial"/>
                <w:sz w:val="13"/>
              </w:rPr>
              <w:t>/(1,0230)^8</w:t>
            </w:r>
          </w:p>
        </w:tc>
      </w:tr>
      <w:tr w:rsidR="00FF384B">
        <w:trPr>
          <w:trHeight w:val="176"/>
        </w:trPr>
        <w:tc>
          <w:tcPr>
            <w:tcW w:w="3160" w:type="dxa"/>
            <w:tcBorders>
              <w:top w:val="nil"/>
              <w:left w:val="single" w:sz="3" w:space="0" w:color="000000"/>
              <w:bottom w:val="nil"/>
              <w:right w:val="single" w:sz="3" w:space="0" w:color="000000"/>
            </w:tcBorders>
            <w:shd w:val="clear" w:color="auto" w:fill="E6B8B7"/>
          </w:tcPr>
          <w:p w:rsidR="00FF384B" w:rsidRDefault="003E3BA9">
            <w:pPr>
              <w:spacing w:after="0"/>
            </w:pPr>
            <w:r>
              <w:rPr>
                <w:rFonts w:ascii="Arial" w:eastAsia="Arial" w:hAnsi="Arial" w:cs="Arial"/>
                <w:sz w:val="13"/>
              </w:rPr>
              <w:t>Flujos descontados al origen</w:t>
            </w:r>
          </w:p>
        </w:tc>
        <w:tc>
          <w:tcPr>
            <w:tcW w:w="1273" w:type="dxa"/>
            <w:tcBorders>
              <w:top w:val="nil"/>
              <w:left w:val="single" w:sz="3" w:space="0" w:color="000000"/>
              <w:bottom w:val="nil"/>
              <w:right w:val="single" w:sz="3" w:space="0" w:color="000000"/>
            </w:tcBorders>
            <w:shd w:val="clear" w:color="auto" w:fill="E6B8B7"/>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690106,31</w:t>
            </w:r>
          </w:p>
        </w:tc>
        <w:tc>
          <w:tcPr>
            <w:tcW w:w="1179"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634136,78</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591940,28</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550850,13</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510841,34</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471889,45</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433970,57</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9"/>
              <w:jc w:val="center"/>
            </w:pPr>
            <w:r>
              <w:rPr>
                <w:rFonts w:ascii="Arial" w:eastAsia="Arial" w:hAnsi="Arial" w:cs="Arial"/>
                <w:sz w:val="13"/>
              </w:rPr>
              <w:t>397061,27</w:t>
            </w:r>
          </w:p>
        </w:tc>
      </w:tr>
      <w:tr w:rsidR="00FF384B">
        <w:trPr>
          <w:trHeight w:val="162"/>
        </w:trPr>
        <w:tc>
          <w:tcPr>
            <w:tcW w:w="3160" w:type="dxa"/>
            <w:tcBorders>
              <w:top w:val="nil"/>
              <w:left w:val="single" w:sz="3" w:space="0" w:color="000000"/>
              <w:bottom w:val="single" w:sz="3" w:space="0" w:color="000000"/>
              <w:right w:val="single" w:sz="3" w:space="0" w:color="000000"/>
            </w:tcBorders>
          </w:tcPr>
          <w:p w:rsidR="00FF384B" w:rsidRDefault="003E3BA9">
            <w:pPr>
              <w:spacing w:after="0"/>
            </w:pPr>
            <w:r>
              <w:rPr>
                <w:rFonts w:ascii="Arial" w:eastAsia="Arial" w:hAnsi="Arial" w:cs="Arial"/>
                <w:sz w:val="13"/>
              </w:rPr>
              <w:t>FLUJOS DE CAJA ACUMULADOS DESCONTADOS</w:t>
            </w:r>
          </w:p>
        </w:tc>
        <w:tc>
          <w:tcPr>
            <w:tcW w:w="1273" w:type="dxa"/>
            <w:tcBorders>
              <w:top w:val="nil"/>
              <w:left w:val="single" w:sz="3" w:space="0" w:color="000000"/>
              <w:bottom w:val="single" w:sz="3" w:space="0" w:color="000000"/>
              <w:right w:val="single" w:sz="3" w:space="0" w:color="000000"/>
            </w:tcBorders>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-2878248,29</w:t>
            </w:r>
          </w:p>
        </w:tc>
        <w:tc>
          <w:tcPr>
            <w:tcW w:w="1179"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-2244111,52</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-1652171,23</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-1101321,10</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-590479,77</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-118590,31</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10"/>
              <w:jc w:val="center"/>
            </w:pPr>
            <w:r>
              <w:rPr>
                <w:rFonts w:ascii="Arial" w:eastAsia="Arial" w:hAnsi="Arial" w:cs="Arial"/>
                <w:sz w:val="13"/>
              </w:rPr>
              <w:t>315380,25</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9"/>
              <w:jc w:val="center"/>
            </w:pPr>
            <w:r>
              <w:rPr>
                <w:rFonts w:ascii="Arial" w:eastAsia="Arial" w:hAnsi="Arial" w:cs="Arial"/>
                <w:sz w:val="13"/>
              </w:rPr>
              <w:t>712441,53</w:t>
            </w:r>
          </w:p>
        </w:tc>
      </w:tr>
      <w:tr w:rsidR="00FF384B">
        <w:trPr>
          <w:trHeight w:val="203"/>
        </w:trPr>
        <w:tc>
          <w:tcPr>
            <w:tcW w:w="3160" w:type="dxa"/>
            <w:tcBorders>
              <w:top w:val="single" w:sz="3" w:space="0" w:color="000000"/>
              <w:left w:val="single" w:sz="3" w:space="0" w:color="D4D4D4"/>
              <w:bottom w:val="single" w:sz="3" w:space="0" w:color="D4D4D4"/>
              <w:right w:val="nil"/>
            </w:tcBorders>
          </w:tcPr>
          <w:p w:rsidR="00FF384B" w:rsidRDefault="00FF384B"/>
        </w:tc>
        <w:tc>
          <w:tcPr>
            <w:tcW w:w="1273" w:type="dxa"/>
            <w:vMerge w:val="restart"/>
            <w:tcBorders>
              <w:top w:val="single" w:sz="3" w:space="0" w:color="000000"/>
              <w:left w:val="nil"/>
              <w:bottom w:val="single" w:sz="3" w:space="0" w:color="D4D4D4"/>
              <w:right w:val="single" w:sz="3" w:space="0" w:color="000000"/>
            </w:tcBorders>
            <w:vAlign w:val="center"/>
          </w:tcPr>
          <w:p w:rsidR="00FF384B" w:rsidRDefault="00FF384B"/>
        </w:tc>
        <w:tc>
          <w:tcPr>
            <w:tcW w:w="6911" w:type="dxa"/>
            <w:gridSpan w:val="6"/>
            <w:tcBorders>
              <w:top w:val="single" w:sz="3" w:space="0" w:color="000000"/>
              <w:left w:val="single" w:sz="3" w:space="0" w:color="000000"/>
              <w:bottom w:val="single" w:sz="3" w:space="0" w:color="000000"/>
              <w:right w:val="nil"/>
            </w:tcBorders>
            <w:shd w:val="clear" w:color="auto" w:fill="FF0000"/>
          </w:tcPr>
          <w:p w:rsidR="00FF384B" w:rsidRDefault="003E3BA9">
            <w:pPr>
              <w:spacing w:after="0"/>
              <w:ind w:left="528"/>
            </w:pPr>
            <w:r>
              <w:rPr>
                <w:rFonts w:ascii="Arial" w:eastAsia="Arial" w:hAnsi="Arial" w:cs="Arial"/>
                <w:b/>
                <w:sz w:val="16"/>
              </w:rPr>
              <w:t>años de recuperacion de inversión</w:t>
            </w:r>
          </w:p>
        </w:tc>
        <w:tc>
          <w:tcPr>
            <w:tcW w:w="1038" w:type="dxa"/>
            <w:tcBorders>
              <w:top w:val="single" w:sz="3" w:space="0" w:color="000000"/>
              <w:left w:val="nil"/>
              <w:bottom w:val="single" w:sz="3" w:space="0" w:color="000000"/>
              <w:right w:val="single" w:sz="3" w:space="0" w:color="000000"/>
            </w:tcBorders>
            <w:shd w:val="clear" w:color="auto" w:fill="00B050"/>
          </w:tcPr>
          <w:p w:rsidR="00FF384B" w:rsidRDefault="00FF384B"/>
        </w:tc>
        <w:tc>
          <w:tcPr>
            <w:tcW w:w="1037" w:type="dxa"/>
            <w:tcBorders>
              <w:top w:val="single" w:sz="3" w:space="0" w:color="000000"/>
              <w:left w:val="single" w:sz="3" w:space="0" w:color="000000"/>
              <w:bottom w:val="single" w:sz="3" w:space="0" w:color="D4D4D4"/>
              <w:right w:val="single" w:sz="3" w:space="0" w:color="D4D4D4"/>
            </w:tcBorders>
          </w:tcPr>
          <w:p w:rsidR="00FF384B" w:rsidRDefault="00FF384B"/>
        </w:tc>
      </w:tr>
      <w:tr w:rsidR="00FF384B">
        <w:trPr>
          <w:trHeight w:val="156"/>
        </w:trPr>
        <w:tc>
          <w:tcPr>
            <w:tcW w:w="3160" w:type="dxa"/>
            <w:tcBorders>
              <w:top w:val="single" w:sz="3" w:space="0" w:color="D4D4D4"/>
              <w:left w:val="single" w:sz="3" w:space="0" w:color="D4D4D4"/>
              <w:bottom w:val="single" w:sz="10" w:space="0" w:color="000000"/>
              <w:right w:val="single" w:sz="3" w:space="0" w:color="D4D4D4"/>
            </w:tcBorders>
          </w:tcPr>
          <w:p w:rsidR="00FF384B" w:rsidRDefault="00FF384B"/>
        </w:tc>
        <w:tc>
          <w:tcPr>
            <w:tcW w:w="0" w:type="auto"/>
            <w:vMerge/>
            <w:tcBorders>
              <w:top w:val="nil"/>
              <w:left w:val="nil"/>
              <w:bottom w:val="single" w:sz="3" w:space="0" w:color="D4D4D4"/>
              <w:right w:val="single" w:sz="3" w:space="0" w:color="000000"/>
            </w:tcBorders>
            <w:vAlign w:val="center"/>
          </w:tcPr>
          <w:p w:rsidR="00FF384B" w:rsidRDefault="00FF384B"/>
        </w:tc>
        <w:tc>
          <w:tcPr>
            <w:tcW w:w="7949" w:type="dxa"/>
            <w:gridSpan w:val="7"/>
            <w:tcBorders>
              <w:top w:val="single" w:sz="3" w:space="0" w:color="000000"/>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duracion del contrato 7 años</w:t>
            </w:r>
          </w:p>
        </w:tc>
        <w:tc>
          <w:tcPr>
            <w:tcW w:w="1037" w:type="dxa"/>
            <w:tcBorders>
              <w:top w:val="single" w:sz="3" w:space="0" w:color="D4D4D4"/>
              <w:left w:val="single" w:sz="3" w:space="0" w:color="000000"/>
              <w:bottom w:val="single" w:sz="3" w:space="0" w:color="D4D4D4"/>
              <w:right w:val="single" w:sz="3" w:space="0" w:color="D4D4D4"/>
            </w:tcBorders>
          </w:tcPr>
          <w:p w:rsidR="00FF384B" w:rsidRDefault="00FF384B"/>
        </w:tc>
      </w:tr>
    </w:tbl>
    <w:p w:rsidR="00FF384B" w:rsidRDefault="003E3BA9">
      <w:pPr>
        <w:spacing w:after="5" w:line="247" w:lineRule="auto"/>
        <w:ind w:left="10" w:right="1272" w:hanging="10"/>
        <w:jc w:val="both"/>
      </w:pPr>
      <w:r>
        <w:rPr>
          <w:noProof/>
        </w:rPr>
        <mc:AlternateContent>
          <mc:Choice Requires="wpg">
            <w:drawing>
              <wp:anchor distT="0" distB="0" distL="114300" distR="114300" simplePos="0" relativeHeight="251912192" behindDoc="0" locked="0" layoutInCell="1" allowOverlap="1">
                <wp:simplePos x="0" y="0"/>
                <wp:positionH relativeFrom="column">
                  <wp:posOffset>1851660</wp:posOffset>
                </wp:positionH>
                <wp:positionV relativeFrom="paragraph">
                  <wp:posOffset>-1517888</wp:posOffset>
                </wp:positionV>
                <wp:extent cx="5353958" cy="3797300"/>
                <wp:effectExtent l="0" t="0" r="0" b="0"/>
                <wp:wrapSquare wrapText="bothSides"/>
                <wp:docPr id="547379" name="Group 547379"/>
                <wp:cNvGraphicFramePr/>
                <a:graphic xmlns:a="http://schemas.openxmlformats.org/drawingml/2006/main">
                  <a:graphicData uri="http://schemas.microsoft.com/office/word/2010/wordprocessingGroup">
                    <wpg:wgp>
                      <wpg:cNvGrpSpPr/>
                      <wpg:grpSpPr>
                        <a:xfrm>
                          <a:off x="0" y="0"/>
                          <a:ext cx="5353958" cy="3797300"/>
                          <a:chOff x="0" y="0"/>
                          <a:chExt cx="5353958" cy="3797300"/>
                        </a:xfrm>
                      </wpg:grpSpPr>
                      <pic:pic xmlns:pic="http://schemas.openxmlformats.org/drawingml/2006/picture">
                        <pic:nvPicPr>
                          <pic:cNvPr id="45946" name="Picture 45946"/>
                          <pic:cNvPicPr/>
                        </pic:nvPicPr>
                        <pic:blipFill>
                          <a:blip r:embed="rId79"/>
                          <a:stretch>
                            <a:fillRect/>
                          </a:stretch>
                        </pic:blipFill>
                        <pic:spPr>
                          <a:xfrm>
                            <a:off x="0" y="3442208"/>
                            <a:ext cx="5189220" cy="266700"/>
                          </a:xfrm>
                          <a:prstGeom prst="rect">
                            <a:avLst/>
                          </a:prstGeom>
                        </pic:spPr>
                      </pic:pic>
                      <pic:pic xmlns:pic="http://schemas.openxmlformats.org/drawingml/2006/picture">
                        <pic:nvPicPr>
                          <pic:cNvPr id="46513" name="Picture 46513"/>
                          <pic:cNvPicPr/>
                        </pic:nvPicPr>
                        <pic:blipFill>
                          <a:blip r:embed="rId62"/>
                          <a:stretch>
                            <a:fillRect/>
                          </a:stretch>
                        </pic:blipFill>
                        <pic:spPr>
                          <a:xfrm rot="-5399999">
                            <a:off x="3108960" y="1720850"/>
                            <a:ext cx="3797299" cy="355600"/>
                          </a:xfrm>
                          <a:prstGeom prst="rect">
                            <a:avLst/>
                          </a:prstGeom>
                        </pic:spPr>
                      </pic:pic>
                      <wps:wsp>
                        <wps:cNvPr id="46514" name="Rectangle 46514"/>
                        <wps:cNvSpPr/>
                        <wps:spPr>
                          <a:xfrm rot="-5399999">
                            <a:off x="2881291"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6515" name="Rectangle 46515"/>
                        <wps:cNvSpPr/>
                        <wps:spPr>
                          <a:xfrm rot="-5399999">
                            <a:off x="3094054"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7379" style="width:421.572pt;height:299pt;position:absolute;mso-position-horizontal-relative:text;mso-position-horizontal:absolute;margin-left:145.8pt;mso-position-vertical-relative:text;margin-top:-119.519pt;" coordsize="53539,37973">
                <v:shape id="Picture 45946" style="position:absolute;width:51892;height:2667;left:0;top:34422;" filled="f">
                  <v:imagedata r:id="rId80"/>
                </v:shape>
                <v:shape id="Picture 46513" style="position:absolute;width:37972;height:3556;left:31089;top:17208;rotation:-89;" filled="f">
                  <v:imagedata r:id="rId63"/>
                </v:shape>
                <v:rect id="Rectangle 46514" style="position:absolute;width:47358;height:1132;left:28812;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6515" style="position:absolute;width:44627;height:1132;left:30940;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247 de 353 </w:t>
                        </w:r>
                      </w:p>
                    </w:txbxContent>
                  </v:textbox>
                </v:rect>
                <w10:wrap type="square"/>
              </v:group>
            </w:pict>
          </mc:Fallback>
        </mc:AlternateContent>
      </w:r>
      <w:r>
        <w:rPr>
          <w:rFonts w:ascii="Arial" w:eastAsia="Arial" w:hAnsi="Arial" w:cs="Arial"/>
        </w:rPr>
        <w:t xml:space="preserve">En base a la fórmula del Artículo 10 del Real Decreto 55/2017, las inversiones se recuperarán el año en el que el valor capital en el origen sea mayor que cero, </w:t>
      </w:r>
      <w:r>
        <w:rPr>
          <w:rFonts w:ascii="Arial" w:eastAsia="Arial" w:hAnsi="Arial" w:cs="Arial"/>
        </w:rPr>
        <w:t xml:space="preserve">por tanto, el estudio determina que el plazo para recuperar las inversiones es de </w:t>
      </w:r>
      <w:r>
        <w:rPr>
          <w:rFonts w:ascii="Arial" w:eastAsia="Arial" w:hAnsi="Arial" w:cs="Arial"/>
          <w:b/>
          <w:u w:val="single" w:color="000000"/>
        </w:rPr>
        <w:t>7 AÑOS.</w:t>
      </w:r>
      <w:r>
        <w:rPr>
          <w:rFonts w:ascii="Times New Roman" w:eastAsia="Times New Roman" w:hAnsi="Times New Roman" w:cs="Times New Roman"/>
          <w:sz w:val="24"/>
        </w:rPr>
        <w:t xml:space="preserve"> </w:t>
      </w:r>
    </w:p>
    <w:p w:rsidR="00FF384B" w:rsidRDefault="003E3BA9">
      <w:pPr>
        <w:spacing w:after="0"/>
        <w:ind w:right="3767"/>
      </w:pPr>
      <w:r>
        <w:rPr>
          <w:rFonts w:ascii="Arial" w:eastAsia="Arial" w:hAnsi="Arial" w:cs="Arial"/>
        </w:rPr>
        <w:t xml:space="preserve"> </w:t>
      </w:r>
    </w:p>
    <w:p w:rsidR="00FF384B" w:rsidRDefault="003E3BA9">
      <w:pPr>
        <w:spacing w:after="2226"/>
        <w:ind w:left="360" w:right="3767"/>
      </w:pPr>
      <w:r>
        <w:rPr>
          <w:rFonts w:ascii="Arial" w:eastAsia="Arial" w:hAnsi="Arial" w:cs="Arial"/>
        </w:rPr>
        <w:t xml:space="preserve"> </w:t>
      </w:r>
    </w:p>
    <w:p w:rsidR="00FF384B" w:rsidRDefault="003E3BA9">
      <w:pPr>
        <w:spacing w:after="345"/>
        <w:ind w:left="10" w:right="1690" w:hanging="10"/>
        <w:jc w:val="right"/>
      </w:pPr>
      <w:r>
        <w:rPr>
          <w:rFonts w:ascii="Times New Roman" w:eastAsia="Times New Roman" w:hAnsi="Times New Roman" w:cs="Times New Roman"/>
          <w:sz w:val="24"/>
        </w:rPr>
        <w:t xml:space="preserve">                                   </w:t>
      </w:r>
      <w:r>
        <w:rPr>
          <w:rFonts w:ascii="Arial" w:eastAsia="Arial" w:hAnsi="Arial" w:cs="Arial"/>
          <w:sz w:val="14"/>
        </w:rPr>
        <w:t>247</w:t>
      </w:r>
      <w:r>
        <w:rPr>
          <w:rFonts w:ascii="Times New Roman" w:eastAsia="Times New Roman" w:hAnsi="Times New Roman" w:cs="Times New Roman"/>
          <w:sz w:val="24"/>
        </w:rPr>
        <w:t xml:space="preserve"> </w:t>
      </w:r>
    </w:p>
    <w:p w:rsidR="00FF384B" w:rsidRDefault="00FF384B">
      <w:pPr>
        <w:sectPr w:rsidR="00FF384B">
          <w:headerReference w:type="even" r:id="rId107"/>
          <w:headerReference w:type="default" r:id="rId108"/>
          <w:footerReference w:type="even" r:id="rId109"/>
          <w:footerReference w:type="default" r:id="rId110"/>
          <w:headerReference w:type="first" r:id="rId111"/>
          <w:footerReference w:type="first" r:id="rId112"/>
          <w:pgSz w:w="19106" w:h="11906" w:orient="landscape"/>
          <w:pgMar w:top="708" w:right="1440" w:bottom="1440" w:left="2552" w:header="720" w:footer="720" w:gutter="0"/>
          <w:cols w:space="720"/>
        </w:sectPr>
      </w:pPr>
    </w:p>
    <w:p w:rsidR="00FF384B" w:rsidRDefault="003E3BA9">
      <w:pPr>
        <w:pStyle w:val="Ttulo2"/>
        <w:shd w:val="clear" w:color="auto" w:fill="E0E0E0"/>
        <w:spacing w:after="233" w:line="249" w:lineRule="auto"/>
        <w:ind w:left="197" w:right="1246"/>
      </w:pPr>
      <w:r>
        <w:t xml:space="preserve">DURACIÓN DEL CONTRATO </w:t>
      </w:r>
    </w:p>
    <w:p w:rsidR="00FF384B" w:rsidRDefault="003E3BA9">
      <w:pPr>
        <w:spacing w:after="216" w:line="247" w:lineRule="auto"/>
        <w:ind w:left="10" w:right="1049" w:hanging="10"/>
        <w:jc w:val="both"/>
      </w:pPr>
      <w:r>
        <w:rPr>
          <w:rFonts w:ascii="Arial" w:eastAsia="Arial" w:hAnsi="Arial" w:cs="Arial"/>
        </w:rPr>
        <w:t xml:space="preserve">Conforme lo dispuesto en el artículo 29.4 de la </w:t>
      </w:r>
      <w:r>
        <w:rPr>
          <w:rFonts w:ascii="Arial" w:eastAsia="Arial" w:hAnsi="Arial" w:cs="Arial"/>
          <w:b/>
        </w:rPr>
        <w:t xml:space="preserve">Ley 9/2017 de Contratos del Sector Público, </w:t>
      </w:r>
      <w:r>
        <w:rPr>
          <w:rFonts w:ascii="Arial" w:eastAsia="Arial" w:hAnsi="Arial" w:cs="Arial"/>
        </w:rPr>
        <w:t xml:space="preserve">se recoge que un contrato de servicios se podrá establecer un plazo de duración superior al establecido cuando </w:t>
      </w:r>
      <w:r>
        <w:rPr>
          <w:rFonts w:ascii="Arial" w:eastAsia="Arial" w:hAnsi="Arial" w:cs="Arial"/>
          <w:b/>
          <w:u w:val="single" w:color="000000"/>
        </w:rPr>
        <w:t>lo exija el periodo de recuperación de la</w:t>
      </w:r>
      <w:r>
        <w:rPr>
          <w:rFonts w:ascii="Arial" w:eastAsia="Arial" w:hAnsi="Arial" w:cs="Arial"/>
          <w:b/>
        </w:rPr>
        <w:t xml:space="preserve"> </w:t>
      </w:r>
      <w:r>
        <w:rPr>
          <w:rFonts w:ascii="Arial" w:eastAsia="Arial" w:hAnsi="Arial" w:cs="Arial"/>
          <w:b/>
          <w:u w:val="single" w:color="000000"/>
        </w:rPr>
        <w:t>inversión directamente relacionadas con el contrato</w:t>
      </w:r>
      <w:r>
        <w:rPr>
          <w:rFonts w:ascii="Arial" w:eastAsia="Arial" w:hAnsi="Arial" w:cs="Arial"/>
          <w:u w:val="single" w:color="000000"/>
        </w:rPr>
        <w:t xml:space="preserve"> </w:t>
      </w:r>
      <w:r>
        <w:rPr>
          <w:rFonts w:ascii="Arial" w:eastAsia="Arial" w:hAnsi="Arial" w:cs="Arial"/>
          <w:b/>
          <w:u w:val="single" w:color="000000"/>
        </w:rPr>
        <w:t>y estas</w:t>
      </w:r>
      <w:r>
        <w:rPr>
          <w:rFonts w:ascii="Arial" w:eastAsia="Arial" w:hAnsi="Arial" w:cs="Arial"/>
          <w:b/>
          <w:u w:val="single" w:color="000000"/>
        </w:rPr>
        <w:t xml:space="preserve"> no sean susceptibles</w:t>
      </w:r>
      <w:r>
        <w:rPr>
          <w:rFonts w:ascii="Arial" w:eastAsia="Arial" w:hAnsi="Arial" w:cs="Arial"/>
          <w:b/>
        </w:rPr>
        <w:t xml:space="preserve"> </w:t>
      </w:r>
      <w:r>
        <w:rPr>
          <w:rFonts w:ascii="Arial" w:eastAsia="Arial" w:hAnsi="Arial" w:cs="Arial"/>
          <w:b/>
          <w:u w:val="single" w:color="000000"/>
        </w:rPr>
        <w:t>de utilizarse en el resto de la actividad productiva del contratista o</w:t>
      </w:r>
      <w:r>
        <w:rPr>
          <w:rFonts w:ascii="Arial" w:eastAsia="Arial" w:hAnsi="Arial" w:cs="Arial"/>
          <w:u w:val="single" w:color="000000"/>
        </w:rPr>
        <w:t xml:space="preserve"> </w:t>
      </w:r>
      <w:r>
        <w:rPr>
          <w:rFonts w:ascii="Arial" w:eastAsia="Arial" w:hAnsi="Arial" w:cs="Arial"/>
          <w:b/>
          <w:u w:val="single" w:color="000000"/>
        </w:rPr>
        <w:t>su utilización</w:t>
      </w:r>
      <w:r>
        <w:rPr>
          <w:rFonts w:ascii="Arial" w:eastAsia="Arial" w:hAnsi="Arial" w:cs="Arial"/>
          <w:b/>
        </w:rPr>
        <w:t xml:space="preserve"> </w:t>
      </w:r>
      <w:r>
        <w:rPr>
          <w:rFonts w:ascii="Arial" w:eastAsia="Arial" w:hAnsi="Arial" w:cs="Arial"/>
          <w:b/>
          <w:u w:val="single" w:color="000000"/>
        </w:rPr>
        <w:t>fuera antieconómica</w:t>
      </w:r>
      <w:r>
        <w:rPr>
          <w:rFonts w:ascii="Arial" w:eastAsia="Arial" w:hAnsi="Arial" w:cs="Arial"/>
        </w:rPr>
        <w:t>, siempre que la amortización de dichas inversiones sea un coste relevante en la prestación del suministro o servicio.</w:t>
      </w:r>
      <w:r>
        <w:rPr>
          <w:rFonts w:ascii="Times New Roman" w:eastAsia="Times New Roman" w:hAnsi="Times New Roman" w:cs="Times New Roman"/>
          <w:sz w:val="24"/>
        </w:rPr>
        <w:t xml:space="preserve"> </w:t>
      </w:r>
    </w:p>
    <w:p w:rsidR="00FF384B" w:rsidRDefault="003E3BA9">
      <w:pPr>
        <w:spacing w:after="232" w:line="247" w:lineRule="auto"/>
        <w:ind w:left="10" w:right="244" w:hanging="10"/>
        <w:jc w:val="both"/>
      </w:pPr>
      <w:r>
        <w:rPr>
          <w:rFonts w:ascii="Arial" w:eastAsia="Arial" w:hAnsi="Arial" w:cs="Arial"/>
        </w:rPr>
        <w:t>La invers</w:t>
      </w:r>
      <w:r>
        <w:rPr>
          <w:rFonts w:ascii="Arial" w:eastAsia="Arial" w:hAnsi="Arial" w:cs="Arial"/>
        </w:rPr>
        <w:t xml:space="preserve">ión inicial para este tipo de contrato es para la adquisición de contenedores, maquinaria y equipos, siendo este coste amortizable un coste relevante en el servicio. </w:t>
      </w:r>
    </w:p>
    <w:p w:rsidR="00FF384B" w:rsidRDefault="003E3BA9">
      <w:pPr>
        <w:spacing w:after="215" w:line="247" w:lineRule="auto"/>
        <w:ind w:left="10" w:right="749" w:hanging="10"/>
        <w:jc w:val="both"/>
      </w:pPr>
      <w:r>
        <w:rPr>
          <w:rFonts w:ascii="Arial" w:eastAsia="Arial" w:hAnsi="Arial" w:cs="Arial"/>
        </w:rPr>
        <w:t xml:space="preserve">Por tanto, la duración del contrato tendrá una duración de </w:t>
      </w:r>
      <w:r>
        <w:rPr>
          <w:rFonts w:ascii="Arial" w:eastAsia="Arial" w:hAnsi="Arial" w:cs="Arial"/>
          <w:b/>
        </w:rPr>
        <w:t>7 años</w:t>
      </w:r>
      <w:r>
        <w:rPr>
          <w:rFonts w:ascii="Arial" w:eastAsia="Arial" w:hAnsi="Arial" w:cs="Arial"/>
        </w:rPr>
        <w:t xml:space="preserve"> </w:t>
      </w:r>
      <w:r>
        <w:rPr>
          <w:rFonts w:ascii="Arial" w:eastAsia="Arial" w:hAnsi="Arial" w:cs="Arial"/>
        </w:rPr>
        <w:t>como refleja el estudio de la recuperación de la inversión.</w:t>
      </w:r>
      <w:r>
        <w:rPr>
          <w:rFonts w:ascii="Times New Roman" w:eastAsia="Times New Roman" w:hAnsi="Times New Roman" w:cs="Times New Roman"/>
          <w:sz w:val="24"/>
        </w:rPr>
        <w:t xml:space="preserve"> </w:t>
      </w:r>
    </w:p>
    <w:p w:rsidR="00FF384B" w:rsidRDefault="003E3BA9">
      <w:pPr>
        <w:spacing w:after="111"/>
        <w:ind w:left="360"/>
      </w:pPr>
      <w:r>
        <w:rPr>
          <w:rFonts w:ascii="Arial" w:eastAsia="Arial" w:hAnsi="Arial" w:cs="Arial"/>
        </w:rPr>
        <w:t xml:space="preserve"> </w:t>
      </w:r>
    </w:p>
    <w:p w:rsidR="00FF384B" w:rsidRDefault="003E3BA9">
      <w:pPr>
        <w:pStyle w:val="Ttulo2"/>
        <w:shd w:val="clear" w:color="auto" w:fill="E0E0E0"/>
        <w:spacing w:after="209" w:line="249" w:lineRule="auto"/>
        <w:ind w:left="197" w:right="1241"/>
      </w:pPr>
      <w:r>
        <w:t>CONCLUSIONES</w:t>
      </w:r>
      <w:r>
        <w:rPr>
          <w:rFonts w:ascii="Times New Roman" w:eastAsia="Times New Roman" w:hAnsi="Times New Roman" w:cs="Times New Roman"/>
          <w:b w:val="0"/>
          <w:sz w:val="24"/>
        </w:rPr>
        <w:t xml:space="preserve"> </w:t>
      </w:r>
    </w:p>
    <w:p w:rsidR="00FF384B" w:rsidRDefault="003E3BA9">
      <w:pPr>
        <w:spacing w:after="5" w:line="247" w:lineRule="auto"/>
        <w:ind w:left="10" w:right="244" w:hanging="10"/>
        <w:jc w:val="both"/>
      </w:pPr>
      <w:r>
        <w:rPr>
          <w:rFonts w:ascii="Arial" w:eastAsia="Arial" w:hAnsi="Arial" w:cs="Arial"/>
        </w:rPr>
        <w:t xml:space="preserve"> El presente estudio demuestra, tras los cálculos anteriormente expuestos, dos aspectos importantes a tener en cuenta: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numPr>
          <w:ilvl w:val="0"/>
          <w:numId w:val="292"/>
        </w:numPr>
        <w:spacing w:after="5" w:line="247" w:lineRule="auto"/>
        <w:ind w:right="1075" w:hanging="10"/>
        <w:jc w:val="both"/>
      </w:pPr>
      <w:r>
        <w:rPr>
          <w:noProof/>
        </w:rPr>
        <mc:AlternateContent>
          <mc:Choice Requires="wpg">
            <w:drawing>
              <wp:anchor distT="0" distB="0" distL="114300" distR="114300" simplePos="0" relativeHeight="2519132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4323" name="Group 49432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6820" name="Picture 46820"/>
                          <pic:cNvPicPr/>
                        </pic:nvPicPr>
                        <pic:blipFill>
                          <a:blip r:embed="rId62"/>
                          <a:stretch>
                            <a:fillRect/>
                          </a:stretch>
                        </pic:blipFill>
                        <pic:spPr>
                          <a:xfrm rot="-5399999">
                            <a:off x="-1720849" y="1720849"/>
                            <a:ext cx="3797300" cy="355601"/>
                          </a:xfrm>
                          <a:prstGeom prst="rect">
                            <a:avLst/>
                          </a:prstGeom>
                        </pic:spPr>
                      </pic:pic>
                      <wps:wsp>
                        <wps:cNvPr id="46821" name="Rectangle 4682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46822" name="Rectangle 4682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248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4323" style="width:41.2715pt;height:299pt;position:absolute;mso-position-horizontal-relative:page;mso-position-horizontal:absolute;margin-left:653.71pt;mso-position-vertical-relative:page;margin-top:512.92pt;" coordsize="5241,37973">
                <v:shape id="Picture 46820" style="position:absolute;width:37973;height:3556;left:-17208;top:17208;rotation:-89;" filled="f">
                  <v:imagedata r:id="rId63"/>
                </v:shape>
                <v:rect id="Rectangle 468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682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248 de 353 </w:t>
                        </w:r>
                      </w:p>
                    </w:txbxContent>
                  </v:textbox>
                </v:rect>
                <w10:wrap type="square"/>
              </v:group>
            </w:pict>
          </mc:Fallback>
        </mc:AlternateContent>
      </w:r>
      <w:r>
        <w:rPr>
          <w:rFonts w:ascii="Arial" w:eastAsia="Arial" w:hAnsi="Arial" w:cs="Arial"/>
        </w:rPr>
        <w:t>En el presente proyecto de licitación, teniendo en cuenta los datos de partida del presente estudio, se demuestra q</w:t>
      </w:r>
      <w:r>
        <w:rPr>
          <w:rFonts w:ascii="Arial" w:eastAsia="Arial" w:hAnsi="Arial" w:cs="Arial"/>
        </w:rPr>
        <w:t xml:space="preserve">ue en el periodo “ordinario” de cinco años no resulta posible que el adjudicatario recupere las inversiones realizadas para la prestación del servicio. </w:t>
      </w:r>
    </w:p>
    <w:p w:rsidR="00FF384B" w:rsidRDefault="003E3BA9">
      <w:pPr>
        <w:spacing w:after="0"/>
      </w:pPr>
      <w:r>
        <w:rPr>
          <w:rFonts w:ascii="Arial" w:eastAsia="Arial" w:hAnsi="Arial" w:cs="Arial"/>
        </w:rPr>
        <w:t xml:space="preserve"> </w:t>
      </w:r>
    </w:p>
    <w:p w:rsidR="00FF384B" w:rsidRDefault="003E3BA9">
      <w:pPr>
        <w:numPr>
          <w:ilvl w:val="0"/>
          <w:numId w:val="292"/>
        </w:numPr>
        <w:spacing w:after="123" w:line="247" w:lineRule="auto"/>
        <w:ind w:right="1075" w:hanging="10"/>
        <w:jc w:val="both"/>
      </w:pPr>
      <w:r>
        <w:rPr>
          <w:rFonts w:ascii="Arial" w:eastAsia="Arial" w:hAnsi="Arial" w:cs="Arial"/>
        </w:rPr>
        <w:t xml:space="preserve">Si se tiene en cuenta lo señalado en la Ley 9/2017, de 8 de noviembre, de Contratos </w:t>
      </w:r>
      <w:r>
        <w:rPr>
          <w:rFonts w:ascii="Arial" w:eastAsia="Arial" w:hAnsi="Arial" w:cs="Arial"/>
        </w:rPr>
        <w:t xml:space="preserve">del Sector Público, por la que se transponen al ordenamiento jurídico español las Directivas del Parlamento Europeo y del Consejo 2014/23/UE y 2014/24/UE, de 26 de febrero de 2014 que permite elevar la duración máxima del Contrato de Servicios, en caso de </w:t>
      </w:r>
      <w:r>
        <w:rPr>
          <w:rFonts w:ascii="Arial" w:eastAsia="Arial" w:hAnsi="Arial" w:cs="Arial"/>
        </w:rPr>
        <w:t xml:space="preserve">ser necesario para la recuperación de las inversiones a llevar a cabo y la Ley 2/2015, de 30 de marzo, de desindexación de la economía española. Artículo 10 Período de recuperación de la inversión de los contratos que establece el tiempo necesario para la </w:t>
      </w:r>
      <w:r>
        <w:rPr>
          <w:rFonts w:ascii="Arial" w:eastAsia="Arial" w:hAnsi="Arial" w:cs="Arial"/>
        </w:rPr>
        <w:t>recuperación de la inversión y la indicación de permitir al contratista la obtención de unos beneficios sobre el capital invertido en condiciones normales de explotación, se concluye del presente estudio la necesidad de incrementar, en dos, los años de dur</w:t>
      </w:r>
      <w:r>
        <w:rPr>
          <w:rFonts w:ascii="Arial" w:eastAsia="Arial" w:hAnsi="Arial" w:cs="Arial"/>
        </w:rPr>
        <w:t xml:space="preserve">ación del Contrato de Servicios para su viabilidad.”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sz w:val="24"/>
        </w:rPr>
        <w:t xml:space="preserve"> </w:t>
      </w:r>
    </w:p>
    <w:p w:rsidR="00FF384B" w:rsidRDefault="003E3BA9">
      <w:pPr>
        <w:pStyle w:val="Ttulo2"/>
        <w:ind w:left="767" w:right="1858"/>
      </w:pPr>
      <w:r>
        <w:t xml:space="preserve">FUNDAMENTOS DE DERECHO </w:t>
      </w:r>
    </w:p>
    <w:p w:rsidR="00FF384B" w:rsidRDefault="003E3BA9">
      <w:pPr>
        <w:spacing w:after="0"/>
        <w:ind w:right="1038"/>
        <w:jc w:val="center"/>
      </w:pPr>
      <w:r>
        <w:rPr>
          <w:rFonts w:ascii="Arial" w:eastAsia="Arial" w:hAnsi="Arial" w:cs="Arial"/>
          <w:b/>
        </w:rPr>
        <w:t xml:space="preserve"> </w:t>
      </w:r>
    </w:p>
    <w:p w:rsidR="00FF384B" w:rsidRDefault="003E3BA9">
      <w:pPr>
        <w:spacing w:after="0"/>
        <w:ind w:right="1038"/>
        <w:jc w:val="center"/>
      </w:pPr>
      <w:r>
        <w:rPr>
          <w:rFonts w:ascii="Arial" w:eastAsia="Arial" w:hAnsi="Arial" w:cs="Arial"/>
          <w:b/>
        </w:rPr>
        <w:t xml:space="preserve"> </w:t>
      </w:r>
    </w:p>
    <w:p w:rsidR="00FF384B" w:rsidRDefault="003E3BA9">
      <w:pPr>
        <w:spacing w:after="348" w:line="253" w:lineRule="auto"/>
        <w:ind w:left="767" w:right="1855" w:hanging="10"/>
        <w:jc w:val="center"/>
      </w:pPr>
      <w:r>
        <w:rPr>
          <w:rFonts w:ascii="Arial" w:eastAsia="Arial" w:hAnsi="Arial" w:cs="Arial"/>
          <w:b/>
        </w:rPr>
        <w:t xml:space="preserve">PRIMERO: </w:t>
      </w:r>
    </w:p>
    <w:p w:rsidR="00FF384B" w:rsidRDefault="003E3BA9">
      <w:pPr>
        <w:spacing w:after="170" w:line="247" w:lineRule="auto"/>
        <w:ind w:left="10" w:right="642" w:hanging="10"/>
        <w:jc w:val="both"/>
      </w:pPr>
      <w:r>
        <w:rPr>
          <w:rFonts w:ascii="Arial" w:eastAsia="Arial" w:hAnsi="Arial" w:cs="Arial"/>
        </w:rPr>
        <w:t>“Artículo 29.4. Plazo de duración de los contratos y de ejecución de la prestación, de la Ley 9/2017, de 8 de noviembre, de Contratos del Sector Público.</w:t>
      </w:r>
      <w:r>
        <w:rPr>
          <w:color w:val="2E74B5"/>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174" w:line="247" w:lineRule="auto"/>
        <w:ind w:right="1051" w:firstLine="360"/>
        <w:jc w:val="both"/>
      </w:pPr>
      <w:r>
        <w:rPr>
          <w:rFonts w:ascii="Arial" w:eastAsia="Arial" w:hAnsi="Arial" w:cs="Arial"/>
          <w:i/>
        </w:rPr>
        <w:t>4. Los contratos de suministros y de servicios de prestación sucesiva tendrán un plazo máximo de duración de cinco años, incluyendo las posibles prórrogas que en aplicación del apartado segundo de este artículo acuerde el órgano de contratación, respetando</w:t>
      </w:r>
      <w:r>
        <w:rPr>
          <w:rFonts w:ascii="Arial" w:eastAsia="Arial" w:hAnsi="Arial" w:cs="Arial"/>
          <w:i/>
        </w:rPr>
        <w:t xml:space="preserve"> las condiciones y límites establecidos en las respectivas normas presupuestarias que sean aplicables al ente contratante. </w:t>
      </w:r>
    </w:p>
    <w:p w:rsidR="00FF384B" w:rsidRDefault="003E3BA9">
      <w:pPr>
        <w:spacing w:after="174" w:line="247" w:lineRule="auto"/>
        <w:ind w:right="1052" w:firstLine="360"/>
        <w:jc w:val="both"/>
      </w:pPr>
      <w:r>
        <w:rPr>
          <w:rFonts w:ascii="Arial" w:eastAsia="Arial" w:hAnsi="Arial" w:cs="Arial"/>
          <w:i/>
        </w:rPr>
        <w:t>Excepcionalmente, en los contratos de suministros y de servicios se podrá establecer un plazo de duración superior al establecido en</w:t>
      </w:r>
      <w:r>
        <w:rPr>
          <w:rFonts w:ascii="Arial" w:eastAsia="Arial" w:hAnsi="Arial" w:cs="Arial"/>
          <w:i/>
        </w:rPr>
        <w:t xml:space="preserve"> el párrafo anterior, cuando lo exija el período de recuperación de las inversiones directamente relacionadas con el contrato y estas no sean susceptibles de utilizarse en el resto de la actividad productiva del contratista o su utilización fuera antieconó</w:t>
      </w:r>
      <w:r>
        <w:rPr>
          <w:rFonts w:ascii="Arial" w:eastAsia="Arial" w:hAnsi="Arial" w:cs="Arial"/>
          <w:i/>
        </w:rPr>
        <w:t>mica, siempre que la amortización de dichas inversiones sea un coste relevante en la prestación del suministro o servicio, circunstancias que deberán ser justificadas en el expediente de contratación con indicación de las inversiones a las que se refiera y</w:t>
      </w:r>
      <w:r>
        <w:rPr>
          <w:rFonts w:ascii="Arial" w:eastAsia="Arial" w:hAnsi="Arial" w:cs="Arial"/>
          <w:i/>
        </w:rPr>
        <w:t xml:space="preserve"> de su período de recuperación. El concepto de coste relevante en la prestación del suministro o servicio será objeto de desarrollo reglamentario. </w:t>
      </w:r>
    </w:p>
    <w:p w:rsidR="00FF384B" w:rsidRDefault="003E3BA9">
      <w:pPr>
        <w:spacing w:after="172" w:line="247" w:lineRule="auto"/>
        <w:ind w:right="1053" w:firstLine="360"/>
        <w:jc w:val="both"/>
      </w:pPr>
      <w:r>
        <w:rPr>
          <w:rFonts w:ascii="Arial" w:eastAsia="Arial" w:hAnsi="Arial" w:cs="Arial"/>
          <w:i/>
        </w:rPr>
        <w:t>El contrato de servicios de mantenimiento que se concierte conjuntamente con el de la compra del bien a mant</w:t>
      </w:r>
      <w:r>
        <w:rPr>
          <w:rFonts w:ascii="Arial" w:eastAsia="Arial" w:hAnsi="Arial" w:cs="Arial"/>
          <w:i/>
        </w:rPr>
        <w:t xml:space="preserve">ener, cuando dicho mantenimiento solo pueda ser prestado por razones de exclusividad por la empresa que suministró dicho bien, podrá tener como plazo de duración el de la vida útil del producto adquirido. </w:t>
      </w:r>
    </w:p>
    <w:p w:rsidR="00FF384B" w:rsidRDefault="003E3BA9">
      <w:pPr>
        <w:spacing w:after="174" w:line="247" w:lineRule="auto"/>
        <w:ind w:right="1053" w:firstLine="360"/>
        <w:jc w:val="both"/>
      </w:pPr>
      <w:r>
        <w:rPr>
          <w:rFonts w:ascii="Arial" w:eastAsia="Arial" w:hAnsi="Arial" w:cs="Arial"/>
          <w:i/>
        </w:rPr>
        <w:t>Asimismo podrá establecerse en los contratos de se</w:t>
      </w:r>
      <w:r>
        <w:rPr>
          <w:rFonts w:ascii="Arial" w:eastAsia="Arial" w:hAnsi="Arial" w:cs="Arial"/>
          <w:i/>
        </w:rPr>
        <w:t xml:space="preserve">rvicios relativos a los servicios a las personas un plazo de duración mayor cuando ello fuera necesario para la continuidad de aquellos tratamientos a los usuarios en los que el cambio del prestador pudiera repercutir negativamente. </w:t>
      </w:r>
    </w:p>
    <w:p w:rsidR="00FF384B" w:rsidRDefault="003E3BA9">
      <w:pPr>
        <w:spacing w:after="185" w:line="247" w:lineRule="auto"/>
        <w:ind w:right="1052" w:firstLine="360"/>
        <w:jc w:val="both"/>
      </w:pPr>
      <w:r>
        <w:rPr>
          <w:noProof/>
        </w:rPr>
        <mc:AlternateContent>
          <mc:Choice Requires="wpg">
            <w:drawing>
              <wp:anchor distT="0" distB="0" distL="114300" distR="114300" simplePos="0" relativeHeight="2519142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4180" name="Group 4941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6910" name="Picture 46910"/>
                          <pic:cNvPicPr/>
                        </pic:nvPicPr>
                        <pic:blipFill>
                          <a:blip r:embed="rId62"/>
                          <a:stretch>
                            <a:fillRect/>
                          </a:stretch>
                        </pic:blipFill>
                        <pic:spPr>
                          <a:xfrm rot="-5399999">
                            <a:off x="-1720849" y="1720849"/>
                            <a:ext cx="3797300" cy="355601"/>
                          </a:xfrm>
                          <a:prstGeom prst="rect">
                            <a:avLst/>
                          </a:prstGeom>
                        </pic:spPr>
                      </pic:pic>
                      <wps:wsp>
                        <wps:cNvPr id="46911" name="Rectangle 4691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6912" name="Rectangle 4691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249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4180" style="width:41.2715pt;height:299pt;position:absolute;mso-position-horizontal-relative:page;mso-position-horizontal:absolute;margin-left:653.71pt;mso-position-vertical-relative:page;margin-top:512.92pt;" coordsize="5241,37973">
                <v:shape id="Picture 46910" style="position:absolute;width:37973;height:3556;left:-17208;top:17208;rotation:-89;" filled="f">
                  <v:imagedata r:id="rId63"/>
                </v:shape>
                <v:rect id="Rectangle 469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69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249 de 353 </w:t>
                        </w:r>
                      </w:p>
                    </w:txbxContent>
                  </v:textbox>
                </v:rect>
                <w10:wrap type="square"/>
              </v:group>
            </w:pict>
          </mc:Fallback>
        </mc:AlternateContent>
      </w:r>
      <w:r>
        <w:rPr>
          <w:rFonts w:ascii="Arial" w:eastAsia="Arial" w:hAnsi="Arial" w:cs="Arial"/>
          <w:i/>
        </w:rPr>
        <w:t>No obstante lo establecido en los apartados anteriores, cuand</w:t>
      </w:r>
      <w:r>
        <w:rPr>
          <w:rFonts w:ascii="Arial" w:eastAsia="Arial" w:hAnsi="Arial" w:cs="Arial"/>
          <w:i/>
        </w:rPr>
        <w:t>o al vencimiento de un contrato no se hubiera formalizado el nuevo contrato que garantice la continuidad de la prestación a realizar por el contratista como consecuencia de incidencias resultantes de acontecimientos imprevisibles para el órgano de contrata</w:t>
      </w:r>
      <w:r>
        <w:rPr>
          <w:rFonts w:ascii="Arial" w:eastAsia="Arial" w:hAnsi="Arial" w:cs="Arial"/>
          <w:i/>
        </w:rPr>
        <w:t>ción producidas en el procedimiento de adjudicación y existan razones de interés público para no interrumpir la prestación, se podrá prorrogar el contrato originario hasta que comience la ejecución del nuevo contrato y en todo caso por un periodo máximo de</w:t>
      </w:r>
      <w:r>
        <w:rPr>
          <w:rFonts w:ascii="Arial" w:eastAsia="Arial" w:hAnsi="Arial" w:cs="Arial"/>
          <w:i/>
        </w:rPr>
        <w:t xml:space="preserve"> nueve meses, sin modificar las restantes condiciones del contrato, siempre que el anuncio de licitación del nuevo contrato se haya publicado con una antelación mínima de tres meses respecto de la fecha de finalización del contrato originario.”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ind w:right="1040"/>
        <w:jc w:val="center"/>
      </w:pPr>
      <w:r>
        <w:rPr>
          <w:rFonts w:ascii="Times New Roman" w:eastAsia="Times New Roman" w:hAnsi="Times New Roman" w:cs="Times New Roman"/>
          <w:b/>
          <w:sz w:val="24"/>
        </w:rPr>
        <w:t xml:space="preserve"> </w:t>
      </w:r>
    </w:p>
    <w:p w:rsidR="00FF384B" w:rsidRDefault="003E3BA9">
      <w:pPr>
        <w:spacing w:after="163" w:line="253" w:lineRule="auto"/>
        <w:ind w:left="767" w:right="1853" w:hanging="10"/>
        <w:jc w:val="center"/>
      </w:pPr>
      <w:r>
        <w:rPr>
          <w:rFonts w:ascii="Arial" w:eastAsia="Arial" w:hAnsi="Arial" w:cs="Arial"/>
          <w:b/>
        </w:rPr>
        <w:t>SEGUND</w:t>
      </w:r>
      <w:r>
        <w:rPr>
          <w:rFonts w:ascii="Arial" w:eastAsia="Arial" w:hAnsi="Arial" w:cs="Arial"/>
          <w:b/>
        </w:rPr>
        <w:t xml:space="preserve">O: </w:t>
      </w:r>
    </w:p>
    <w:p w:rsidR="00FF384B" w:rsidRDefault="003E3BA9">
      <w:pPr>
        <w:spacing w:after="357" w:line="247" w:lineRule="auto"/>
        <w:ind w:left="963" w:right="2015" w:hanging="3"/>
        <w:jc w:val="both"/>
      </w:pPr>
      <w:r>
        <w:rPr>
          <w:rFonts w:ascii="Arial" w:eastAsia="Arial" w:hAnsi="Arial" w:cs="Arial"/>
          <w:b/>
        </w:rPr>
        <w:t>Revisión de precios en los contratos de las entidades del Sector Público, Ley 9/2017, de 8 de noviembre, de Contratos del Sector Público</w:t>
      </w:r>
      <w:r>
        <w:rPr>
          <w:rFonts w:ascii="Times New Roman" w:eastAsia="Times New Roman" w:hAnsi="Times New Roman" w:cs="Times New Roman"/>
          <w:sz w:val="24"/>
        </w:rPr>
        <w:t xml:space="preserve"> </w:t>
      </w:r>
    </w:p>
    <w:p w:rsidR="00FF384B" w:rsidRDefault="003E3BA9">
      <w:pPr>
        <w:spacing w:after="144" w:line="247" w:lineRule="auto"/>
        <w:ind w:left="10" w:right="244" w:hanging="10"/>
        <w:jc w:val="both"/>
      </w:pPr>
      <w:r>
        <w:rPr>
          <w:rFonts w:ascii="Arial" w:eastAsia="Arial" w:hAnsi="Arial" w:cs="Arial"/>
        </w:rPr>
        <w:t>“Artículo 103. Procedencia y límites.</w:t>
      </w:r>
      <w:r>
        <w:rPr>
          <w:color w:val="2E74B5"/>
          <w:sz w:val="24"/>
        </w:rPr>
        <w:t xml:space="preserve"> </w:t>
      </w:r>
    </w:p>
    <w:p w:rsidR="00FF384B" w:rsidRDefault="003E3BA9">
      <w:pPr>
        <w:numPr>
          <w:ilvl w:val="0"/>
          <w:numId w:val="293"/>
        </w:numPr>
        <w:spacing w:after="175" w:line="247" w:lineRule="auto"/>
        <w:ind w:right="1052" w:firstLine="360"/>
        <w:jc w:val="both"/>
      </w:pPr>
      <w:r>
        <w:rPr>
          <w:rFonts w:ascii="Arial" w:eastAsia="Arial" w:hAnsi="Arial" w:cs="Arial"/>
          <w:i/>
        </w:rPr>
        <w:t>Los precios de los contratos del sector público solo podrán ser objeto de r</w:t>
      </w:r>
      <w:r>
        <w:rPr>
          <w:rFonts w:ascii="Arial" w:eastAsia="Arial" w:hAnsi="Arial" w:cs="Arial"/>
          <w:i/>
        </w:rPr>
        <w:t xml:space="preserve">evisión periódica y predeterminada en los términos establecidos en este Capítulo. </w:t>
      </w:r>
    </w:p>
    <w:p w:rsidR="00FF384B" w:rsidRDefault="003E3BA9">
      <w:pPr>
        <w:spacing w:after="4" w:line="247" w:lineRule="auto"/>
        <w:ind w:right="1053" w:firstLine="360"/>
        <w:jc w:val="both"/>
      </w:pPr>
      <w:r>
        <w:rPr>
          <w:rFonts w:ascii="Arial" w:eastAsia="Arial" w:hAnsi="Arial" w:cs="Arial"/>
          <w:i/>
        </w:rPr>
        <w:t xml:space="preserve">Salvo en los contratos no sujetos a regulación armonizada a los que se refiere el apartado 2 del artículo 19, no cabrá la revisión periódica no predeterminada o no periódica de los precios de los contratos. </w:t>
      </w:r>
    </w:p>
    <w:p w:rsidR="00FF384B" w:rsidRDefault="003E3BA9">
      <w:pPr>
        <w:spacing w:after="171" w:line="247" w:lineRule="auto"/>
        <w:ind w:right="551" w:firstLine="360"/>
        <w:jc w:val="both"/>
      </w:pPr>
      <w:r>
        <w:rPr>
          <w:rFonts w:ascii="Arial" w:eastAsia="Arial" w:hAnsi="Arial" w:cs="Arial"/>
          <w:i/>
        </w:rPr>
        <w:t xml:space="preserve">Se entenderá por precio cualquier retribución o </w:t>
      </w:r>
      <w:r>
        <w:rPr>
          <w:rFonts w:ascii="Arial" w:eastAsia="Arial" w:hAnsi="Arial" w:cs="Arial"/>
          <w:i/>
        </w:rPr>
        <w:t xml:space="preserve">contraprestación económica del contrato, bien sean abonadas por la Administración o por los usuarios. </w:t>
      </w:r>
    </w:p>
    <w:p w:rsidR="00FF384B" w:rsidRDefault="003E3BA9">
      <w:pPr>
        <w:numPr>
          <w:ilvl w:val="0"/>
          <w:numId w:val="293"/>
        </w:numPr>
        <w:spacing w:after="175" w:line="247" w:lineRule="auto"/>
        <w:ind w:right="1052" w:firstLine="360"/>
        <w:jc w:val="both"/>
      </w:pPr>
      <w:r>
        <w:rPr>
          <w:rFonts w:ascii="Arial" w:eastAsia="Arial" w:hAnsi="Arial" w:cs="Arial"/>
          <w:i/>
        </w:rPr>
        <w:t xml:space="preserve">Previa justificación en el expediente y de conformidad con lo previsto en el Real Decreto al que se refieren los artículos 4 y 5 de la Ley 2/2015, de 30 </w:t>
      </w:r>
      <w:r>
        <w:rPr>
          <w:rFonts w:ascii="Arial" w:eastAsia="Arial" w:hAnsi="Arial" w:cs="Arial"/>
          <w:i/>
        </w:rPr>
        <w:t>de marzo, de desindexación de la economía española, la revisión periódica y predeterminada de precios solo se podrá llevar a cabo en los contratos de obra, en los contratos de suministros de fabricación de armamento y equipamiento de las Administraciones P</w:t>
      </w:r>
      <w:r>
        <w:rPr>
          <w:rFonts w:ascii="Arial" w:eastAsia="Arial" w:hAnsi="Arial" w:cs="Arial"/>
          <w:i/>
        </w:rPr>
        <w:t>úblicas, en los contratos de suministro de energía y en aquellos otros contratos en los que el período de recuperación de la inversión sea igual o superior a cinco años. Dicho período se calculará conforme a lo dispuesto en el Real Decreto anteriormente ci</w:t>
      </w:r>
      <w:r>
        <w:rPr>
          <w:rFonts w:ascii="Arial" w:eastAsia="Arial" w:hAnsi="Arial" w:cs="Arial"/>
          <w:i/>
        </w:rPr>
        <w:t xml:space="preserve">tado. </w:t>
      </w:r>
    </w:p>
    <w:p w:rsidR="00FF384B" w:rsidRDefault="003E3BA9">
      <w:pPr>
        <w:spacing w:after="172" w:line="247" w:lineRule="auto"/>
        <w:ind w:right="1052" w:firstLine="360"/>
        <w:jc w:val="both"/>
      </w:pPr>
      <w:r>
        <w:rPr>
          <w:rFonts w:ascii="Arial" w:eastAsia="Arial" w:hAnsi="Arial" w:cs="Arial"/>
          <w:i/>
        </w:rPr>
        <w:t>No se considerarán revisables en ningún caso los costes asociados a las amortizaciones, los costes financieros, los gastos generales o de estructura ni el beneficio industrial. Los costes de mano de obra de los contratos distintos de los de obra, suministr</w:t>
      </w:r>
      <w:r>
        <w:rPr>
          <w:rFonts w:ascii="Arial" w:eastAsia="Arial" w:hAnsi="Arial" w:cs="Arial"/>
          <w:i/>
        </w:rPr>
        <w:t>o de fabricación de armamento y equipamiento de las Administraciones Públicas, se revisarán cuando el período de recuperación de la inversión sea igual o superior a cinco años y la intensidad en el uso del factor trabajo sea considerada significativa, de a</w:t>
      </w:r>
      <w:r>
        <w:rPr>
          <w:rFonts w:ascii="Arial" w:eastAsia="Arial" w:hAnsi="Arial" w:cs="Arial"/>
          <w:i/>
        </w:rPr>
        <w:t xml:space="preserve">cuerdo con los supuestos y límites establecidos en el Real Decreto. </w:t>
      </w:r>
    </w:p>
    <w:p w:rsidR="00FF384B" w:rsidRDefault="003E3BA9">
      <w:pPr>
        <w:numPr>
          <w:ilvl w:val="0"/>
          <w:numId w:val="293"/>
        </w:numPr>
        <w:spacing w:after="172" w:line="247" w:lineRule="auto"/>
        <w:ind w:right="1052" w:firstLine="360"/>
        <w:jc w:val="both"/>
      </w:pPr>
      <w:r>
        <w:rPr>
          <w:rFonts w:ascii="Arial" w:eastAsia="Arial" w:hAnsi="Arial" w:cs="Arial"/>
          <w:i/>
        </w:rPr>
        <w:t>En los supuestos en que proceda, el órgano de contratación podrá establecer el derecho a revisión periódica y predeterminada de precios y fijará la fórmula de revisión que deba aplicarse,</w:t>
      </w:r>
      <w:r>
        <w:rPr>
          <w:rFonts w:ascii="Arial" w:eastAsia="Arial" w:hAnsi="Arial" w:cs="Arial"/>
          <w:i/>
        </w:rPr>
        <w:t xml:space="preserve"> atendiendo a la naturaleza de cada contrato y la estructura y evolución de los costes de las prestaciones del mismo. </w:t>
      </w:r>
    </w:p>
    <w:p w:rsidR="00FF384B" w:rsidRDefault="003E3BA9">
      <w:pPr>
        <w:numPr>
          <w:ilvl w:val="0"/>
          <w:numId w:val="293"/>
        </w:numPr>
        <w:spacing w:after="174" w:line="247" w:lineRule="auto"/>
        <w:ind w:right="1052" w:firstLine="360"/>
        <w:jc w:val="both"/>
      </w:pPr>
      <w:r>
        <w:rPr>
          <w:noProof/>
        </w:rPr>
        <mc:AlternateContent>
          <mc:Choice Requires="wpg">
            <w:drawing>
              <wp:anchor distT="0" distB="0" distL="114300" distR="114300" simplePos="0" relativeHeight="2519152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4648" name="Group 49464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6996" name="Picture 46996"/>
                          <pic:cNvPicPr/>
                        </pic:nvPicPr>
                        <pic:blipFill>
                          <a:blip r:embed="rId62"/>
                          <a:stretch>
                            <a:fillRect/>
                          </a:stretch>
                        </pic:blipFill>
                        <pic:spPr>
                          <a:xfrm rot="-5399999">
                            <a:off x="-1720849" y="1720849"/>
                            <a:ext cx="3797300" cy="355601"/>
                          </a:xfrm>
                          <a:prstGeom prst="rect">
                            <a:avLst/>
                          </a:prstGeom>
                        </pic:spPr>
                      </pic:pic>
                      <wps:wsp>
                        <wps:cNvPr id="46997" name="Rectangle 4699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6998" name="Rectangle 4699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w:t>
                              </w:r>
                              <w:r>
                                <w:rPr>
                                  <w:rFonts w:ascii="Arial" w:eastAsia="Arial" w:hAnsi="Arial" w:cs="Arial"/>
                                  <w:sz w:val="12"/>
                                </w:rPr>
                                <w:t xml:space="preserve"> desde la plataforma esPublico Gestiona | Página 250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4648" style="width:41.2715pt;height:299pt;position:absolute;mso-position-horizontal-relative:page;mso-position-horizontal:absolute;margin-left:653.71pt;mso-position-vertical-relative:page;margin-top:512.92pt;" coordsize="5241,37973">
                <v:shape id="Picture 46996" style="position:absolute;width:37973;height:3556;left:-17208;top:17208;rotation:-89;" filled="f">
                  <v:imagedata r:id="rId63"/>
                </v:shape>
                <v:rect id="Rectangle 469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699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250 de 353 </w:t>
                        </w:r>
                      </w:p>
                    </w:txbxContent>
                  </v:textbox>
                </v:rect>
                <w10:wrap type="square"/>
              </v:group>
            </w:pict>
          </mc:Fallback>
        </mc:AlternateContent>
      </w:r>
      <w:r>
        <w:rPr>
          <w:rFonts w:ascii="Arial" w:eastAsia="Arial" w:hAnsi="Arial" w:cs="Arial"/>
          <w:i/>
        </w:rPr>
        <w:t>El pliego de cláusulas administrativas particulares deberá detallar, en tales casos, la fórmula de revisión aplicable, que será invariable durante la vigencia del contrato y determinará la revisi</w:t>
      </w:r>
      <w:r>
        <w:rPr>
          <w:rFonts w:ascii="Arial" w:eastAsia="Arial" w:hAnsi="Arial" w:cs="Arial"/>
          <w:i/>
        </w:rPr>
        <w:t>ón de precios en cada fecha respecto a la fecha de formalización del contrato, siempre que la formalización se produzca en el plazo de tres meses desde la finalización del plazo de presentación de ofertas, o respecto a la fecha en que termine dicho plazo d</w:t>
      </w:r>
      <w:r>
        <w:rPr>
          <w:rFonts w:ascii="Arial" w:eastAsia="Arial" w:hAnsi="Arial" w:cs="Arial"/>
          <w:i/>
        </w:rPr>
        <w:t xml:space="preserve">e tres meses si la formalización se produce con posterioridad. </w:t>
      </w:r>
    </w:p>
    <w:p w:rsidR="00FF384B" w:rsidRDefault="003E3BA9">
      <w:pPr>
        <w:numPr>
          <w:ilvl w:val="0"/>
          <w:numId w:val="293"/>
        </w:numPr>
        <w:spacing w:after="172" w:line="247" w:lineRule="auto"/>
        <w:ind w:right="1052" w:firstLine="360"/>
        <w:jc w:val="both"/>
      </w:pPr>
      <w:r>
        <w:rPr>
          <w:rFonts w:ascii="Arial" w:eastAsia="Arial" w:hAnsi="Arial" w:cs="Arial"/>
          <w:i/>
        </w:rPr>
        <w:t>Salvo en los contratos de suministro de energía, cuando proceda, la revisión periódica y predeterminada de precios en los contratos del sector público tendrá lugar, en los términos establecido</w:t>
      </w:r>
      <w:r>
        <w:rPr>
          <w:rFonts w:ascii="Arial" w:eastAsia="Arial" w:hAnsi="Arial" w:cs="Arial"/>
          <w:i/>
        </w:rPr>
        <w:t>s en este Capítulo, cuando el contrato se hubiese ejecutado, al menos, en el 20 por ciento de su importe y hubiesen transcurrido dos años desde su formalización. En consecuencia, el primer 20 por ciento ejecutado y los dos primeros años transcurridos desde</w:t>
      </w:r>
      <w:r>
        <w:rPr>
          <w:rFonts w:ascii="Arial" w:eastAsia="Arial" w:hAnsi="Arial" w:cs="Arial"/>
          <w:i/>
        </w:rPr>
        <w:t xml:space="preserve"> la formalización quedarán excluidos de la revisión. </w:t>
      </w:r>
    </w:p>
    <w:p w:rsidR="00FF384B" w:rsidRDefault="003E3BA9">
      <w:pPr>
        <w:spacing w:after="172" w:line="247" w:lineRule="auto"/>
        <w:ind w:right="1052" w:firstLine="360"/>
        <w:jc w:val="both"/>
      </w:pPr>
      <w:r>
        <w:rPr>
          <w:rFonts w:ascii="Arial" w:eastAsia="Arial" w:hAnsi="Arial" w:cs="Arial"/>
          <w:i/>
        </w:rPr>
        <w:t xml:space="preserve">No obstante, la condición relativa al porcentaje de ejecución del contrato no será exigible a efectos de proceder a la revisión periódica y predeterminada en los contratos de concesión de servicios. </w:t>
      </w:r>
    </w:p>
    <w:p w:rsidR="00FF384B" w:rsidRDefault="003E3BA9">
      <w:pPr>
        <w:numPr>
          <w:ilvl w:val="0"/>
          <w:numId w:val="293"/>
        </w:numPr>
        <w:spacing w:after="174" w:line="247" w:lineRule="auto"/>
        <w:ind w:right="1052" w:firstLine="360"/>
        <w:jc w:val="both"/>
      </w:pPr>
      <w:r>
        <w:rPr>
          <w:rFonts w:ascii="Arial" w:eastAsia="Arial" w:hAnsi="Arial" w:cs="Arial"/>
          <w:i/>
        </w:rPr>
        <w:t>El</w:t>
      </w:r>
      <w:r>
        <w:rPr>
          <w:rFonts w:ascii="Arial" w:eastAsia="Arial" w:hAnsi="Arial" w:cs="Arial"/>
          <w:i/>
        </w:rPr>
        <w:t xml:space="preserve"> Consejo de Ministros podrá aprobar, previo informe de la Junta Consultiva de Contratación Pública del Estado y de la Comisión Delegada del Gobierno para Asuntos Económicos, fórmulas tipo de revisión periódica y predeterminada para los contratos previstos </w:t>
      </w:r>
      <w:r>
        <w:rPr>
          <w:rFonts w:ascii="Arial" w:eastAsia="Arial" w:hAnsi="Arial" w:cs="Arial"/>
          <w:i/>
        </w:rPr>
        <w:t xml:space="preserve">en el apartado 2. </w:t>
      </w:r>
    </w:p>
    <w:p w:rsidR="00FF384B" w:rsidRDefault="003E3BA9">
      <w:pPr>
        <w:spacing w:after="4" w:line="247" w:lineRule="auto"/>
        <w:ind w:right="1050" w:firstLine="360"/>
        <w:jc w:val="both"/>
      </w:pPr>
      <w:r>
        <w:rPr>
          <w:rFonts w:ascii="Arial" w:eastAsia="Arial" w:hAnsi="Arial" w:cs="Arial"/>
          <w:i/>
        </w:rPr>
        <w:t>A propuesta de la Administración Pública competente de la contratación, el Comité Superior de Precios de Contratos del Estado determinará aquellas actividades donde resulte conveniente contar con una fórmula tipo, elaborará las fórmulas y las remitirá para</w:t>
      </w:r>
      <w:r>
        <w:rPr>
          <w:rFonts w:ascii="Arial" w:eastAsia="Arial" w:hAnsi="Arial" w:cs="Arial"/>
          <w:i/>
        </w:rPr>
        <w:t xml:space="preserve"> su aprobación al Consejo de Ministros. </w:t>
      </w:r>
    </w:p>
    <w:p w:rsidR="00FF384B" w:rsidRDefault="003E3BA9">
      <w:pPr>
        <w:spacing w:after="174" w:line="247" w:lineRule="auto"/>
        <w:ind w:right="1054" w:firstLine="360"/>
        <w:jc w:val="both"/>
      </w:pPr>
      <w:r>
        <w:rPr>
          <w:rFonts w:ascii="Arial" w:eastAsia="Arial" w:hAnsi="Arial" w:cs="Arial"/>
          <w:i/>
        </w:rPr>
        <w:t>Cuando para un determinado tipo de contrato, se hayan aprobado, por el procedimiento descrito, fórmulas tipo, el órgano de contratación no podrá incluir otra fórmula de revisión diferente a esta en los pliegos y con</w:t>
      </w:r>
      <w:r>
        <w:rPr>
          <w:rFonts w:ascii="Arial" w:eastAsia="Arial" w:hAnsi="Arial" w:cs="Arial"/>
          <w:i/>
        </w:rPr>
        <w:t xml:space="preserve">trato. </w:t>
      </w:r>
    </w:p>
    <w:p w:rsidR="00FF384B" w:rsidRDefault="003E3BA9">
      <w:pPr>
        <w:numPr>
          <w:ilvl w:val="0"/>
          <w:numId w:val="294"/>
        </w:numPr>
        <w:spacing w:after="172" w:line="247" w:lineRule="auto"/>
        <w:ind w:right="1052" w:firstLine="360"/>
        <w:jc w:val="both"/>
      </w:pPr>
      <w:r>
        <w:rPr>
          <w:rFonts w:ascii="Arial" w:eastAsia="Arial" w:hAnsi="Arial" w:cs="Arial"/>
          <w:i/>
        </w:rPr>
        <w:t>Las fórmulas tipo que se establezcan con sujeción a los principios y metodologías contenidos en el Real Decreto referido en el apartado 2 de la presente disposición reflejarán la ponderación en el precio del contrato de los componentes básicos de c</w:t>
      </w:r>
      <w:r>
        <w:rPr>
          <w:rFonts w:ascii="Arial" w:eastAsia="Arial" w:hAnsi="Arial" w:cs="Arial"/>
          <w:i/>
        </w:rPr>
        <w:t xml:space="preserve">ostes relativos al proceso de generación de las prestaciones objeto del mismo. </w:t>
      </w:r>
    </w:p>
    <w:p w:rsidR="00FF384B" w:rsidRDefault="003E3BA9">
      <w:pPr>
        <w:numPr>
          <w:ilvl w:val="0"/>
          <w:numId w:val="294"/>
        </w:numPr>
        <w:spacing w:after="171" w:line="247" w:lineRule="auto"/>
        <w:ind w:right="1052" w:firstLine="360"/>
        <w:jc w:val="both"/>
      </w:pPr>
      <w:r>
        <w:rPr>
          <w:rFonts w:ascii="Arial" w:eastAsia="Arial" w:hAnsi="Arial" w:cs="Arial"/>
          <w:i/>
        </w:rPr>
        <w:t>El Instituto Nacional de Estadística elaborará los índices mensuales de los precios de los componentes básicos de costes incluidos en las fórmulas tipo de revisión de precios d</w:t>
      </w:r>
      <w:r>
        <w:rPr>
          <w:rFonts w:ascii="Arial" w:eastAsia="Arial" w:hAnsi="Arial" w:cs="Arial"/>
          <w:i/>
        </w:rPr>
        <w:t xml:space="preserve">e los contratos, los cuales serán aprobados por Orden del Ministro de Hacienda y Función Pública, previo informe del Comité Superior de Precios de Contratos del Estado. </w:t>
      </w:r>
    </w:p>
    <w:p w:rsidR="00FF384B" w:rsidRDefault="003E3BA9">
      <w:pPr>
        <w:spacing w:after="172" w:line="247" w:lineRule="auto"/>
        <w:ind w:right="1050" w:firstLine="360"/>
        <w:jc w:val="both"/>
      </w:pPr>
      <w:r>
        <w:rPr>
          <w:rFonts w:ascii="Arial" w:eastAsia="Arial" w:hAnsi="Arial" w:cs="Arial"/>
          <w:i/>
        </w:rPr>
        <w:t xml:space="preserve">Los índices reflejarán, al alza o a la baja, las variaciones reales de los precios de </w:t>
      </w:r>
      <w:r>
        <w:rPr>
          <w:rFonts w:ascii="Arial" w:eastAsia="Arial" w:hAnsi="Arial" w:cs="Arial"/>
          <w:i/>
        </w:rPr>
        <w:t xml:space="preserve">la energía y materiales básicos observadas en el mercado y podrán ser únicos para todo el territorio nacional o particularizarse por zonas geográficas. </w:t>
      </w:r>
    </w:p>
    <w:p w:rsidR="00FF384B" w:rsidRDefault="003E3BA9">
      <w:pPr>
        <w:spacing w:after="172" w:line="247" w:lineRule="auto"/>
        <w:ind w:right="1047" w:firstLine="360"/>
        <w:jc w:val="both"/>
      </w:pPr>
      <w:r>
        <w:rPr>
          <w:rFonts w:ascii="Arial" w:eastAsia="Arial" w:hAnsi="Arial" w:cs="Arial"/>
          <w:i/>
        </w:rPr>
        <w:t>Reglamentariamente se establecerá la relación de componentes básicos de costes a incluir en las fórmula</w:t>
      </w:r>
      <w:r>
        <w:rPr>
          <w:rFonts w:ascii="Arial" w:eastAsia="Arial" w:hAnsi="Arial" w:cs="Arial"/>
          <w:i/>
        </w:rPr>
        <w:t>s tipo referidas en este apartado, relación que podrá ser ampliada por Orden del Ministro de Hacienda y Función Pública, previo informe de la Junta Consultiva de Contratación Pública del Estado cuando así lo exija la evolución de los procesos productivos o</w:t>
      </w:r>
      <w:r>
        <w:rPr>
          <w:rFonts w:ascii="Arial" w:eastAsia="Arial" w:hAnsi="Arial" w:cs="Arial"/>
          <w:i/>
        </w:rPr>
        <w:t xml:space="preserve"> la aparición de nuevos materiales con participación relevante en el coste de determinados contratos o la creación de nuevas fórmulas tipo de acuerdo con lo dispuesto en esta Ley y su desarrollo. </w:t>
      </w:r>
    </w:p>
    <w:p w:rsidR="00FF384B" w:rsidRDefault="003E3BA9">
      <w:pPr>
        <w:spacing w:after="175" w:line="246" w:lineRule="auto"/>
        <w:ind w:right="756" w:firstLine="360"/>
      </w:pPr>
      <w:r>
        <w:rPr>
          <w:noProof/>
        </w:rPr>
        <mc:AlternateContent>
          <mc:Choice Requires="wpg">
            <w:drawing>
              <wp:anchor distT="0" distB="0" distL="114300" distR="114300" simplePos="0" relativeHeight="25191628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4491" name="Group 49449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093" name="Picture 47093"/>
                          <pic:cNvPicPr/>
                        </pic:nvPicPr>
                        <pic:blipFill>
                          <a:blip r:embed="rId62"/>
                          <a:stretch>
                            <a:fillRect/>
                          </a:stretch>
                        </pic:blipFill>
                        <pic:spPr>
                          <a:xfrm rot="-5399999">
                            <a:off x="-1720849" y="1720849"/>
                            <a:ext cx="3797300" cy="355601"/>
                          </a:xfrm>
                          <a:prstGeom prst="rect">
                            <a:avLst/>
                          </a:prstGeom>
                        </pic:spPr>
                      </pic:pic>
                      <wps:wsp>
                        <wps:cNvPr id="47094" name="Rectangle 4709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w:t>
                              </w:r>
                              <w:r>
                                <w:rPr>
                                  <w:rFonts w:ascii="Arial" w:eastAsia="Arial" w:hAnsi="Arial" w:cs="Arial"/>
                                  <w:sz w:val="12"/>
                                </w:rPr>
                                <w:t xml:space="preserve">n: https://candelaria.sedelectronica.es/ </w:t>
                              </w:r>
                            </w:p>
                          </w:txbxContent>
                        </wps:txbx>
                        <wps:bodyPr horzOverflow="overflow" vert="horz" lIns="0" tIns="0" rIns="0" bIns="0" rtlCol="0">
                          <a:noAutofit/>
                        </wps:bodyPr>
                      </wps:wsp>
                      <wps:wsp>
                        <wps:cNvPr id="47095" name="Rectangle 4709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4491" style="width:41.2715pt;height:299pt;position:absolute;mso-position-horizontal-relative:page;mso-position-horizontal:absolute;margin-left:653.71pt;mso-position-vertical-relative:page;margin-top:512.92pt;" coordsize="5241,37973">
                <v:shape id="Picture 47093" style="position:absolute;width:37973;height:3556;left:-17208;top:17208;rotation:-89;" filled="f">
                  <v:imagedata r:id="rId63"/>
                </v:shape>
                <v:rect id="Rectangle 4709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09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251 de 353 </w:t>
                        </w:r>
                      </w:p>
                    </w:txbxContent>
                  </v:textbox>
                </v:rect>
                <w10:wrap type="square"/>
              </v:group>
            </w:pict>
          </mc:Fallback>
        </mc:AlternateContent>
      </w:r>
      <w:r>
        <w:rPr>
          <w:rFonts w:ascii="Arial" w:eastAsia="Arial" w:hAnsi="Arial" w:cs="Arial"/>
          <w:i/>
        </w:rPr>
        <w:t>Los indicadores o reglas de determinación de cada uno de los índices que intervienen en las fórmulas de revisión de p</w:t>
      </w:r>
      <w:r>
        <w:rPr>
          <w:rFonts w:ascii="Arial" w:eastAsia="Arial" w:hAnsi="Arial" w:cs="Arial"/>
          <w:i/>
        </w:rPr>
        <w:t xml:space="preserve">recios serán establecidos por Orden del Ministerio de Hacienda y Función Pública, a propuesta del Comité Superior de Precios de Contratos del Estado. </w:t>
      </w:r>
    </w:p>
    <w:p w:rsidR="00FF384B" w:rsidRDefault="003E3BA9">
      <w:pPr>
        <w:numPr>
          <w:ilvl w:val="0"/>
          <w:numId w:val="294"/>
        </w:numPr>
        <w:spacing w:after="175" w:line="247" w:lineRule="auto"/>
        <w:ind w:right="1052" w:firstLine="360"/>
        <w:jc w:val="both"/>
      </w:pPr>
      <w:r>
        <w:rPr>
          <w:rFonts w:ascii="Arial" w:eastAsia="Arial" w:hAnsi="Arial" w:cs="Arial"/>
          <w:i/>
        </w:rPr>
        <w:t>Cuando resulte aplicable la revisión de precios mediante las fórmulas tipo referidas en el apartado 6 de la presente disposición, el resultado de aplicar las ponderaciones previstas en el apartado 7 a los índices de precios, que se determinen conforme al a</w:t>
      </w:r>
      <w:r>
        <w:rPr>
          <w:rFonts w:ascii="Arial" w:eastAsia="Arial" w:hAnsi="Arial" w:cs="Arial"/>
          <w:i/>
        </w:rPr>
        <w:t>partado 8, proporcionará en cada fecha, respecto a la fecha y períodos determinados en el apartado 4, un coeficiente que se aplicará a los importes líquidos de las prestaciones realizadas que tengan derecho a revisión a los efectos de calcular el precio qu</w:t>
      </w:r>
      <w:r>
        <w:rPr>
          <w:rFonts w:ascii="Arial" w:eastAsia="Arial" w:hAnsi="Arial" w:cs="Arial"/>
          <w:i/>
        </w:rPr>
        <w:t xml:space="preserve">e corresponda satisfacer. </w:t>
      </w:r>
    </w:p>
    <w:p w:rsidR="00FF384B" w:rsidRDefault="003E3BA9">
      <w:pPr>
        <w:numPr>
          <w:ilvl w:val="0"/>
          <w:numId w:val="294"/>
        </w:numPr>
        <w:spacing w:after="31" w:line="247" w:lineRule="auto"/>
        <w:ind w:right="1052" w:firstLine="360"/>
        <w:jc w:val="both"/>
      </w:pPr>
      <w:r>
        <w:rPr>
          <w:rFonts w:ascii="Arial" w:eastAsia="Arial" w:hAnsi="Arial" w:cs="Arial"/>
          <w:i/>
        </w:rPr>
        <w:t>Lo establecido en este artículo y en la Ley 2/2015, de 30 de marzo, de desindexación de la economía española, se entenderá, en todo caso, sin perjuicio de la posibilidad de mantener el equilibrio económico en las circunstancias p</w:t>
      </w:r>
      <w:r>
        <w:rPr>
          <w:rFonts w:ascii="Arial" w:eastAsia="Arial" w:hAnsi="Arial" w:cs="Arial"/>
          <w:i/>
        </w:rPr>
        <w:t xml:space="preserve">revistas en los artículos </w:t>
      </w:r>
    </w:p>
    <w:p w:rsidR="00FF384B" w:rsidRDefault="003E3BA9">
      <w:pPr>
        <w:spacing w:after="186" w:line="247" w:lineRule="auto"/>
        <w:ind w:left="10" w:right="244" w:hanging="10"/>
        <w:jc w:val="both"/>
      </w:pPr>
      <w:r>
        <w:rPr>
          <w:rFonts w:ascii="Arial" w:eastAsia="Arial" w:hAnsi="Arial" w:cs="Arial"/>
          <w:i/>
        </w:rPr>
        <w:t xml:space="preserve">270 y 290.” </w:t>
      </w:r>
    </w:p>
    <w:p w:rsidR="00FF384B" w:rsidRDefault="003E3BA9">
      <w:pPr>
        <w:spacing w:after="0"/>
        <w:ind w:right="1040"/>
        <w:jc w:val="center"/>
      </w:pPr>
      <w:r>
        <w:rPr>
          <w:rFonts w:ascii="Times New Roman" w:eastAsia="Times New Roman" w:hAnsi="Times New Roman" w:cs="Times New Roman"/>
          <w:b/>
          <w:i/>
          <w:sz w:val="24"/>
        </w:rPr>
        <w:t xml:space="preserve"> </w:t>
      </w:r>
    </w:p>
    <w:p w:rsidR="00FF384B" w:rsidRDefault="003E3BA9">
      <w:pPr>
        <w:spacing w:after="0"/>
        <w:ind w:right="1033"/>
        <w:jc w:val="center"/>
      </w:pPr>
      <w:r>
        <w:rPr>
          <w:rFonts w:ascii="Arial" w:eastAsia="Arial" w:hAnsi="Arial" w:cs="Arial"/>
          <w:b/>
          <w:i/>
          <w:sz w:val="24"/>
        </w:rPr>
        <w:t xml:space="preserve"> </w:t>
      </w:r>
    </w:p>
    <w:p w:rsidR="00FF384B" w:rsidRDefault="003E3BA9">
      <w:pPr>
        <w:spacing w:after="8" w:line="253" w:lineRule="auto"/>
        <w:ind w:left="767" w:right="1855" w:hanging="10"/>
        <w:jc w:val="center"/>
      </w:pPr>
      <w:r>
        <w:rPr>
          <w:rFonts w:ascii="Arial" w:eastAsia="Arial" w:hAnsi="Arial" w:cs="Arial"/>
          <w:b/>
        </w:rPr>
        <w:t xml:space="preserve">TERCERO: </w:t>
      </w:r>
    </w:p>
    <w:p w:rsidR="00FF384B" w:rsidRDefault="003E3BA9">
      <w:pPr>
        <w:spacing w:after="0"/>
      </w:pPr>
      <w:r>
        <w:rPr>
          <w:rFonts w:ascii="Arial" w:eastAsia="Arial" w:hAnsi="Arial" w:cs="Arial"/>
          <w:b/>
          <w:sz w:val="24"/>
        </w:rPr>
        <w:t xml:space="preserve"> </w:t>
      </w:r>
    </w:p>
    <w:p w:rsidR="00FF384B" w:rsidRDefault="003E3BA9">
      <w:pPr>
        <w:pBdr>
          <w:bottom w:val="single" w:sz="6" w:space="0" w:color="CCCCCC"/>
        </w:pBdr>
        <w:shd w:val="clear" w:color="auto" w:fill="F9F9F9"/>
        <w:spacing w:after="272" w:line="238" w:lineRule="auto"/>
        <w:ind w:right="735"/>
      </w:pPr>
      <w:r>
        <w:rPr>
          <w:rFonts w:ascii="Arial" w:eastAsia="Arial" w:hAnsi="Arial" w:cs="Arial"/>
          <w:b/>
        </w:rPr>
        <w:t xml:space="preserve">Real Decreto 55/2017, de 3 de febrero, por el que se desarrolla la Ley 2/2015, de 30 de marzo, de desindexación de la economía española. </w:t>
      </w:r>
    </w:p>
    <w:p w:rsidR="00FF384B" w:rsidRDefault="003E3BA9">
      <w:pPr>
        <w:spacing w:after="0"/>
      </w:pPr>
      <w:r>
        <w:rPr>
          <w:rFonts w:ascii="Times New Roman" w:eastAsia="Times New Roman" w:hAnsi="Times New Roman" w:cs="Times New Roman"/>
          <w:sz w:val="24"/>
        </w:rPr>
        <w:t xml:space="preserve"> </w:t>
      </w:r>
    </w:p>
    <w:p w:rsidR="00FF384B" w:rsidRDefault="003E3BA9">
      <w:pPr>
        <w:spacing w:after="158" w:line="247" w:lineRule="auto"/>
        <w:ind w:left="10" w:right="1051" w:hanging="10"/>
        <w:jc w:val="both"/>
      </w:pPr>
      <w:r>
        <w:rPr>
          <w:rFonts w:ascii="Arial" w:eastAsia="Arial" w:hAnsi="Arial" w:cs="Arial"/>
        </w:rPr>
        <w:t xml:space="preserve">“Artículo 9. Revisión periódica y predeterminada de precios </w:t>
      </w:r>
      <w:r>
        <w:rPr>
          <w:rFonts w:ascii="Arial" w:eastAsia="Arial" w:hAnsi="Arial" w:cs="Arial"/>
        </w:rPr>
        <w:t>en los contratos del sector público distintos a los contratos de obras y a los contratos de suministro de fabricación de armamento y equipamiento de las Administraciones Públicas.</w:t>
      </w:r>
      <w:r>
        <w:rPr>
          <w:color w:val="2E74B5"/>
          <w:sz w:val="24"/>
        </w:rPr>
        <w:t xml:space="preserve"> </w:t>
      </w:r>
    </w:p>
    <w:p w:rsidR="00FF384B" w:rsidRDefault="003E3BA9">
      <w:pPr>
        <w:numPr>
          <w:ilvl w:val="0"/>
          <w:numId w:val="295"/>
        </w:numPr>
        <w:spacing w:after="175" w:line="246" w:lineRule="auto"/>
        <w:ind w:right="1050" w:firstLine="360"/>
        <w:jc w:val="both"/>
      </w:pPr>
      <w:r>
        <w:rPr>
          <w:rFonts w:ascii="Arial" w:eastAsia="Arial" w:hAnsi="Arial" w:cs="Arial"/>
          <w:i/>
        </w:rPr>
        <w:t>Los precios contenidos en los contratos del sector público a los que es de aplicación el Real Decreto legislativo 3/2011, de 14 de noviembre, que aprueba el texto refundido de la Ley de Contratos del Sector Público, distintos a los contratos de obras y a l</w:t>
      </w:r>
      <w:r>
        <w:rPr>
          <w:rFonts w:ascii="Arial" w:eastAsia="Arial" w:hAnsi="Arial" w:cs="Arial"/>
          <w:i/>
        </w:rPr>
        <w:t xml:space="preserve">os contratos de suministro de fabricación de armamento y equipamiento de las Administraciones Públicas, sólo podrán ser objeto de revisión periódica y predeterminada. </w:t>
      </w:r>
    </w:p>
    <w:p w:rsidR="00FF384B" w:rsidRDefault="003E3BA9">
      <w:pPr>
        <w:numPr>
          <w:ilvl w:val="0"/>
          <w:numId w:val="295"/>
        </w:numPr>
        <w:spacing w:after="352" w:line="247" w:lineRule="auto"/>
        <w:ind w:right="1050" w:firstLine="360"/>
        <w:jc w:val="both"/>
      </w:pPr>
      <w:r>
        <w:rPr>
          <w:rFonts w:ascii="Arial" w:eastAsia="Arial" w:hAnsi="Arial" w:cs="Arial"/>
          <w:i/>
        </w:rPr>
        <w:t>Procederá la revisión periódica y predeterminada de dichos precios, transcurridos dos añ</w:t>
      </w:r>
      <w:r>
        <w:rPr>
          <w:rFonts w:ascii="Arial" w:eastAsia="Arial" w:hAnsi="Arial" w:cs="Arial"/>
          <w:i/>
        </w:rPr>
        <w:t xml:space="preserve">os desde la formalización del contrato y ejecutado al menos el 20 por ciento de su importe, cuando concurran acumulativamente las siguientes circunstancias: </w:t>
      </w:r>
    </w:p>
    <w:p w:rsidR="00FF384B" w:rsidRDefault="003E3BA9">
      <w:pPr>
        <w:numPr>
          <w:ilvl w:val="0"/>
          <w:numId w:val="298"/>
        </w:numPr>
        <w:spacing w:after="4" w:line="250" w:lineRule="auto"/>
        <w:ind w:right="1053" w:hanging="266"/>
        <w:jc w:val="right"/>
      </w:pPr>
      <w:r>
        <w:rPr>
          <w:rFonts w:ascii="Arial" w:eastAsia="Arial" w:hAnsi="Arial" w:cs="Arial"/>
          <w:i/>
        </w:rPr>
        <w:t xml:space="preserve">Que el período de recuperación de la inversión del contrato sea igual o superior a </w:t>
      </w:r>
    </w:p>
    <w:p w:rsidR="00FF384B" w:rsidRDefault="003E3BA9">
      <w:pPr>
        <w:spacing w:after="171" w:line="247" w:lineRule="auto"/>
        <w:ind w:left="10" w:right="244" w:hanging="10"/>
        <w:jc w:val="both"/>
      </w:pPr>
      <w:r>
        <w:rPr>
          <w:rFonts w:ascii="Arial" w:eastAsia="Arial" w:hAnsi="Arial" w:cs="Arial"/>
          <w:i/>
        </w:rPr>
        <w:t>cinco años, ju</w:t>
      </w:r>
      <w:r>
        <w:rPr>
          <w:rFonts w:ascii="Arial" w:eastAsia="Arial" w:hAnsi="Arial" w:cs="Arial"/>
          <w:i/>
        </w:rPr>
        <w:t xml:space="preserve">stificado conforme al criterio establecido en el artículo 10. </w:t>
      </w:r>
    </w:p>
    <w:p w:rsidR="00FF384B" w:rsidRDefault="003E3BA9">
      <w:pPr>
        <w:numPr>
          <w:ilvl w:val="0"/>
          <w:numId w:val="298"/>
        </w:numPr>
        <w:spacing w:after="4" w:line="250" w:lineRule="auto"/>
        <w:ind w:right="1053" w:hanging="266"/>
        <w:jc w:val="right"/>
      </w:pPr>
      <w:r>
        <w:rPr>
          <w:rFonts w:ascii="Arial" w:eastAsia="Arial" w:hAnsi="Arial" w:cs="Arial"/>
          <w:i/>
        </w:rPr>
        <w:t xml:space="preserve">Que así esté previsto en los pliegos, que deberán detallar la fórmula de revisión </w:t>
      </w:r>
    </w:p>
    <w:p w:rsidR="00FF384B" w:rsidRDefault="003E3BA9">
      <w:pPr>
        <w:spacing w:after="351" w:line="247" w:lineRule="auto"/>
        <w:ind w:left="10" w:right="244" w:hanging="10"/>
        <w:jc w:val="both"/>
      </w:pPr>
      <w:r>
        <w:rPr>
          <w:rFonts w:ascii="Arial" w:eastAsia="Arial" w:hAnsi="Arial" w:cs="Arial"/>
          <w:i/>
        </w:rPr>
        <w:t xml:space="preserve">aplicable. </w:t>
      </w:r>
    </w:p>
    <w:p w:rsidR="00FF384B" w:rsidRDefault="003E3BA9">
      <w:pPr>
        <w:spacing w:after="174" w:line="247" w:lineRule="auto"/>
        <w:ind w:right="1052" w:firstLine="360"/>
        <w:jc w:val="both"/>
      </w:pPr>
      <w:r>
        <w:rPr>
          <w:noProof/>
        </w:rPr>
        <mc:AlternateContent>
          <mc:Choice Requires="wpg">
            <w:drawing>
              <wp:anchor distT="0" distB="0" distL="114300" distR="114300" simplePos="0" relativeHeight="25191731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4494" name="Group 49449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226" name="Picture 47226"/>
                          <pic:cNvPicPr/>
                        </pic:nvPicPr>
                        <pic:blipFill>
                          <a:blip r:embed="rId62"/>
                          <a:stretch>
                            <a:fillRect/>
                          </a:stretch>
                        </pic:blipFill>
                        <pic:spPr>
                          <a:xfrm rot="-5399999">
                            <a:off x="-1720849" y="1720849"/>
                            <a:ext cx="3797300" cy="355601"/>
                          </a:xfrm>
                          <a:prstGeom prst="rect">
                            <a:avLst/>
                          </a:prstGeom>
                        </pic:spPr>
                      </pic:pic>
                      <wps:wsp>
                        <wps:cNvPr id="47227" name="Rectangle 4722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47228" name="Rectangle 4722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4494" style="width:41.2715pt;height:299pt;position:absolute;mso-position-horizontal-relative:page;mso-position-horizontal:absolute;margin-left:653.71pt;mso-position-vertical-relative:page;margin-top:512.92pt;" coordsize="5241,37973">
                <v:shape id="Picture 47226" style="position:absolute;width:37973;height:3556;left:-17208;top:17208;rotation:-89;" filled="f">
                  <v:imagedata r:id="rId63"/>
                </v:shape>
                <v:rect id="Rectangle 4722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22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252 de 353 </w:t>
                        </w:r>
                      </w:p>
                    </w:txbxContent>
                  </v:textbox>
                </v:rect>
                <w10:wrap type="square"/>
              </v:group>
            </w:pict>
          </mc:Fallback>
        </mc:AlternateContent>
      </w:r>
      <w:r>
        <w:rPr>
          <w:rFonts w:ascii="Arial" w:eastAsia="Arial" w:hAnsi="Arial" w:cs="Arial"/>
          <w:i/>
        </w:rPr>
        <w:t>A tales efectos, en la memoria que acompañe al expediente de contratación, el órgano de contratación deberá justificar el carácter recurrente de la variació</w:t>
      </w:r>
      <w:r>
        <w:rPr>
          <w:rFonts w:ascii="Arial" w:eastAsia="Arial" w:hAnsi="Arial" w:cs="Arial"/>
          <w:i/>
        </w:rPr>
        <w:t>n de los distintos componentes de coste a considerar en la fórmula de revisión de precios, el cumplimiento de los principios y límites contenidos en los artículos 3, 4, 5 y 7, así como el período de recuperación de la inversión del contrato. Deberá justifi</w:t>
      </w:r>
      <w:r>
        <w:rPr>
          <w:rFonts w:ascii="Arial" w:eastAsia="Arial" w:hAnsi="Arial" w:cs="Arial"/>
          <w:i/>
        </w:rPr>
        <w:t xml:space="preserve">carse asimismo que los índices elegidos son aquellos que, con la mayor desagregación posible de entre los disponibles al público, mejor reflejen la evolución del componente de coste susceptible de revisión en cuestión. </w:t>
      </w:r>
    </w:p>
    <w:p w:rsidR="00FF384B" w:rsidRDefault="003E3BA9">
      <w:pPr>
        <w:spacing w:after="174" w:line="247" w:lineRule="auto"/>
        <w:ind w:right="690" w:firstLine="360"/>
        <w:jc w:val="both"/>
      </w:pPr>
      <w:r>
        <w:rPr>
          <w:rFonts w:ascii="Arial" w:eastAsia="Arial" w:hAnsi="Arial" w:cs="Arial"/>
          <w:i/>
        </w:rPr>
        <w:t xml:space="preserve">Cuando se utilice una fórmula tipo aprobada por Consejo de Ministros, sólo se exigirá la justificación del período de recuperación de la inversión. </w:t>
      </w:r>
    </w:p>
    <w:p w:rsidR="00FF384B" w:rsidRDefault="003E3BA9">
      <w:pPr>
        <w:numPr>
          <w:ilvl w:val="0"/>
          <w:numId w:val="295"/>
        </w:numPr>
        <w:spacing w:after="172" w:line="247" w:lineRule="auto"/>
        <w:ind w:right="1050" w:firstLine="360"/>
        <w:jc w:val="both"/>
      </w:pPr>
      <w:r>
        <w:rPr>
          <w:rFonts w:ascii="Arial" w:eastAsia="Arial" w:hAnsi="Arial" w:cs="Arial"/>
          <w:i/>
        </w:rPr>
        <w:t>En los contratos de gestión de servicios públicos, la condición relativa al porcentaje de ejecución del con</w:t>
      </w:r>
      <w:r>
        <w:rPr>
          <w:rFonts w:ascii="Arial" w:eastAsia="Arial" w:hAnsi="Arial" w:cs="Arial"/>
          <w:i/>
        </w:rPr>
        <w:t xml:space="preserve">trato no será exigible a efectos de proceder a la revisión periódica y predeterminada. </w:t>
      </w:r>
    </w:p>
    <w:p w:rsidR="00FF384B" w:rsidRDefault="003E3BA9">
      <w:pPr>
        <w:numPr>
          <w:ilvl w:val="0"/>
          <w:numId w:val="295"/>
        </w:numPr>
        <w:spacing w:after="354" w:line="247" w:lineRule="auto"/>
        <w:ind w:right="1050" w:firstLine="360"/>
        <w:jc w:val="both"/>
      </w:pPr>
      <w:r>
        <w:rPr>
          <w:rFonts w:ascii="Arial" w:eastAsia="Arial" w:hAnsi="Arial" w:cs="Arial"/>
          <w:i/>
        </w:rPr>
        <w:t xml:space="preserve">Para que pueda producirse la revisión periódica y predeterminada, los pliegos deberán especificar, al menos: </w:t>
      </w:r>
    </w:p>
    <w:p w:rsidR="00FF384B" w:rsidRDefault="003E3BA9">
      <w:pPr>
        <w:numPr>
          <w:ilvl w:val="0"/>
          <w:numId w:val="296"/>
        </w:numPr>
        <w:spacing w:after="4" w:line="250" w:lineRule="auto"/>
        <w:ind w:right="1051" w:firstLine="360"/>
        <w:jc w:val="right"/>
      </w:pPr>
      <w:r>
        <w:rPr>
          <w:rFonts w:ascii="Arial" w:eastAsia="Arial" w:hAnsi="Arial" w:cs="Arial"/>
          <w:i/>
        </w:rPr>
        <w:t>Un desglose de los componentes de coste de la actividad ob</w:t>
      </w:r>
      <w:r>
        <w:rPr>
          <w:rFonts w:ascii="Arial" w:eastAsia="Arial" w:hAnsi="Arial" w:cs="Arial"/>
          <w:i/>
        </w:rPr>
        <w:t xml:space="preserve">jeto del contrato, y la </w:t>
      </w:r>
    </w:p>
    <w:p w:rsidR="00FF384B" w:rsidRDefault="003E3BA9">
      <w:pPr>
        <w:spacing w:after="171" w:line="247" w:lineRule="auto"/>
        <w:ind w:left="10" w:right="244" w:hanging="10"/>
        <w:jc w:val="both"/>
      </w:pPr>
      <w:r>
        <w:rPr>
          <w:rFonts w:ascii="Arial" w:eastAsia="Arial" w:hAnsi="Arial" w:cs="Arial"/>
          <w:i/>
        </w:rPr>
        <w:t xml:space="preserve">ponderación de cada uno de ellos sobre el precio del contrato. </w:t>
      </w:r>
    </w:p>
    <w:p w:rsidR="00FF384B" w:rsidRDefault="003E3BA9">
      <w:pPr>
        <w:numPr>
          <w:ilvl w:val="0"/>
          <w:numId w:val="296"/>
        </w:numPr>
        <w:spacing w:after="4" w:line="250" w:lineRule="auto"/>
        <w:ind w:right="1051" w:firstLine="360"/>
        <w:jc w:val="right"/>
      </w:pPr>
      <w:r>
        <w:rPr>
          <w:rFonts w:ascii="Arial" w:eastAsia="Arial" w:hAnsi="Arial" w:cs="Arial"/>
          <w:i/>
        </w:rPr>
        <w:t>Los precios individuales o índices de precios específicos asociados a cada com-</w:t>
      </w:r>
    </w:p>
    <w:p w:rsidR="00FF384B" w:rsidRDefault="003E3BA9">
      <w:pPr>
        <w:spacing w:after="169" w:line="247" w:lineRule="auto"/>
        <w:ind w:left="10" w:right="244" w:hanging="10"/>
        <w:jc w:val="both"/>
      </w:pPr>
      <w:r>
        <w:rPr>
          <w:rFonts w:ascii="Arial" w:eastAsia="Arial" w:hAnsi="Arial" w:cs="Arial"/>
          <w:i/>
        </w:rPr>
        <w:t xml:space="preserve">ponente de coste susceptible de revisión. </w:t>
      </w:r>
    </w:p>
    <w:p w:rsidR="00FF384B" w:rsidRDefault="003E3BA9">
      <w:pPr>
        <w:numPr>
          <w:ilvl w:val="0"/>
          <w:numId w:val="296"/>
        </w:numPr>
        <w:spacing w:after="351" w:line="247" w:lineRule="auto"/>
        <w:ind w:right="1051" w:firstLine="360"/>
        <w:jc w:val="right"/>
      </w:pPr>
      <w:r>
        <w:rPr>
          <w:rFonts w:ascii="Arial" w:eastAsia="Arial" w:hAnsi="Arial" w:cs="Arial"/>
          <w:i/>
        </w:rPr>
        <w:t xml:space="preserve">El mecanismo de incentivo de eficiencia, en </w:t>
      </w:r>
      <w:r>
        <w:rPr>
          <w:rFonts w:ascii="Arial" w:eastAsia="Arial" w:hAnsi="Arial" w:cs="Arial"/>
          <w:i/>
        </w:rPr>
        <w:t xml:space="preserve">su caso, contemplado en el artículo 7, de este real decreto. </w:t>
      </w:r>
    </w:p>
    <w:p w:rsidR="00FF384B" w:rsidRDefault="003E3BA9">
      <w:pPr>
        <w:spacing w:after="4" w:line="247" w:lineRule="auto"/>
        <w:ind w:right="1052" w:firstLine="360"/>
        <w:jc w:val="both"/>
      </w:pPr>
      <w:r>
        <w:rPr>
          <w:rFonts w:ascii="Arial" w:eastAsia="Arial" w:hAnsi="Arial" w:cs="Arial"/>
          <w:i/>
        </w:rPr>
        <w:t xml:space="preserve">No será exigible la especificación de las cuestiones contenidas en las letras a), b) y c) anteriores, en el supuesto de que se utilice una fórmula tipo aprobada por Consejo de Ministros. </w:t>
      </w:r>
    </w:p>
    <w:p w:rsidR="00FF384B" w:rsidRDefault="003E3BA9">
      <w:pPr>
        <w:numPr>
          <w:ilvl w:val="0"/>
          <w:numId w:val="295"/>
        </w:numPr>
        <w:spacing w:after="171" w:line="247" w:lineRule="auto"/>
        <w:ind w:right="1050" w:firstLine="360"/>
        <w:jc w:val="both"/>
      </w:pPr>
      <w:r>
        <w:rPr>
          <w:rFonts w:ascii="Arial" w:eastAsia="Arial" w:hAnsi="Arial" w:cs="Arial"/>
          <w:i/>
        </w:rPr>
        <w:t xml:space="preserve">La revisión no podrá tener lugar transcurrido el período de recuperación de la inversión del contrato. </w:t>
      </w:r>
    </w:p>
    <w:p w:rsidR="00FF384B" w:rsidRDefault="003E3BA9">
      <w:pPr>
        <w:numPr>
          <w:ilvl w:val="0"/>
          <w:numId w:val="295"/>
        </w:numPr>
        <w:spacing w:after="174" w:line="247" w:lineRule="auto"/>
        <w:ind w:right="1050" w:firstLine="360"/>
        <w:jc w:val="both"/>
      </w:pPr>
      <w:r>
        <w:rPr>
          <w:rFonts w:ascii="Arial" w:eastAsia="Arial" w:hAnsi="Arial" w:cs="Arial"/>
          <w:i/>
        </w:rPr>
        <w:t>Cuando para un determinado tipo de contrato exista una fórmula tipo de revisión, aprobada por Consejo de Ministros, el órgano de contratación deberá inc</w:t>
      </w:r>
      <w:r>
        <w:rPr>
          <w:rFonts w:ascii="Arial" w:eastAsia="Arial" w:hAnsi="Arial" w:cs="Arial"/>
          <w:i/>
        </w:rPr>
        <w:t xml:space="preserve">luir dicha fórmula en los pliegos. </w:t>
      </w:r>
    </w:p>
    <w:p w:rsidR="00FF384B" w:rsidRDefault="003E3BA9">
      <w:pPr>
        <w:spacing w:after="174" w:line="247" w:lineRule="auto"/>
        <w:ind w:right="1053" w:firstLine="360"/>
        <w:jc w:val="both"/>
      </w:pPr>
      <w:r>
        <w:rPr>
          <w:rFonts w:ascii="Arial" w:eastAsia="Arial" w:hAnsi="Arial" w:cs="Arial"/>
          <w:i/>
        </w:rPr>
        <w:t>En caso de que no exista fórmula tipo, el órgano de contratación justificará el cumplimiento del principio de eficiencia y buena gestión empresarial mencionado en el artículo 4, según lo dispuesto en los apartados 7 y 8.</w:t>
      </w:r>
      <w:r>
        <w:rPr>
          <w:rFonts w:ascii="Arial" w:eastAsia="Arial" w:hAnsi="Arial" w:cs="Arial"/>
          <w:i/>
        </w:rPr>
        <w:t xml:space="preserve"> </w:t>
      </w:r>
    </w:p>
    <w:p w:rsidR="00FF384B" w:rsidRDefault="003E3BA9">
      <w:pPr>
        <w:numPr>
          <w:ilvl w:val="0"/>
          <w:numId w:val="295"/>
        </w:numPr>
        <w:spacing w:after="172" w:line="247" w:lineRule="auto"/>
        <w:ind w:right="1050" w:firstLine="360"/>
        <w:jc w:val="both"/>
      </w:pPr>
      <w:r>
        <w:rPr>
          <w:rFonts w:ascii="Arial" w:eastAsia="Arial" w:hAnsi="Arial" w:cs="Arial"/>
          <w:i/>
        </w:rPr>
        <w:t>Para los contratos con un precio igual o superior a cinco millones de euros, el órgano de contratación incluirá en el expediente de contratación un informe preceptivo valorativo de la estructura de costes, emitido por el Comité Superior de Precios de Con</w:t>
      </w:r>
      <w:r>
        <w:rPr>
          <w:rFonts w:ascii="Arial" w:eastAsia="Arial" w:hAnsi="Arial" w:cs="Arial"/>
          <w:i/>
        </w:rPr>
        <w:t xml:space="preserve">tratos del Estado. </w:t>
      </w:r>
    </w:p>
    <w:p w:rsidR="00FF384B" w:rsidRDefault="003E3BA9">
      <w:pPr>
        <w:spacing w:after="351" w:line="247" w:lineRule="auto"/>
        <w:ind w:left="370" w:right="244" w:hanging="10"/>
        <w:jc w:val="both"/>
      </w:pPr>
      <w:r>
        <w:rPr>
          <w:rFonts w:ascii="Arial" w:eastAsia="Arial" w:hAnsi="Arial" w:cs="Arial"/>
          <w:i/>
        </w:rPr>
        <w:t xml:space="preserve">A tales efectos, el órgano de contratación deberá: </w:t>
      </w:r>
    </w:p>
    <w:p w:rsidR="00FF384B" w:rsidRDefault="003E3BA9">
      <w:pPr>
        <w:numPr>
          <w:ilvl w:val="0"/>
          <w:numId w:val="297"/>
        </w:numPr>
        <w:spacing w:after="4" w:line="250" w:lineRule="auto"/>
        <w:ind w:right="1053" w:firstLine="360"/>
        <w:jc w:val="both"/>
      </w:pPr>
      <w:r>
        <w:rPr>
          <w:rFonts w:ascii="Arial" w:eastAsia="Arial" w:hAnsi="Arial" w:cs="Arial"/>
          <w:i/>
        </w:rPr>
        <w:t xml:space="preserve">Solicitar a cinco operadores económicos del sector la remisión de su estructura </w:t>
      </w:r>
    </w:p>
    <w:p w:rsidR="00FF384B" w:rsidRDefault="003E3BA9">
      <w:pPr>
        <w:spacing w:after="171" w:line="247" w:lineRule="auto"/>
        <w:ind w:left="10" w:right="244" w:hanging="10"/>
        <w:jc w:val="both"/>
      </w:pPr>
      <w:r>
        <w:rPr>
          <w:rFonts w:ascii="Arial" w:eastAsia="Arial" w:hAnsi="Arial" w:cs="Arial"/>
          <w:i/>
        </w:rPr>
        <w:t xml:space="preserve">de costes. </w:t>
      </w:r>
    </w:p>
    <w:p w:rsidR="00FF384B" w:rsidRDefault="003E3BA9">
      <w:pPr>
        <w:numPr>
          <w:ilvl w:val="0"/>
          <w:numId w:val="297"/>
        </w:numPr>
        <w:spacing w:after="175" w:line="247" w:lineRule="auto"/>
        <w:ind w:right="1053" w:firstLine="360"/>
        <w:jc w:val="both"/>
      </w:pPr>
      <w:r>
        <w:rPr>
          <w:rFonts w:ascii="Arial" w:eastAsia="Arial" w:hAnsi="Arial" w:cs="Arial"/>
          <w:i/>
        </w:rPr>
        <w:t>Elaborar una propuesta de estructura de costes de la actividad. Para ello utilizará, siempr</w:t>
      </w:r>
      <w:r>
        <w:rPr>
          <w:rFonts w:ascii="Arial" w:eastAsia="Arial" w:hAnsi="Arial" w:cs="Arial"/>
          <w:i/>
        </w:rPr>
        <w:t xml:space="preserve">e que sea posible, la información de las respuestas que reciba de los operadores económicos mencionados en la letra anterior. </w:t>
      </w:r>
    </w:p>
    <w:p w:rsidR="00FF384B" w:rsidRDefault="003E3BA9">
      <w:pPr>
        <w:numPr>
          <w:ilvl w:val="0"/>
          <w:numId w:val="297"/>
        </w:numPr>
        <w:spacing w:after="172" w:line="247" w:lineRule="auto"/>
        <w:ind w:right="1053" w:firstLine="360"/>
        <w:jc w:val="both"/>
      </w:pPr>
      <w:r>
        <w:rPr>
          <w:noProof/>
        </w:rPr>
        <mc:AlternateContent>
          <mc:Choice Requires="wpg">
            <w:drawing>
              <wp:anchor distT="0" distB="0" distL="114300" distR="114300" simplePos="0" relativeHeight="25191833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5055" name="Group 4950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365" name="Picture 47365"/>
                          <pic:cNvPicPr/>
                        </pic:nvPicPr>
                        <pic:blipFill>
                          <a:blip r:embed="rId62"/>
                          <a:stretch>
                            <a:fillRect/>
                          </a:stretch>
                        </pic:blipFill>
                        <pic:spPr>
                          <a:xfrm rot="-5399999">
                            <a:off x="-1720849" y="1720849"/>
                            <a:ext cx="3797300" cy="355601"/>
                          </a:xfrm>
                          <a:prstGeom prst="rect">
                            <a:avLst/>
                          </a:prstGeom>
                        </pic:spPr>
                      </pic:pic>
                      <wps:wsp>
                        <wps:cNvPr id="47366" name="Rectangle 4736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7367" name="Rectangle 4736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5055" style="width:41.2715pt;height:299pt;position:absolute;mso-position-horizontal-relative:page;mso-position-horizontal:absolute;margin-left:653.71pt;mso-position-vertical-relative:page;margin-top:512.92pt;" coordsize="5241,37973">
                <v:shape id="Picture 47365" style="position:absolute;width:37973;height:3556;left:-17208;top:17208;rotation:-89;" filled="f">
                  <v:imagedata r:id="rId63"/>
                </v:shape>
                <v:rect id="Rectangle 4736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36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253 de 353 </w:t>
                        </w:r>
                      </w:p>
                    </w:txbxContent>
                  </v:textbox>
                </v:rect>
                <w10:wrap type="square"/>
              </v:group>
            </w:pict>
          </mc:Fallback>
        </mc:AlternateContent>
      </w:r>
      <w:r>
        <w:rPr>
          <w:rFonts w:ascii="Arial" w:eastAsia="Arial" w:hAnsi="Arial" w:cs="Arial"/>
          <w:i/>
        </w:rPr>
        <w:t>Someter su propuesta de estructura de costes a un trámite de información pública por un plazo de 20 días. En caso de que se presenten alegaciones en dicho trámit</w:t>
      </w:r>
      <w:r>
        <w:rPr>
          <w:rFonts w:ascii="Arial" w:eastAsia="Arial" w:hAnsi="Arial" w:cs="Arial"/>
          <w:i/>
        </w:rPr>
        <w:t xml:space="preserve">e, el órgano de contratación deberá valorar su aceptación o rechazo de forma motivada en la memoria. </w:t>
      </w:r>
    </w:p>
    <w:p w:rsidR="00FF384B" w:rsidRDefault="003E3BA9">
      <w:pPr>
        <w:spacing w:after="172" w:line="247" w:lineRule="auto"/>
        <w:ind w:right="1052" w:firstLine="360"/>
        <w:jc w:val="both"/>
      </w:pPr>
      <w:r>
        <w:rPr>
          <w:rFonts w:ascii="Arial" w:eastAsia="Arial" w:hAnsi="Arial" w:cs="Arial"/>
          <w:i/>
        </w:rPr>
        <w:t>En el caso de los contratos de concesión de obra pública, el órgano de contratación podrá optar por incluir este trámite de información como parte del pre</w:t>
      </w:r>
      <w:r>
        <w:rPr>
          <w:rFonts w:ascii="Arial" w:eastAsia="Arial" w:hAnsi="Arial" w:cs="Arial"/>
          <w:i/>
        </w:rPr>
        <w:t xml:space="preserve">visto en el apartado 3 del artículo 128 del texto refundido de la Ley de Contratos del Sector Público, aprobado por Real Decreto legislativo 3/2011, de 14 de noviembre. </w:t>
      </w:r>
    </w:p>
    <w:p w:rsidR="00FF384B" w:rsidRDefault="003E3BA9">
      <w:pPr>
        <w:numPr>
          <w:ilvl w:val="0"/>
          <w:numId w:val="297"/>
        </w:numPr>
        <w:spacing w:after="352" w:line="247" w:lineRule="auto"/>
        <w:ind w:right="1053" w:firstLine="360"/>
        <w:jc w:val="both"/>
      </w:pPr>
      <w:r>
        <w:rPr>
          <w:rFonts w:ascii="Arial" w:eastAsia="Arial" w:hAnsi="Arial" w:cs="Arial"/>
          <w:i/>
        </w:rPr>
        <w:t>Remitir su propuesta de estructura de costes al Comité Superior de Precios de Contrato</w:t>
      </w:r>
      <w:r>
        <w:rPr>
          <w:rFonts w:ascii="Arial" w:eastAsia="Arial" w:hAnsi="Arial" w:cs="Arial"/>
          <w:i/>
        </w:rPr>
        <w:t xml:space="preserve">s del Estado. </w:t>
      </w:r>
    </w:p>
    <w:p w:rsidR="00FF384B" w:rsidRDefault="003E3BA9">
      <w:pPr>
        <w:spacing w:after="174" w:line="247" w:lineRule="auto"/>
        <w:ind w:right="1054" w:firstLine="360"/>
        <w:jc w:val="both"/>
      </w:pPr>
      <w:r>
        <w:rPr>
          <w:rFonts w:ascii="Arial" w:eastAsia="Arial" w:hAnsi="Arial" w:cs="Arial"/>
          <w:i/>
        </w:rPr>
        <w:t>El Comité Superior de Precios de Contratos del Estado deberá evacuar el informe preceptivo en un plazo no superior a veinte días, a contar desde el día siguiente a la recepción de la propuesta de estructura de costes mencionada en la letra d</w:t>
      </w:r>
      <w:r>
        <w:rPr>
          <w:rFonts w:ascii="Arial" w:eastAsia="Arial" w:hAnsi="Arial" w:cs="Arial"/>
          <w:i/>
        </w:rPr>
        <w:t xml:space="preserve">) anterior. En caso de que el Comité considere que la información remitida no es suficiente o requiera alguna aclaración, podrá solicitar al órgano proponente información adicional. Este requerimiento suspenderá el plazo de evacuación del informe en tanto </w:t>
      </w:r>
      <w:r>
        <w:rPr>
          <w:rFonts w:ascii="Arial" w:eastAsia="Arial" w:hAnsi="Arial" w:cs="Arial"/>
          <w:i/>
        </w:rPr>
        <w:t xml:space="preserve">no haya respuesta del órgano de contratación. </w:t>
      </w:r>
    </w:p>
    <w:p w:rsidR="00FF384B" w:rsidRDefault="003E3BA9">
      <w:pPr>
        <w:spacing w:after="174" w:line="247" w:lineRule="auto"/>
        <w:ind w:right="1051" w:firstLine="360"/>
        <w:jc w:val="both"/>
      </w:pPr>
      <w:r>
        <w:rPr>
          <w:rFonts w:ascii="Arial" w:eastAsia="Arial" w:hAnsi="Arial" w:cs="Arial"/>
          <w:i/>
        </w:rPr>
        <w:t xml:space="preserve">En el caso de las Comunidades Autónomas y de las Entidades Locales, así como de los organismos y entidades de ellas dependientes, este informe podrá ser recabado del órgano autonómico consultivo en materia de </w:t>
      </w:r>
      <w:r>
        <w:rPr>
          <w:rFonts w:ascii="Arial" w:eastAsia="Arial" w:hAnsi="Arial" w:cs="Arial"/>
          <w:i/>
        </w:rPr>
        <w:t xml:space="preserve">contratación pública, si existiera. En caso contrario, deberá ser recabado del Comité Superior de Precios de Contratos del Estado. </w:t>
      </w:r>
    </w:p>
    <w:p w:rsidR="00FF384B" w:rsidRDefault="003E3BA9">
      <w:pPr>
        <w:spacing w:after="4" w:line="247" w:lineRule="auto"/>
        <w:ind w:right="1054" w:firstLine="360"/>
        <w:jc w:val="both"/>
      </w:pPr>
      <w:r>
        <w:rPr>
          <w:rFonts w:ascii="Arial" w:eastAsia="Arial" w:hAnsi="Arial" w:cs="Arial"/>
          <w:i/>
        </w:rPr>
        <w:t>En todo caso, el órgano de contratación deberá comunicar a efectos informativos al Comité Superior de Precios de Contratos d</w:t>
      </w:r>
      <w:r>
        <w:rPr>
          <w:rFonts w:ascii="Arial" w:eastAsia="Arial" w:hAnsi="Arial" w:cs="Arial"/>
          <w:i/>
        </w:rPr>
        <w:t xml:space="preserve">el Estado y, en su caso, al órgano autonómico consultivo correspondiente, la estructura de costes incluida en el pliego. </w:t>
      </w:r>
    </w:p>
    <w:p w:rsidR="00FF384B" w:rsidRDefault="003E3BA9">
      <w:pPr>
        <w:numPr>
          <w:ilvl w:val="0"/>
          <w:numId w:val="295"/>
        </w:numPr>
        <w:spacing w:after="172" w:line="247" w:lineRule="auto"/>
        <w:ind w:right="1050" w:firstLine="360"/>
        <w:jc w:val="both"/>
      </w:pPr>
      <w:r>
        <w:rPr>
          <w:rFonts w:ascii="Arial" w:eastAsia="Arial" w:hAnsi="Arial" w:cs="Arial"/>
          <w:i/>
        </w:rPr>
        <w:t>Para los contratos con un precio inferior a cinco millones de euros, el órgano de contratación solicitará a cinco operadores económicos del sector la remisión de su estructura de costes. El órgano de contratación elaborará una propuesta de estructura de co</w:t>
      </w:r>
      <w:r>
        <w:rPr>
          <w:rFonts w:ascii="Arial" w:eastAsia="Arial" w:hAnsi="Arial" w:cs="Arial"/>
          <w:i/>
        </w:rPr>
        <w:t>stes de la actividad. Para ello utilizará, siempre que sea posible, la información de las respuestas que reciba. La propuesta de estructura de costes será sometida a un trámite de información pública por un plazo de 20 días, con carácter previo a la aproba</w:t>
      </w:r>
      <w:r>
        <w:rPr>
          <w:rFonts w:ascii="Arial" w:eastAsia="Arial" w:hAnsi="Arial" w:cs="Arial"/>
          <w:i/>
        </w:rPr>
        <w:t xml:space="preserve">ción de los pliegos. </w:t>
      </w:r>
    </w:p>
    <w:p w:rsidR="00FF384B" w:rsidRDefault="003E3BA9">
      <w:pPr>
        <w:spacing w:after="172" w:line="247" w:lineRule="auto"/>
        <w:ind w:right="244" w:firstLine="360"/>
        <w:jc w:val="both"/>
      </w:pPr>
      <w:r>
        <w:rPr>
          <w:rFonts w:ascii="Arial" w:eastAsia="Arial" w:hAnsi="Arial" w:cs="Arial"/>
          <w:i/>
        </w:rPr>
        <w:t xml:space="preserve">En caso de que se presenten alegaciones en dicho trámite, el órgano de contratación deberá valorar su aceptación o rechazo de forma motivada en la memoria. </w:t>
      </w:r>
    </w:p>
    <w:p w:rsidR="00FF384B" w:rsidRDefault="003E3BA9">
      <w:pPr>
        <w:spacing w:after="174" w:line="247" w:lineRule="auto"/>
        <w:ind w:right="1050" w:firstLine="360"/>
        <w:jc w:val="both"/>
      </w:pPr>
      <w:r>
        <w:rPr>
          <w:rFonts w:ascii="Arial" w:eastAsia="Arial" w:hAnsi="Arial" w:cs="Arial"/>
          <w:i/>
        </w:rPr>
        <w:t>En el caso de los contratos de concesión de obra pública, el órgano de contratación podrá optar por incluir este trámite de información como parte del previsto en el apartado 3 del artículo 128 del texto refundido de la Ley de Contratos del Sector Público,</w:t>
      </w:r>
      <w:r>
        <w:rPr>
          <w:rFonts w:ascii="Arial" w:eastAsia="Arial" w:hAnsi="Arial" w:cs="Arial"/>
          <w:i/>
        </w:rPr>
        <w:t xml:space="preserve"> aprobado por Real Decreto legislativo 3/2011, de 14 de noviembre. </w:t>
      </w:r>
    </w:p>
    <w:p w:rsidR="00FF384B" w:rsidRDefault="003E3BA9">
      <w:pPr>
        <w:spacing w:after="182" w:line="246" w:lineRule="auto"/>
        <w:ind w:right="737" w:firstLine="360"/>
      </w:pPr>
      <w:r>
        <w:rPr>
          <w:rFonts w:ascii="Arial" w:eastAsia="Arial" w:hAnsi="Arial" w:cs="Arial"/>
          <w:i/>
        </w:rPr>
        <w:t>El órgano de contratación deberá comunicar a efectos informativos al Comité Superior de Precios de Contratos del Estado y, en su caso, al órgano autonómico consultivo correspondiente, la e</w:t>
      </w:r>
      <w:r>
        <w:rPr>
          <w:rFonts w:ascii="Arial" w:eastAsia="Arial" w:hAnsi="Arial" w:cs="Arial"/>
          <w:i/>
        </w:rPr>
        <w:t xml:space="preserve">structura de costes incluida en el pliego.”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8" w:line="253" w:lineRule="auto"/>
        <w:ind w:left="767" w:right="1813" w:hanging="10"/>
        <w:jc w:val="center"/>
      </w:pPr>
      <w:r>
        <w:rPr>
          <w:rFonts w:ascii="Arial" w:eastAsia="Arial" w:hAnsi="Arial" w:cs="Arial"/>
          <w:b/>
        </w:rPr>
        <w:t xml:space="preserve">CUARTO: </w:t>
      </w:r>
    </w:p>
    <w:p w:rsidR="00FF384B" w:rsidRDefault="003E3BA9">
      <w:pPr>
        <w:spacing w:after="0"/>
      </w:pPr>
      <w:r>
        <w:rPr>
          <w:rFonts w:ascii="Arial" w:eastAsia="Arial" w:hAnsi="Arial" w:cs="Arial"/>
          <w:b/>
        </w:rPr>
        <w:t xml:space="preserve"> </w:t>
      </w:r>
    </w:p>
    <w:p w:rsidR="00FF384B" w:rsidRDefault="003E3BA9">
      <w:pPr>
        <w:spacing w:after="4" w:line="247" w:lineRule="auto"/>
        <w:ind w:left="10" w:right="1052" w:hanging="10"/>
        <w:jc w:val="both"/>
      </w:pPr>
      <w:r>
        <w:rPr>
          <w:rFonts w:ascii="Arial" w:eastAsia="Arial" w:hAnsi="Arial" w:cs="Arial"/>
          <w:i/>
        </w:rPr>
        <w:t>En cuanto a la competencia corresponde al Pleno de la Corporación por cuanto la duración de la licitación es superior a cuatro años, siendo de aplicación la disposición adicional quinta, apartados 1</w:t>
      </w:r>
      <w:r>
        <w:rPr>
          <w:rFonts w:ascii="Arial" w:eastAsia="Arial" w:hAnsi="Arial" w:cs="Arial"/>
          <w:i/>
        </w:rPr>
        <w:t xml:space="preserve"> y 2 de la Ley 9/2017, de 8 de noviembre, de Contratos del Sector Público. </w:t>
      </w:r>
    </w:p>
    <w:p w:rsidR="00FF384B" w:rsidRDefault="003E3BA9">
      <w:pPr>
        <w:spacing w:after="344"/>
      </w:pPr>
      <w:r>
        <w:rPr>
          <w:noProof/>
        </w:rPr>
        <mc:AlternateContent>
          <mc:Choice Requires="wpg">
            <w:drawing>
              <wp:anchor distT="0" distB="0" distL="114300" distR="114300" simplePos="0" relativeHeight="25191936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5613" name="Group 49561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476" name="Picture 47476"/>
                          <pic:cNvPicPr/>
                        </pic:nvPicPr>
                        <pic:blipFill>
                          <a:blip r:embed="rId62"/>
                          <a:stretch>
                            <a:fillRect/>
                          </a:stretch>
                        </pic:blipFill>
                        <pic:spPr>
                          <a:xfrm rot="-5399999">
                            <a:off x="-1720849" y="1720849"/>
                            <a:ext cx="3797300" cy="355601"/>
                          </a:xfrm>
                          <a:prstGeom prst="rect">
                            <a:avLst/>
                          </a:prstGeom>
                        </pic:spPr>
                      </pic:pic>
                      <wps:wsp>
                        <wps:cNvPr id="47477" name="Rectangle 4747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7478" name="Rectangle 4747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w:t>
                              </w:r>
                              <w:r>
                                <w:rPr>
                                  <w:rFonts w:ascii="Arial" w:eastAsia="Arial" w:hAnsi="Arial" w:cs="Arial"/>
                                  <w:sz w:val="12"/>
                                </w:rPr>
                                <w:t xml:space="preserve">ágina 254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5613" style="width:41.2715pt;height:299pt;position:absolute;mso-position-horizontal-relative:page;mso-position-horizontal:absolute;margin-left:653.71pt;mso-position-vertical-relative:page;margin-top:512.92pt;" coordsize="5241,37973">
                <v:shape id="Picture 47476" style="position:absolute;width:37973;height:3556;left:-17208;top:17208;rotation:-89;" filled="f">
                  <v:imagedata r:id="rId63"/>
                </v:shape>
                <v:rect id="Rectangle 4747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47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254 de 353 </w:t>
                        </w:r>
                      </w:p>
                    </w:txbxContent>
                  </v:textbox>
                </v:rect>
                <w10:wrap type="square"/>
              </v:group>
            </w:pict>
          </mc:Fallback>
        </mc:AlternateContent>
      </w:r>
      <w:r>
        <w:rPr>
          <w:rFonts w:ascii="Arial" w:eastAsia="Arial" w:hAnsi="Arial" w:cs="Arial"/>
          <w:i/>
        </w:rPr>
        <w:t xml:space="preserve"> </w:t>
      </w:r>
    </w:p>
    <w:p w:rsidR="00FF384B" w:rsidRDefault="003E3BA9">
      <w:pPr>
        <w:spacing w:line="247" w:lineRule="auto"/>
        <w:ind w:left="10" w:right="643" w:hanging="10"/>
        <w:jc w:val="both"/>
      </w:pPr>
      <w:r>
        <w:rPr>
          <w:rFonts w:ascii="Arial" w:eastAsia="Arial" w:hAnsi="Arial" w:cs="Arial"/>
        </w:rPr>
        <w:t>“Disposición adicional segunda. Competencias en materia de contratación en las Entidades Locales.</w:t>
      </w:r>
      <w:r>
        <w:rPr>
          <w:color w:val="2E74B5"/>
          <w:sz w:val="24"/>
        </w:rPr>
        <w:t xml:space="preserve"> </w:t>
      </w:r>
    </w:p>
    <w:p w:rsidR="00FF384B" w:rsidRDefault="003E3BA9">
      <w:pPr>
        <w:numPr>
          <w:ilvl w:val="0"/>
          <w:numId w:val="299"/>
        </w:numPr>
        <w:spacing w:after="172" w:line="247" w:lineRule="auto"/>
        <w:ind w:right="1050" w:firstLine="360"/>
        <w:jc w:val="both"/>
      </w:pPr>
      <w:r>
        <w:rPr>
          <w:rFonts w:ascii="Arial" w:eastAsia="Arial" w:hAnsi="Arial" w:cs="Arial"/>
          <w:i/>
        </w:rPr>
        <w:t>Corresponden a los Alcaldes y a los Presidentes de las Entidades Locales las competencias como órgano de contratación respecto de los contratos de obras, de suministro, de servicios, los contratos de concesión de obras, los contratos de concesión de servic</w:t>
      </w:r>
      <w:r>
        <w:rPr>
          <w:rFonts w:ascii="Arial" w:eastAsia="Arial" w:hAnsi="Arial" w:cs="Arial"/>
          <w:i/>
        </w:rPr>
        <w:t>ios y los contratos administrativos especiales, cuando su valor estimado no supere el 10 por ciento de los recursos ordinarios del presupuesto ni, en cualquier caso, la cuantía de seis millones de euros, incluidos los de carácter plurianual cuando su durac</w:t>
      </w:r>
      <w:r>
        <w:rPr>
          <w:rFonts w:ascii="Arial" w:eastAsia="Arial" w:hAnsi="Arial" w:cs="Arial"/>
          <w:i/>
        </w:rPr>
        <w:t>ión no sea superior a cuatro años, eventuales prórrogas incluidas siempre que el importe acumulado de todas sus anualidades no supere ni el porcentaje indicado, referido a los recursos ordinarios del presupuesto del primer ejercicio, ni la cuantía señalada</w:t>
      </w:r>
      <w:r>
        <w:rPr>
          <w:rFonts w:ascii="Arial" w:eastAsia="Arial" w:hAnsi="Arial" w:cs="Arial"/>
          <w:i/>
        </w:rPr>
        <w:t xml:space="preserve">. </w:t>
      </w:r>
    </w:p>
    <w:p w:rsidR="00FF384B" w:rsidRDefault="003E3BA9">
      <w:pPr>
        <w:numPr>
          <w:ilvl w:val="0"/>
          <w:numId w:val="299"/>
        </w:numPr>
        <w:spacing w:after="185" w:line="247" w:lineRule="auto"/>
        <w:ind w:right="1050" w:firstLine="360"/>
        <w:jc w:val="both"/>
      </w:pPr>
      <w:r>
        <w:rPr>
          <w:rFonts w:ascii="Arial" w:eastAsia="Arial" w:hAnsi="Arial" w:cs="Arial"/>
          <w:i/>
        </w:rPr>
        <w:t>Corresponden al Pleno las competencias como órgano de contratación respecto de los contratos mencionados en el apartado anterior que celebre la Entidad Local, cuando por su valor o duración no correspondan al Alcalde o Presidente de la Entidad Local, co</w:t>
      </w:r>
      <w:r>
        <w:rPr>
          <w:rFonts w:ascii="Arial" w:eastAsia="Arial" w:hAnsi="Arial" w:cs="Arial"/>
          <w:i/>
        </w:rPr>
        <w:t xml:space="preserve">nforme al apartado anterior. Asimismo, corresponde al Pleno la aprobación de los pliegos de cláusulas administrativas generales a los que se refiere el artículo 121 de esta Ley.”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pPr>
      <w:r>
        <w:rPr>
          <w:rFonts w:ascii="Times New Roman" w:eastAsia="Times New Roman" w:hAnsi="Times New Roman" w:cs="Times New Roman"/>
          <w:b/>
          <w:sz w:val="24"/>
        </w:rPr>
        <w:t xml:space="preserve"> </w:t>
      </w:r>
    </w:p>
    <w:p w:rsidR="00FF384B" w:rsidRDefault="003E3BA9">
      <w:pPr>
        <w:spacing w:after="5" w:line="247" w:lineRule="auto"/>
        <w:ind w:left="10" w:right="866" w:hanging="10"/>
        <w:jc w:val="both"/>
      </w:pPr>
      <w:r>
        <w:rPr>
          <w:rFonts w:ascii="Times New Roman" w:eastAsia="Times New Roman" w:hAnsi="Times New Roman" w:cs="Times New Roman"/>
          <w:sz w:val="24"/>
        </w:rPr>
        <w:t xml:space="preserve"> </w:t>
      </w:r>
      <w:r>
        <w:rPr>
          <w:rFonts w:ascii="Arial" w:eastAsia="Arial" w:hAnsi="Arial" w:cs="Arial"/>
        </w:rPr>
        <w:t xml:space="preserve">En base a los antecedente de hecho y fundamentos de derecho, se emite </w:t>
      </w:r>
      <w:r>
        <w:rPr>
          <w:rFonts w:ascii="Arial" w:eastAsia="Arial" w:hAnsi="Arial" w:cs="Arial"/>
        </w:rPr>
        <w:t xml:space="preserve">la siguiente,  </w:t>
      </w:r>
      <w:r>
        <w:rPr>
          <w:rFonts w:ascii="Times New Roman" w:eastAsia="Times New Roman" w:hAnsi="Times New Roman" w:cs="Times New Roman"/>
          <w:sz w:val="24"/>
        </w:rPr>
        <w:t xml:space="preserve"> </w:t>
      </w:r>
    </w:p>
    <w:p w:rsidR="00FF384B" w:rsidRDefault="003E3BA9">
      <w:pPr>
        <w:spacing w:after="0"/>
        <w:ind w:right="1040"/>
        <w:jc w:val="center"/>
      </w:pPr>
      <w:r>
        <w:rPr>
          <w:rFonts w:ascii="Times New Roman" w:eastAsia="Times New Roman" w:hAnsi="Times New Roman" w:cs="Times New Roman"/>
          <w:b/>
          <w:sz w:val="24"/>
        </w:rPr>
        <w:t xml:space="preserve"> </w:t>
      </w:r>
    </w:p>
    <w:p w:rsidR="00FF384B" w:rsidRDefault="003E3BA9">
      <w:pPr>
        <w:pStyle w:val="Ttulo2"/>
        <w:ind w:left="767" w:right="1853"/>
      </w:pPr>
      <w:r>
        <w:t xml:space="preserve">PROPUESTA DE RESOLUCIÓN </w:t>
      </w:r>
    </w:p>
    <w:p w:rsidR="00FF384B" w:rsidRDefault="003E3BA9">
      <w:pPr>
        <w:spacing w:after="0"/>
        <w:ind w:right="1038"/>
        <w:jc w:val="center"/>
      </w:pPr>
      <w:r>
        <w:rPr>
          <w:rFonts w:ascii="Arial" w:eastAsia="Arial" w:hAnsi="Arial" w:cs="Arial"/>
          <w:b/>
        </w:rPr>
        <w:t xml:space="preserve"> </w:t>
      </w:r>
    </w:p>
    <w:p w:rsidR="00FF384B" w:rsidRDefault="003E3BA9">
      <w:pPr>
        <w:spacing w:after="0"/>
        <w:ind w:right="1038"/>
        <w:jc w:val="center"/>
      </w:pPr>
      <w:r>
        <w:rPr>
          <w:rFonts w:ascii="Arial" w:eastAsia="Arial" w:hAnsi="Arial" w:cs="Arial"/>
          <w:b/>
        </w:rPr>
        <w:t xml:space="preserve"> </w:t>
      </w:r>
    </w:p>
    <w:p w:rsidR="00FF384B" w:rsidRDefault="003E3BA9">
      <w:pPr>
        <w:spacing w:after="5" w:line="247" w:lineRule="auto"/>
        <w:ind w:left="10" w:right="1096" w:hanging="10"/>
        <w:jc w:val="both"/>
      </w:pPr>
      <w:r>
        <w:rPr>
          <w:rFonts w:ascii="Arial" w:eastAsia="Arial" w:hAnsi="Arial" w:cs="Arial"/>
          <w:b/>
        </w:rPr>
        <w:t xml:space="preserve">PRIMERO. - </w:t>
      </w:r>
      <w:r>
        <w:rPr>
          <w:rFonts w:ascii="Arial" w:eastAsia="Arial" w:hAnsi="Arial" w:cs="Arial"/>
        </w:rPr>
        <w:t>Aprobar la propuesta de estructura de costes de del servicio de gestión de residuos, limpieza viaria y del litoral del municipio de Candelaria, recogida en el informe firmado por el Ingeniero técni</w:t>
      </w:r>
      <w:r>
        <w:rPr>
          <w:rFonts w:ascii="Arial" w:eastAsia="Arial" w:hAnsi="Arial" w:cs="Arial"/>
        </w:rPr>
        <w:t>co industrial municipal, Arquitecto técnico municipal y por el Agente de Empleo y Desarrollo Local de fecha 21 de abril de 2021.</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244" w:hanging="10"/>
        <w:jc w:val="both"/>
      </w:pPr>
      <w:r>
        <w:rPr>
          <w:rFonts w:ascii="Arial" w:eastAsia="Arial" w:hAnsi="Arial" w:cs="Arial"/>
          <w:b/>
        </w:rPr>
        <w:t xml:space="preserve">SEGUNDO. - </w:t>
      </w:r>
      <w:r>
        <w:rPr>
          <w:rFonts w:ascii="Arial" w:eastAsia="Arial" w:hAnsi="Arial" w:cs="Arial"/>
        </w:rPr>
        <w:t>Someter la misma a información pública por un período de 20 días mediante su publicación en el Boletín Oficial de</w:t>
      </w:r>
      <w:r>
        <w:rPr>
          <w:rFonts w:ascii="Arial" w:eastAsia="Arial" w:hAnsi="Arial" w:cs="Arial"/>
        </w:rPr>
        <w:t xml:space="preserve"> la Provincia de Santa Cruz de Tenerife.</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rPr>
        <w:t xml:space="preserve"> </w:t>
      </w:r>
    </w:p>
    <w:p w:rsidR="00FF384B" w:rsidRDefault="003E3BA9">
      <w:pPr>
        <w:spacing w:after="5" w:line="247" w:lineRule="auto"/>
        <w:ind w:left="10" w:right="1097" w:hanging="10"/>
        <w:jc w:val="both"/>
      </w:pPr>
      <w:r>
        <w:rPr>
          <w:rFonts w:ascii="Arial" w:eastAsia="Arial" w:hAnsi="Arial" w:cs="Arial"/>
          <w:b/>
        </w:rPr>
        <w:t xml:space="preserve">TERCERO. - </w:t>
      </w:r>
      <w:r>
        <w:rPr>
          <w:rFonts w:ascii="Arial" w:eastAsia="Arial" w:hAnsi="Arial" w:cs="Arial"/>
        </w:rPr>
        <w:t>Transcurrido el plazo de información pública dar traslado a la Junta Consultiva de Contratación del Gobierno de Canarias para la emisión del pertinente informe.”</w:t>
      </w:r>
      <w:r>
        <w:rPr>
          <w:rFonts w:ascii="Times New Roman" w:eastAsia="Times New Roman" w:hAnsi="Times New Roman" w:cs="Times New Roman"/>
          <w:sz w:val="24"/>
        </w:rPr>
        <w:t xml:space="preserve"> </w:t>
      </w:r>
    </w:p>
    <w:p w:rsidR="00FF384B" w:rsidRDefault="003E3BA9">
      <w:pPr>
        <w:spacing w:after="100"/>
      </w:pPr>
      <w:r>
        <w:rPr>
          <w:rFonts w:ascii="Arial" w:eastAsia="Arial" w:hAnsi="Arial" w:cs="Arial"/>
          <w:b/>
        </w:rPr>
        <w:t xml:space="preserve"> </w:t>
      </w:r>
    </w:p>
    <w:p w:rsidR="00FF384B" w:rsidRDefault="003E3BA9">
      <w:pPr>
        <w:spacing w:after="98"/>
      </w:pPr>
      <w:r>
        <w:rPr>
          <w:rFonts w:ascii="Arial" w:eastAsia="Arial" w:hAnsi="Arial" w:cs="Arial"/>
          <w:b/>
        </w:rPr>
        <w:t xml:space="preserve"> </w:t>
      </w:r>
    </w:p>
    <w:p w:rsidR="00FF384B" w:rsidRDefault="003E3BA9">
      <w:pPr>
        <w:spacing w:after="98"/>
      </w:pPr>
      <w:r>
        <w:rPr>
          <w:rFonts w:ascii="Arial" w:eastAsia="Arial" w:hAnsi="Arial" w:cs="Arial"/>
          <w:b/>
        </w:rPr>
        <w:t xml:space="preserve"> </w:t>
      </w:r>
    </w:p>
    <w:p w:rsidR="00FF384B" w:rsidRDefault="003E3BA9">
      <w:pPr>
        <w:spacing w:after="15" w:line="247" w:lineRule="auto"/>
        <w:ind w:left="3" w:right="736" w:hanging="3"/>
        <w:jc w:val="both"/>
      </w:pPr>
      <w:r>
        <w:rPr>
          <w:rFonts w:ascii="Arial" w:eastAsia="Arial" w:hAnsi="Arial" w:cs="Arial"/>
          <w:b/>
        </w:rPr>
        <w:t xml:space="preserve">Consta en el expediente propuesta de la Alcaldesa-Presidenta, de fecha 21 de abril de 2021, cuyo tenor literal es el siguiente: </w:t>
      </w:r>
    </w:p>
    <w:p w:rsidR="00FF384B" w:rsidRDefault="003E3BA9">
      <w:pPr>
        <w:spacing w:after="100"/>
      </w:pPr>
      <w:r>
        <w:rPr>
          <w:rFonts w:ascii="Arial" w:eastAsia="Arial" w:hAnsi="Arial" w:cs="Arial"/>
          <w:b/>
        </w:rPr>
        <w:t xml:space="preserve"> </w:t>
      </w:r>
    </w:p>
    <w:p w:rsidR="00FF384B" w:rsidRDefault="003E3BA9">
      <w:pPr>
        <w:spacing w:after="221"/>
      </w:pPr>
      <w:r>
        <w:rPr>
          <w:rFonts w:ascii="Arial" w:eastAsia="Arial" w:hAnsi="Arial" w:cs="Arial"/>
          <w:b/>
        </w:rPr>
        <w:t xml:space="preserve"> </w:t>
      </w:r>
    </w:p>
    <w:p w:rsidR="00FF384B" w:rsidRDefault="003E3BA9">
      <w:pPr>
        <w:spacing w:after="232" w:line="247" w:lineRule="auto"/>
        <w:ind w:right="1053" w:firstLine="708"/>
        <w:jc w:val="both"/>
      </w:pPr>
      <w:r>
        <w:rPr>
          <w:noProof/>
        </w:rPr>
        <mc:AlternateContent>
          <mc:Choice Requires="wpg">
            <w:drawing>
              <wp:anchor distT="0" distB="0" distL="114300" distR="114300" simplePos="0" relativeHeight="25192038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5929" name="Group 49592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589" name="Picture 47589"/>
                          <pic:cNvPicPr/>
                        </pic:nvPicPr>
                        <pic:blipFill>
                          <a:blip r:embed="rId62"/>
                          <a:stretch>
                            <a:fillRect/>
                          </a:stretch>
                        </pic:blipFill>
                        <pic:spPr>
                          <a:xfrm rot="-5399999">
                            <a:off x="-1720849" y="1720849"/>
                            <a:ext cx="3797300" cy="355601"/>
                          </a:xfrm>
                          <a:prstGeom prst="rect">
                            <a:avLst/>
                          </a:prstGeom>
                        </pic:spPr>
                      </pic:pic>
                      <wps:wsp>
                        <wps:cNvPr id="47590" name="Rectangle 4759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7591" name="Rectangle 4759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w:t>
                              </w:r>
                              <w:r>
                                <w:rPr>
                                  <w:rFonts w:ascii="Arial" w:eastAsia="Arial" w:hAnsi="Arial" w:cs="Arial"/>
                                  <w:sz w:val="12"/>
                                </w:rPr>
                                <w:t xml:space="preserve">ectrónicamente desde la plataforma esPublico Gestiona | Página 255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5929" style="width:41.2715pt;height:299pt;position:absolute;mso-position-horizontal-relative:page;mso-position-horizontal:absolute;margin-left:653.71pt;mso-position-vertical-relative:page;margin-top:512.92pt;" coordsize="5241,37973">
                <v:shape id="Picture 47589" style="position:absolute;width:37973;height:3556;left:-17208;top:17208;rotation:-89;" filled="f">
                  <v:imagedata r:id="rId63"/>
                </v:shape>
                <v:rect id="Rectangle 4759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59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255 de 353 </w:t>
                        </w:r>
                      </w:p>
                    </w:txbxContent>
                  </v:textbox>
                </v:rect>
                <w10:wrap type="square"/>
              </v:group>
            </w:pict>
          </mc:Fallback>
        </mc:AlternateContent>
      </w:r>
      <w:r>
        <w:rPr>
          <w:rFonts w:ascii="Arial" w:eastAsia="Arial" w:hAnsi="Arial" w:cs="Arial"/>
        </w:rPr>
        <w:t>La que suscribe, Alcaldesa-Presidenta del Ayuntamiento de la Villa de Candelaria, al amparo de lo dispuesto en el Reglamento de Organización, Funcionamiento y Régimen Jurídico de la</w:t>
      </w:r>
      <w:r>
        <w:rPr>
          <w:rFonts w:ascii="Arial" w:eastAsia="Arial" w:hAnsi="Arial" w:cs="Arial"/>
        </w:rPr>
        <w:t xml:space="preserve">s Entidades Locales, así como en la Ley 7/1985, de 2 abril, Reguladora de las Bases de Régimen Local, tienen el honor de someter a la consideración del Ayuntamiento Pleno la siguiente propuesta: </w:t>
      </w:r>
    </w:p>
    <w:p w:rsidR="00FF384B" w:rsidRDefault="003E3BA9">
      <w:pPr>
        <w:spacing w:after="5" w:line="247" w:lineRule="auto"/>
        <w:ind w:right="1053" w:firstLine="708"/>
        <w:jc w:val="both"/>
      </w:pPr>
      <w:r>
        <w:rPr>
          <w:rFonts w:ascii="Arial" w:eastAsia="Arial" w:hAnsi="Arial" w:cs="Arial"/>
        </w:rPr>
        <w:t>Visto el informe jurídico de la Técnico de la Administración</w:t>
      </w:r>
      <w:r>
        <w:rPr>
          <w:rFonts w:ascii="Arial" w:eastAsia="Arial" w:hAnsi="Arial" w:cs="Arial"/>
        </w:rPr>
        <w:t xml:space="preserve"> General, conformado por el Secretario General y debidamente fiscalizado por el Interventor Municipal, que transcrito literalmente dice: </w:t>
      </w:r>
    </w:p>
    <w:p w:rsidR="00FF384B" w:rsidRDefault="003E3BA9">
      <w:pPr>
        <w:spacing w:after="125"/>
      </w:pPr>
      <w:r>
        <w:rPr>
          <w:rFonts w:ascii="Arial" w:eastAsia="Arial" w:hAnsi="Arial" w:cs="Arial"/>
        </w:rPr>
        <w:t xml:space="preserve">  </w:t>
      </w:r>
    </w:p>
    <w:p w:rsidR="00FF384B" w:rsidRDefault="003E3BA9">
      <w:pPr>
        <w:pStyle w:val="Ttulo3"/>
        <w:shd w:val="clear" w:color="auto" w:fill="auto"/>
        <w:spacing w:after="108" w:line="249" w:lineRule="auto"/>
        <w:ind w:left="427" w:right="1471"/>
      </w:pPr>
      <w:r>
        <w:t xml:space="preserve">“Antecedentes de hecho  </w:t>
      </w:r>
    </w:p>
    <w:p w:rsidR="00FF384B" w:rsidRDefault="003E3BA9">
      <w:pPr>
        <w:spacing w:after="101"/>
        <w:ind w:right="995"/>
        <w:jc w:val="center"/>
      </w:pPr>
      <w:r>
        <w:rPr>
          <w:rFonts w:ascii="Arial" w:eastAsia="Arial" w:hAnsi="Arial" w:cs="Arial"/>
          <w:b/>
          <w:i/>
        </w:rPr>
        <w:t xml:space="preserve"> </w:t>
      </w:r>
    </w:p>
    <w:p w:rsidR="00FF384B" w:rsidRDefault="003E3BA9">
      <w:pPr>
        <w:spacing w:after="112" w:line="247" w:lineRule="auto"/>
        <w:ind w:left="10" w:right="1051" w:hanging="10"/>
        <w:jc w:val="both"/>
      </w:pPr>
      <w:r>
        <w:rPr>
          <w:rFonts w:ascii="Arial" w:eastAsia="Arial" w:hAnsi="Arial" w:cs="Arial"/>
          <w:b/>
          <w:i/>
        </w:rPr>
        <w:t xml:space="preserve">PRIMERO.- </w:t>
      </w:r>
      <w:r>
        <w:rPr>
          <w:rFonts w:ascii="Arial" w:eastAsia="Arial" w:hAnsi="Arial" w:cs="Arial"/>
          <w:i/>
        </w:rPr>
        <w:t>Consta Providencia de fecha 10 de febrero de 2021 del Concejal Delegado de Hacienda, Recursos Humanos y Empresas Públicas y Concesionarias, en la que propone que se inicien los trámites para la tramitación de la licitación del servicio de gestión de residu</w:t>
      </w:r>
      <w:r>
        <w:rPr>
          <w:rFonts w:ascii="Arial" w:eastAsia="Arial" w:hAnsi="Arial" w:cs="Arial"/>
          <w:i/>
        </w:rPr>
        <w:t>os, limpieza viaria y del litoral del municipio de Candelaria.</w:t>
      </w:r>
      <w:r>
        <w:rPr>
          <w:rFonts w:ascii="Arial" w:eastAsia="Arial" w:hAnsi="Arial" w:cs="Arial"/>
        </w:rPr>
        <w:t xml:space="preserve"> </w:t>
      </w:r>
    </w:p>
    <w:p w:rsidR="00FF384B" w:rsidRDefault="003E3BA9">
      <w:pPr>
        <w:spacing w:after="100"/>
      </w:pPr>
      <w:r>
        <w:rPr>
          <w:rFonts w:ascii="Arial" w:eastAsia="Arial" w:hAnsi="Arial" w:cs="Arial"/>
          <w:i/>
        </w:rPr>
        <w:t xml:space="preserve"> </w:t>
      </w:r>
    </w:p>
    <w:p w:rsidR="00FF384B" w:rsidRDefault="003E3BA9">
      <w:pPr>
        <w:spacing w:after="112" w:line="247" w:lineRule="auto"/>
        <w:ind w:left="10" w:right="508" w:hanging="10"/>
        <w:jc w:val="both"/>
      </w:pPr>
      <w:r>
        <w:rPr>
          <w:rFonts w:ascii="Arial" w:eastAsia="Arial" w:hAnsi="Arial" w:cs="Arial"/>
          <w:b/>
          <w:i/>
        </w:rPr>
        <w:t xml:space="preserve">SEGUNDO.- </w:t>
      </w:r>
      <w:r>
        <w:rPr>
          <w:rFonts w:ascii="Arial" w:eastAsia="Arial" w:hAnsi="Arial" w:cs="Arial"/>
          <w:i/>
        </w:rPr>
        <w:t>Consta informe del Ingeniero técnico industrial de fecha 03 de marzo de 2021 que dice:</w:t>
      </w:r>
      <w:r>
        <w:rPr>
          <w:rFonts w:ascii="Arial" w:eastAsia="Arial" w:hAnsi="Arial" w:cs="Arial"/>
        </w:rPr>
        <w:t xml:space="preserve"> </w:t>
      </w:r>
    </w:p>
    <w:p w:rsidR="00FF384B" w:rsidRDefault="003E3BA9">
      <w:pPr>
        <w:spacing w:after="101"/>
      </w:pPr>
      <w:r>
        <w:rPr>
          <w:rFonts w:ascii="Arial" w:eastAsia="Arial" w:hAnsi="Arial" w:cs="Arial"/>
          <w:i/>
        </w:rPr>
        <w:t xml:space="preserve">  </w:t>
      </w:r>
    </w:p>
    <w:p w:rsidR="00FF384B" w:rsidRDefault="003E3BA9">
      <w:pPr>
        <w:spacing w:after="13" w:line="247" w:lineRule="auto"/>
        <w:ind w:right="1116"/>
        <w:jc w:val="both"/>
      </w:pPr>
      <w:r>
        <w:rPr>
          <w:rFonts w:ascii="Arial" w:eastAsia="Arial" w:hAnsi="Arial" w:cs="Arial"/>
          <w:i/>
        </w:rPr>
        <w:t xml:space="preserve"> “</w:t>
      </w:r>
      <w:r>
        <w:rPr>
          <w:rFonts w:ascii="Arial" w:eastAsia="Arial" w:hAnsi="Arial" w:cs="Arial"/>
          <w:b/>
          <w:i/>
        </w:rPr>
        <w:t>Visto el expediente antedicho, el funcionario, Don Daniel Espejo Cómez, que desempeña e</w:t>
      </w:r>
      <w:r>
        <w:rPr>
          <w:rFonts w:ascii="Arial" w:eastAsia="Arial" w:hAnsi="Arial" w:cs="Arial"/>
          <w:b/>
          <w:i/>
        </w:rPr>
        <w:t>l puesto de trabajo de Ingeniero Técnico Industrial, en la oficina técnica de la Concejalía de Planificación y Gestión Urbanística y Ambiental, emite el siguiente informe:</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pStyle w:val="Ttulo1"/>
        <w:shd w:val="clear" w:color="auto" w:fill="E0E0E0"/>
        <w:spacing w:after="201" w:line="259" w:lineRule="auto"/>
        <w:ind w:left="10" w:right="1058"/>
      </w:pPr>
      <w:r>
        <w:rPr>
          <w:i/>
          <w:sz w:val="24"/>
        </w:rPr>
        <w:t>ANTECEDENTES DE HECHO</w:t>
      </w:r>
      <w:r>
        <w:rPr>
          <w:rFonts w:ascii="Times New Roman" w:eastAsia="Times New Roman" w:hAnsi="Times New Roman" w:cs="Times New Roman"/>
          <w:b w:val="0"/>
          <w:sz w:val="24"/>
        </w:rPr>
        <w:t xml:space="preserve"> </w:t>
      </w:r>
    </w:p>
    <w:p w:rsidR="00FF384B" w:rsidRDefault="003E3BA9">
      <w:pPr>
        <w:spacing w:after="126" w:line="247" w:lineRule="auto"/>
        <w:ind w:right="1055" w:firstLine="708"/>
        <w:jc w:val="both"/>
      </w:pPr>
      <w:r>
        <w:rPr>
          <w:rFonts w:ascii="Arial" w:eastAsia="Arial" w:hAnsi="Arial" w:cs="Arial"/>
          <w:b/>
          <w:i/>
        </w:rPr>
        <w:t xml:space="preserve">PRIMERO. – </w:t>
      </w:r>
      <w:r>
        <w:rPr>
          <w:rFonts w:ascii="Arial" w:eastAsia="Arial" w:hAnsi="Arial" w:cs="Arial"/>
          <w:i/>
        </w:rPr>
        <w:t>Con fecha 10 de febrero de 2021, desde la Concejalía de Hacienda, Recursos Humanos y Empresas Públicas y Concesionarias, se impulsa la iniciación del expediente para la contratación de la prestación del servicio público de gestión de residuos, limpieza via</w:t>
      </w:r>
      <w:r>
        <w:rPr>
          <w:rFonts w:ascii="Arial" w:eastAsia="Arial" w:hAnsi="Arial" w:cs="Arial"/>
          <w:i/>
        </w:rPr>
        <w:t>ria y del litoral del municipio de Candelaria.</w:t>
      </w:r>
      <w:r>
        <w:rPr>
          <w:rFonts w:ascii="Arial" w:eastAsia="Arial" w:hAnsi="Arial" w:cs="Arial"/>
        </w:rPr>
        <w:t xml:space="preserve"> </w:t>
      </w:r>
    </w:p>
    <w:p w:rsidR="00FF384B" w:rsidRDefault="003E3BA9">
      <w:pPr>
        <w:spacing w:after="0"/>
      </w:pPr>
      <w:r>
        <w:rPr>
          <w:rFonts w:ascii="Arial" w:eastAsia="Arial" w:hAnsi="Arial" w:cs="Arial"/>
          <w:i/>
          <w:sz w:val="24"/>
        </w:rPr>
        <w:t xml:space="preserve"> </w:t>
      </w:r>
    </w:p>
    <w:p w:rsidR="00FF384B" w:rsidRDefault="003E3BA9">
      <w:pPr>
        <w:pStyle w:val="Ttulo1"/>
        <w:shd w:val="clear" w:color="auto" w:fill="E0E0E0"/>
        <w:spacing w:after="201" w:line="259" w:lineRule="auto"/>
        <w:ind w:left="10" w:right="1055"/>
      </w:pPr>
      <w:r>
        <w:rPr>
          <w:i/>
          <w:sz w:val="24"/>
        </w:rPr>
        <w:t xml:space="preserve">MARCO NORMATIVO </w:t>
      </w:r>
    </w:p>
    <w:p w:rsidR="00FF384B" w:rsidRDefault="003E3BA9">
      <w:pPr>
        <w:spacing w:after="0"/>
      </w:pPr>
      <w:r>
        <w:rPr>
          <w:rFonts w:ascii="Arial" w:eastAsia="Arial" w:hAnsi="Arial" w:cs="Arial"/>
          <w:i/>
          <w:sz w:val="24"/>
        </w:rPr>
        <w:t xml:space="preserve"> </w:t>
      </w:r>
    </w:p>
    <w:p w:rsidR="00FF384B" w:rsidRDefault="003E3BA9">
      <w:pPr>
        <w:spacing w:after="1" w:line="240" w:lineRule="auto"/>
        <w:ind w:left="-5" w:right="1045" w:hanging="10"/>
        <w:jc w:val="both"/>
      </w:pPr>
      <w:r>
        <w:rPr>
          <w:rFonts w:ascii="Arial" w:eastAsia="Arial" w:hAnsi="Arial" w:cs="Arial"/>
          <w:i/>
          <w:sz w:val="24"/>
        </w:rPr>
        <w:t xml:space="preserve">El plazo de duración de los contratos lo establece la normativa vigente, tal como se indica a continuación:  </w:t>
      </w:r>
    </w:p>
    <w:p w:rsidR="00FF384B" w:rsidRDefault="003E3BA9">
      <w:pPr>
        <w:spacing w:after="15"/>
      </w:pPr>
      <w:r>
        <w:rPr>
          <w:rFonts w:ascii="Arial" w:eastAsia="Arial" w:hAnsi="Arial" w:cs="Arial"/>
          <w:i/>
          <w:sz w:val="24"/>
        </w:rPr>
        <w:t xml:space="preserve"> </w:t>
      </w:r>
    </w:p>
    <w:p w:rsidR="00FF384B" w:rsidRDefault="003E3BA9">
      <w:pPr>
        <w:numPr>
          <w:ilvl w:val="0"/>
          <w:numId w:val="300"/>
        </w:numPr>
        <w:spacing w:after="13" w:line="247" w:lineRule="auto"/>
        <w:ind w:right="734" w:hanging="360"/>
        <w:jc w:val="both"/>
      </w:pPr>
      <w:r>
        <w:rPr>
          <w:rFonts w:ascii="Arial" w:eastAsia="Arial" w:hAnsi="Arial" w:cs="Arial"/>
          <w:i/>
        </w:rPr>
        <w:t xml:space="preserve">La </w:t>
      </w:r>
      <w:r>
        <w:rPr>
          <w:rFonts w:ascii="Arial" w:eastAsia="Arial" w:hAnsi="Arial" w:cs="Arial"/>
          <w:b/>
          <w:i/>
        </w:rPr>
        <w:t xml:space="preserve">Ley 9/2017 de Contratos del Sector Público </w:t>
      </w:r>
      <w:r>
        <w:rPr>
          <w:rFonts w:ascii="Arial" w:eastAsia="Arial" w:hAnsi="Arial" w:cs="Arial"/>
          <w:i/>
        </w:rPr>
        <w:t xml:space="preserve">en su </w:t>
      </w:r>
      <w:r>
        <w:rPr>
          <w:rFonts w:ascii="Arial" w:eastAsia="Arial" w:hAnsi="Arial" w:cs="Arial"/>
          <w:b/>
          <w:i/>
        </w:rPr>
        <w:t xml:space="preserve">Artículo 29 </w:t>
      </w:r>
      <w:r>
        <w:rPr>
          <w:rFonts w:ascii="Arial" w:eastAsia="Arial" w:hAnsi="Arial" w:cs="Arial"/>
          <w:i/>
        </w:rPr>
        <w:t xml:space="preserve">establece el </w:t>
      </w:r>
      <w:r>
        <w:rPr>
          <w:rFonts w:ascii="Arial" w:eastAsia="Arial" w:hAnsi="Arial" w:cs="Arial"/>
          <w:b/>
          <w:i/>
        </w:rPr>
        <w:t xml:space="preserve">Plazo de duración de los contratos y de ejecución de la prestación.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sz w:val="24"/>
        </w:rPr>
        <w:t xml:space="preserve"> </w:t>
      </w:r>
    </w:p>
    <w:p w:rsidR="00FF384B" w:rsidRDefault="003E3BA9">
      <w:pPr>
        <w:spacing w:after="1" w:line="240" w:lineRule="auto"/>
        <w:ind w:left="-5" w:right="1045" w:hanging="10"/>
        <w:jc w:val="both"/>
      </w:pPr>
      <w:r>
        <w:rPr>
          <w:noProof/>
        </w:rPr>
        <mc:AlternateContent>
          <mc:Choice Requires="wpg">
            <w:drawing>
              <wp:anchor distT="0" distB="0" distL="114300" distR="114300" simplePos="0" relativeHeight="25192140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6286" name="Group 49628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700" name="Picture 47700"/>
                          <pic:cNvPicPr/>
                        </pic:nvPicPr>
                        <pic:blipFill>
                          <a:blip r:embed="rId62"/>
                          <a:stretch>
                            <a:fillRect/>
                          </a:stretch>
                        </pic:blipFill>
                        <pic:spPr>
                          <a:xfrm rot="-5399999">
                            <a:off x="-1720849" y="1720849"/>
                            <a:ext cx="3797300" cy="355601"/>
                          </a:xfrm>
                          <a:prstGeom prst="rect">
                            <a:avLst/>
                          </a:prstGeom>
                        </pic:spPr>
                      </pic:pic>
                      <wps:wsp>
                        <wps:cNvPr id="47701" name="Rectangle 4770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7702" name="Rectangle 4770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w:t>
                              </w:r>
                              <w:r>
                                <w:rPr>
                                  <w:rFonts w:ascii="Arial" w:eastAsia="Arial" w:hAnsi="Arial" w:cs="Arial"/>
                                  <w:sz w:val="12"/>
                                </w:rPr>
                                <w:t xml:space="preserve">tiona | Página 256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6286" style="width:41.2715pt;height:299pt;position:absolute;mso-position-horizontal-relative:page;mso-position-horizontal:absolute;margin-left:653.71pt;mso-position-vertical-relative:page;margin-top:512.92pt;" coordsize="5241,37973">
                <v:shape id="Picture 47700" style="position:absolute;width:37973;height:3556;left:-17208;top:17208;rotation:-89;" filled="f">
                  <v:imagedata r:id="rId63"/>
                </v:shape>
                <v:rect id="Rectangle 4770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70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256 de 353 </w:t>
                        </w:r>
                      </w:p>
                    </w:txbxContent>
                  </v:textbox>
                </v:rect>
                <w10:wrap type="square"/>
              </v:group>
            </w:pict>
          </mc:Fallback>
        </mc:AlternateContent>
      </w:r>
      <w:r>
        <w:rPr>
          <w:rFonts w:ascii="Arial" w:eastAsia="Arial" w:hAnsi="Arial" w:cs="Arial"/>
          <w:i/>
          <w:sz w:val="24"/>
        </w:rPr>
        <w:t xml:space="preserve">El </w:t>
      </w:r>
      <w:r>
        <w:rPr>
          <w:rFonts w:ascii="Arial" w:eastAsia="Arial" w:hAnsi="Arial" w:cs="Arial"/>
          <w:b/>
          <w:i/>
          <w:sz w:val="24"/>
        </w:rPr>
        <w:t xml:space="preserve">Artículo 29.4 </w:t>
      </w:r>
      <w:r>
        <w:rPr>
          <w:rFonts w:ascii="Arial" w:eastAsia="Arial" w:hAnsi="Arial" w:cs="Arial"/>
          <w:i/>
          <w:sz w:val="24"/>
        </w:rPr>
        <w:t xml:space="preserve">establece un plazo máximo de duración de los contratos de </w:t>
      </w:r>
      <w:r>
        <w:rPr>
          <w:rFonts w:ascii="Arial" w:eastAsia="Arial" w:hAnsi="Arial" w:cs="Arial"/>
          <w:b/>
          <w:i/>
          <w:sz w:val="24"/>
        </w:rPr>
        <w:t>cinco años</w:t>
      </w:r>
      <w:r>
        <w:rPr>
          <w:rFonts w:ascii="Arial" w:eastAsia="Arial" w:hAnsi="Arial" w:cs="Arial"/>
          <w:i/>
          <w:sz w:val="24"/>
        </w:rPr>
        <w:t>, a excepción de los contratos de suministros y servicios, en los que se podrá establecer un plazo de duración superior cuando lo exija el perío</w:t>
      </w:r>
      <w:r>
        <w:rPr>
          <w:rFonts w:ascii="Arial" w:eastAsia="Arial" w:hAnsi="Arial" w:cs="Arial"/>
          <w:i/>
          <w:sz w:val="24"/>
        </w:rPr>
        <w:t>do de recuperación de las inversiones directamente relacionadas con el contrato y estas no sean susceptibles de utilizarse en el resto de la actividad productiva del contratista o su utilización fuera antieconómica, siempre que la amortización de dichas in</w:t>
      </w:r>
      <w:r>
        <w:rPr>
          <w:rFonts w:ascii="Arial" w:eastAsia="Arial" w:hAnsi="Arial" w:cs="Arial"/>
          <w:i/>
          <w:sz w:val="24"/>
        </w:rPr>
        <w:t>versiones sea un coste relevante en la prestación del suministro o servicio, circunstancias que deberán ser justificadas en el expediente de contratación con indicación de las inversiones a las que se refiera y de su período de recuperación.</w:t>
      </w:r>
      <w:r>
        <w:rPr>
          <w:rFonts w:ascii="Times New Roman" w:eastAsia="Times New Roman" w:hAnsi="Times New Roman" w:cs="Times New Roman"/>
          <w:sz w:val="24"/>
        </w:rPr>
        <w:t xml:space="preserve"> </w:t>
      </w:r>
    </w:p>
    <w:p w:rsidR="00FF384B" w:rsidRDefault="003E3BA9">
      <w:pPr>
        <w:spacing w:after="15"/>
      </w:pPr>
      <w:r>
        <w:rPr>
          <w:rFonts w:ascii="Arial" w:eastAsia="Arial" w:hAnsi="Arial" w:cs="Arial"/>
          <w:i/>
          <w:sz w:val="24"/>
        </w:rPr>
        <w:t xml:space="preserve"> </w:t>
      </w:r>
    </w:p>
    <w:p w:rsidR="00FF384B" w:rsidRDefault="003E3BA9">
      <w:pPr>
        <w:numPr>
          <w:ilvl w:val="0"/>
          <w:numId w:val="300"/>
        </w:numPr>
        <w:spacing w:after="4" w:line="247" w:lineRule="auto"/>
        <w:ind w:right="734" w:hanging="360"/>
        <w:jc w:val="both"/>
      </w:pPr>
      <w:r>
        <w:rPr>
          <w:rFonts w:ascii="Arial" w:eastAsia="Arial" w:hAnsi="Arial" w:cs="Arial"/>
          <w:i/>
        </w:rPr>
        <w:t xml:space="preserve">El </w:t>
      </w:r>
      <w:r>
        <w:rPr>
          <w:rFonts w:ascii="Arial" w:eastAsia="Arial" w:hAnsi="Arial" w:cs="Arial"/>
          <w:b/>
          <w:i/>
        </w:rPr>
        <w:t>Real Dec</w:t>
      </w:r>
      <w:r>
        <w:rPr>
          <w:rFonts w:ascii="Arial" w:eastAsia="Arial" w:hAnsi="Arial" w:cs="Arial"/>
          <w:b/>
          <w:i/>
        </w:rPr>
        <w:t>reto 55/2017</w:t>
      </w:r>
      <w:r>
        <w:rPr>
          <w:rFonts w:ascii="Arial" w:eastAsia="Arial" w:hAnsi="Arial" w:cs="Arial"/>
          <w:i/>
        </w:rPr>
        <w:t xml:space="preserve">, que desarrolla la Ley 2/2015, de 30 de marzo, de desindexación de la economía española, establece en su </w:t>
      </w:r>
      <w:r>
        <w:rPr>
          <w:rFonts w:ascii="Arial" w:eastAsia="Arial" w:hAnsi="Arial" w:cs="Arial"/>
          <w:b/>
          <w:i/>
        </w:rPr>
        <w:t xml:space="preserve">Artículo 10 </w:t>
      </w:r>
      <w:r>
        <w:rPr>
          <w:rFonts w:ascii="Arial" w:eastAsia="Arial" w:hAnsi="Arial" w:cs="Arial"/>
          <w:i/>
        </w:rPr>
        <w:t xml:space="preserve">el </w:t>
      </w:r>
      <w:r>
        <w:rPr>
          <w:rFonts w:ascii="Arial" w:eastAsia="Arial" w:hAnsi="Arial" w:cs="Arial"/>
          <w:b/>
          <w:i/>
        </w:rPr>
        <w:t>Período de recuperación de la inversión de los contratos</w:t>
      </w:r>
      <w:r>
        <w:rPr>
          <w:rFonts w:ascii="Arial" w:eastAsia="Arial" w:hAnsi="Arial" w:cs="Arial"/>
          <w:i/>
        </w:rPr>
        <w:t xml:space="preserve">.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sz w:val="24"/>
        </w:rPr>
        <w:t xml:space="preserve"> </w:t>
      </w:r>
    </w:p>
    <w:p w:rsidR="00FF384B" w:rsidRDefault="003E3BA9">
      <w:pPr>
        <w:spacing w:after="1" w:line="240" w:lineRule="auto"/>
        <w:ind w:left="-5" w:right="1045" w:hanging="10"/>
        <w:jc w:val="both"/>
      </w:pPr>
      <w:r>
        <w:rPr>
          <w:rFonts w:ascii="Arial" w:eastAsia="Arial" w:hAnsi="Arial" w:cs="Arial"/>
          <w:i/>
          <w:sz w:val="24"/>
        </w:rPr>
        <w:t xml:space="preserve">El </w:t>
      </w:r>
      <w:r>
        <w:rPr>
          <w:rFonts w:ascii="Arial" w:eastAsia="Arial" w:hAnsi="Arial" w:cs="Arial"/>
          <w:b/>
          <w:i/>
          <w:sz w:val="24"/>
        </w:rPr>
        <w:t xml:space="preserve">Artículo 10.1 </w:t>
      </w:r>
      <w:r>
        <w:rPr>
          <w:rFonts w:ascii="Arial" w:eastAsia="Arial" w:hAnsi="Arial" w:cs="Arial"/>
          <w:i/>
          <w:sz w:val="24"/>
        </w:rPr>
        <w:t>define el período de recuperación de la inve</w:t>
      </w:r>
      <w:r>
        <w:rPr>
          <w:rFonts w:ascii="Arial" w:eastAsia="Arial" w:hAnsi="Arial" w:cs="Arial"/>
          <w:i/>
          <w:sz w:val="24"/>
        </w:rPr>
        <w:t>rsión del contrato como aquél en el que previsiblemente puedan recuperarse las inversiones realizadas para la correcta ejecución de las obligaciones previstas en el contrato y se permita al contratista la obtención de un beneficio sobre el capital invertid</w:t>
      </w:r>
      <w:r>
        <w:rPr>
          <w:rFonts w:ascii="Arial" w:eastAsia="Arial" w:hAnsi="Arial" w:cs="Arial"/>
          <w:i/>
          <w:sz w:val="24"/>
        </w:rPr>
        <w:t>o en condiciones normales de explotación.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sz w:val="24"/>
        </w:rPr>
        <w:t xml:space="preserve"> </w:t>
      </w:r>
    </w:p>
    <w:p w:rsidR="00FF384B" w:rsidRDefault="003E3BA9">
      <w:pPr>
        <w:spacing w:after="1" w:line="240" w:lineRule="auto"/>
        <w:ind w:left="-5" w:right="1045" w:hanging="10"/>
        <w:jc w:val="both"/>
      </w:pPr>
      <w:r>
        <w:rPr>
          <w:rFonts w:ascii="Arial" w:eastAsia="Arial" w:hAnsi="Arial" w:cs="Arial"/>
          <w:i/>
          <w:sz w:val="24"/>
        </w:rPr>
        <w:t xml:space="preserve">El </w:t>
      </w:r>
      <w:r>
        <w:rPr>
          <w:rFonts w:ascii="Arial" w:eastAsia="Arial" w:hAnsi="Arial" w:cs="Arial"/>
          <w:b/>
          <w:i/>
          <w:sz w:val="24"/>
        </w:rPr>
        <w:t xml:space="preserve">Artículo 10.2 </w:t>
      </w:r>
      <w:r>
        <w:rPr>
          <w:rFonts w:ascii="Arial" w:eastAsia="Arial" w:hAnsi="Arial" w:cs="Arial"/>
          <w:i/>
          <w:sz w:val="24"/>
        </w:rPr>
        <w:t xml:space="preserve">establece una fórmula matemática para calcular el plazo de recuperación de las inversiones que determinará el plazo de duración del contrato.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sz w:val="24"/>
        </w:rPr>
        <w:t xml:space="preserve"> </w:t>
      </w:r>
    </w:p>
    <w:p w:rsidR="00FF384B" w:rsidRDefault="003E3BA9">
      <w:pPr>
        <w:spacing w:after="1" w:line="240" w:lineRule="auto"/>
        <w:ind w:left="-5" w:right="1045" w:hanging="10"/>
        <w:jc w:val="both"/>
      </w:pPr>
      <w:r>
        <w:rPr>
          <w:rFonts w:ascii="Arial" w:eastAsia="Arial" w:hAnsi="Arial" w:cs="Arial"/>
          <w:i/>
          <w:sz w:val="24"/>
        </w:rPr>
        <w:t xml:space="preserve">Según la fórmula, el período de recuperación de la inversión del contrato será el mínimo valor de </w:t>
      </w:r>
      <w:r>
        <w:rPr>
          <w:rFonts w:ascii="Arial" w:eastAsia="Arial" w:hAnsi="Arial" w:cs="Arial"/>
          <w:b/>
          <w:i/>
          <w:sz w:val="24"/>
        </w:rPr>
        <w:t xml:space="preserve">n </w:t>
      </w:r>
      <w:r>
        <w:rPr>
          <w:rFonts w:ascii="Arial" w:eastAsia="Arial" w:hAnsi="Arial" w:cs="Arial"/>
          <w:i/>
          <w:sz w:val="24"/>
        </w:rPr>
        <w:t>para el que se cumple la siguiente desigualdad, habiéndose realizado todas las inversiones para la correcta ejecución de las obligaciones previstas en el co</w:t>
      </w:r>
      <w:r>
        <w:rPr>
          <w:rFonts w:ascii="Arial" w:eastAsia="Arial" w:hAnsi="Arial" w:cs="Arial"/>
          <w:i/>
          <w:sz w:val="24"/>
        </w:rPr>
        <w:t>ntrato:</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ind w:right="997"/>
        <w:jc w:val="center"/>
      </w:pPr>
      <w:r>
        <w:rPr>
          <w:noProof/>
        </w:rPr>
        <w:drawing>
          <wp:inline distT="0" distB="0" distL="0" distR="0">
            <wp:extent cx="1402080" cy="731520"/>
            <wp:effectExtent l="0" t="0" r="0" b="0"/>
            <wp:docPr id="47918" name="Picture 47918"/>
            <wp:cNvGraphicFramePr/>
            <a:graphic xmlns:a="http://schemas.openxmlformats.org/drawingml/2006/main">
              <a:graphicData uri="http://schemas.openxmlformats.org/drawingml/2006/picture">
                <pic:pic xmlns:pic="http://schemas.openxmlformats.org/drawingml/2006/picture">
                  <pic:nvPicPr>
                    <pic:cNvPr id="47918" name="Picture 47918"/>
                    <pic:cNvPicPr/>
                  </pic:nvPicPr>
                  <pic:blipFill>
                    <a:blip r:embed="rId87"/>
                    <a:stretch>
                      <a:fillRect/>
                    </a:stretch>
                  </pic:blipFill>
                  <pic:spPr>
                    <a:xfrm>
                      <a:off x="0" y="0"/>
                      <a:ext cx="1402080" cy="73152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Donde: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b/>
          <w:i/>
        </w:rPr>
        <w:t>t</w:t>
      </w:r>
      <w:r>
        <w:rPr>
          <w:rFonts w:ascii="Arial" w:eastAsia="Arial" w:hAnsi="Arial" w:cs="Arial"/>
          <w:i/>
        </w:rPr>
        <w:t xml:space="preserve"> son los años medidos en números enteros. </w:t>
      </w:r>
      <w:r>
        <w:rPr>
          <w:rFonts w:ascii="Times New Roman" w:eastAsia="Times New Roman" w:hAnsi="Times New Roman" w:cs="Times New Roman"/>
          <w:sz w:val="24"/>
        </w:rPr>
        <w:t xml:space="preserve"> </w:t>
      </w:r>
    </w:p>
    <w:p w:rsidR="00FF384B" w:rsidRDefault="003E3BA9">
      <w:pPr>
        <w:spacing w:after="4" w:line="247" w:lineRule="auto"/>
        <w:ind w:left="10" w:right="244" w:hanging="10"/>
        <w:jc w:val="both"/>
      </w:pPr>
      <w:r>
        <w:rPr>
          <w:rFonts w:ascii="Arial" w:eastAsia="Arial" w:hAnsi="Arial" w:cs="Arial"/>
          <w:b/>
          <w:i/>
        </w:rPr>
        <w:t>FC</w:t>
      </w:r>
      <w:r>
        <w:rPr>
          <w:rFonts w:ascii="Arial" w:eastAsia="Arial" w:hAnsi="Arial" w:cs="Arial"/>
          <w:b/>
          <w:i/>
          <w:vertAlign w:val="subscript"/>
        </w:rPr>
        <w:t>t</w:t>
      </w:r>
      <w:r>
        <w:rPr>
          <w:rFonts w:ascii="Arial" w:eastAsia="Arial" w:hAnsi="Arial" w:cs="Arial"/>
          <w:b/>
          <w:i/>
        </w:rPr>
        <w:t xml:space="preserve"> </w:t>
      </w:r>
      <w:r>
        <w:rPr>
          <w:rFonts w:ascii="Arial" w:eastAsia="Arial" w:hAnsi="Arial" w:cs="Arial"/>
          <w:i/>
        </w:rPr>
        <w:t>es el flujo de caja esperado del año t.</w:t>
      </w:r>
      <w:r>
        <w:rPr>
          <w:rFonts w:ascii="Times New Roman" w:eastAsia="Times New Roman" w:hAnsi="Times New Roman" w:cs="Times New Roman"/>
          <w:sz w:val="24"/>
        </w:rPr>
        <w:t xml:space="preserve"> </w:t>
      </w:r>
    </w:p>
    <w:p w:rsidR="00FF384B" w:rsidRDefault="003E3BA9">
      <w:pPr>
        <w:spacing w:after="4" w:line="247" w:lineRule="auto"/>
        <w:ind w:left="10" w:right="1053" w:hanging="10"/>
        <w:jc w:val="both"/>
      </w:pPr>
      <w:r>
        <w:rPr>
          <w:rFonts w:ascii="Arial" w:eastAsia="Arial" w:hAnsi="Arial" w:cs="Arial"/>
          <w:b/>
          <w:i/>
        </w:rPr>
        <w:t xml:space="preserve">b </w:t>
      </w:r>
      <w:r>
        <w:rPr>
          <w:rFonts w:ascii="Arial" w:eastAsia="Arial" w:hAnsi="Arial" w:cs="Arial"/>
          <w:i/>
        </w:rPr>
        <w:t xml:space="preserve">es la tasa de descuento, cuyo valor será el rendimiento medio en el mercado secundario de la deuda del Estado a diez años en los últimos </w:t>
      </w:r>
      <w:r>
        <w:rPr>
          <w:rFonts w:ascii="Arial" w:eastAsia="Arial" w:hAnsi="Arial" w:cs="Arial"/>
          <w:i/>
        </w:rPr>
        <w:t>seis meses incrementado en un diferencial de 200 puntos básicos.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1048" w:hanging="10"/>
        <w:jc w:val="both"/>
      </w:pPr>
      <w:r>
        <w:rPr>
          <w:rFonts w:ascii="Arial" w:eastAsia="Arial" w:hAnsi="Arial" w:cs="Arial"/>
          <w:i/>
        </w:rPr>
        <w:t>El Flujo de Caja procedente de las actividades de explotación, que es la diferencia entre los cobros y los pagos ocasionados por las actividades que constituyen la principal fuente de ingr</w:t>
      </w:r>
      <w:r>
        <w:rPr>
          <w:rFonts w:ascii="Arial" w:eastAsia="Arial" w:hAnsi="Arial" w:cs="Arial"/>
          <w:i/>
        </w:rPr>
        <w:t xml:space="preserve">esos del contrato, teniendo en cuenta tanto las contraprestaciones abonadas por los usuarios como por la Administración, así como por otras actividades que no pueden ser calificadas como de inversión y financiación. </w:t>
      </w:r>
    </w:p>
    <w:p w:rsidR="00FF384B" w:rsidRDefault="003E3BA9">
      <w:pPr>
        <w:spacing w:after="98"/>
        <w:ind w:left="36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pStyle w:val="Ttulo2"/>
        <w:shd w:val="clear" w:color="auto" w:fill="E0E0E0"/>
        <w:spacing w:after="225" w:line="250" w:lineRule="auto"/>
        <w:ind w:left="10" w:right="1057"/>
      </w:pPr>
      <w:r>
        <w:rPr>
          <w:i/>
        </w:rPr>
        <w:t xml:space="preserve">PERIODO DE LA RECUPERACIÓN DE LA INVERSIÓN DEL CONTRATO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2243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2554" name="Group 52255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7920" name="Picture 47920"/>
                          <pic:cNvPicPr/>
                        </pic:nvPicPr>
                        <pic:blipFill>
                          <a:blip r:embed="rId62"/>
                          <a:stretch>
                            <a:fillRect/>
                          </a:stretch>
                        </pic:blipFill>
                        <pic:spPr>
                          <a:xfrm rot="-5399999">
                            <a:off x="-1720849" y="1720849"/>
                            <a:ext cx="3797300" cy="355601"/>
                          </a:xfrm>
                          <a:prstGeom prst="rect">
                            <a:avLst/>
                          </a:prstGeom>
                        </pic:spPr>
                      </pic:pic>
                      <wps:wsp>
                        <wps:cNvPr id="47921" name="Rectangle 4792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7922" name="Rectangle 4792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2554" style="width:41.2715pt;height:299pt;position:absolute;mso-position-horizontal-relative:page;mso-position-horizontal:absolute;margin-left:653.71pt;mso-position-vertical-relative:page;margin-top:512.92pt;" coordsize="5241,37973">
                <v:shape id="Picture 47920" style="position:absolute;width:37973;height:3556;left:-17208;top:17208;rotation:-89;" filled="f">
                  <v:imagedata r:id="rId63"/>
                </v:shape>
                <v:rect id="Rectangle 479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792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257 de 353 </w:t>
                        </w:r>
                      </w:p>
                    </w:txbxContent>
                  </v:textbox>
                </v:rect>
                <w10:wrap type="square"/>
              </v:group>
            </w:pict>
          </mc:Fallback>
        </mc:AlternateContent>
      </w:r>
      <w:r>
        <w:rPr>
          <w:rFonts w:ascii="Arial" w:eastAsia="Arial" w:hAnsi="Arial" w:cs="Arial"/>
          <w:i/>
        </w:rPr>
        <w:t xml:space="preserve">A continuación, se procede a determinar el periodo de recuperación de la inversión del contrato de gestión de residuos, limpieza viaria y del litoral del municipio de Candelaria.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444" w:hanging="10"/>
        <w:jc w:val="both"/>
      </w:pPr>
      <w:r>
        <w:rPr>
          <w:rFonts w:ascii="Arial" w:eastAsia="Arial" w:hAnsi="Arial" w:cs="Arial"/>
          <w:i/>
        </w:rPr>
        <w:t>El estudio económico realizado, establece los siguientes costes del servic</w:t>
      </w:r>
      <w:r>
        <w:rPr>
          <w:rFonts w:ascii="Arial" w:eastAsia="Arial" w:hAnsi="Arial" w:cs="Arial"/>
          <w:i/>
        </w:rPr>
        <w:t xml:space="preserve">io para el año 2021: </w:t>
      </w:r>
    </w:p>
    <w:p w:rsidR="00FF384B" w:rsidRDefault="003E3BA9">
      <w:pPr>
        <w:spacing w:after="0"/>
      </w:pPr>
      <w:r>
        <w:rPr>
          <w:rFonts w:ascii="Times New Roman" w:eastAsia="Times New Roman" w:hAnsi="Times New Roman" w:cs="Times New Roman"/>
          <w:i/>
          <w:sz w:val="16"/>
        </w:rPr>
        <w:t xml:space="preserve"> </w:t>
      </w:r>
    </w:p>
    <w:tbl>
      <w:tblPr>
        <w:tblStyle w:val="TableGrid"/>
        <w:tblW w:w="10824" w:type="dxa"/>
        <w:tblInd w:w="-1023" w:type="dxa"/>
        <w:tblCellMar>
          <w:top w:w="6" w:type="dxa"/>
          <w:left w:w="106" w:type="dxa"/>
          <w:bottom w:w="0" w:type="dxa"/>
          <w:right w:w="62" w:type="dxa"/>
        </w:tblCellMar>
        <w:tblLook w:val="04A0" w:firstRow="1" w:lastRow="0" w:firstColumn="1" w:lastColumn="0" w:noHBand="0" w:noVBand="1"/>
      </w:tblPr>
      <w:tblGrid>
        <w:gridCol w:w="1150"/>
        <w:gridCol w:w="1246"/>
        <w:gridCol w:w="1220"/>
        <w:gridCol w:w="1522"/>
        <w:gridCol w:w="1184"/>
        <w:gridCol w:w="1018"/>
        <w:gridCol w:w="1274"/>
        <w:gridCol w:w="1061"/>
        <w:gridCol w:w="1150"/>
      </w:tblGrid>
      <w:tr w:rsidR="00FF384B">
        <w:trPr>
          <w:trHeight w:val="562"/>
        </w:trPr>
        <w:tc>
          <w:tcPr>
            <w:tcW w:w="115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6"/>
            </w:pPr>
            <w:r>
              <w:rPr>
                <w:rFonts w:ascii="Arial" w:eastAsia="Arial" w:hAnsi="Arial" w:cs="Arial"/>
                <w:b/>
                <w:i/>
                <w:sz w:val="16"/>
              </w:rPr>
              <w:t xml:space="preserve">PERSONAL </w:t>
            </w:r>
          </w:p>
        </w:tc>
        <w:tc>
          <w:tcPr>
            <w:tcW w:w="124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i/>
                <w:sz w:val="16"/>
              </w:rPr>
              <w:t xml:space="preserve">MEDIOS MATERIALES </w:t>
            </w:r>
          </w:p>
        </w:tc>
        <w:tc>
          <w:tcPr>
            <w:tcW w:w="122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
            </w:pPr>
            <w:r>
              <w:rPr>
                <w:rFonts w:ascii="Arial" w:eastAsia="Arial" w:hAnsi="Arial" w:cs="Arial"/>
                <w:b/>
                <w:i/>
                <w:sz w:val="16"/>
              </w:rPr>
              <w:t xml:space="preserve">AMORTIZAC. </w:t>
            </w:r>
          </w:p>
        </w:tc>
        <w:tc>
          <w:tcPr>
            <w:tcW w:w="1522"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i/>
                <w:sz w:val="16"/>
              </w:rPr>
              <w:t xml:space="preserve">TASA DISPONIBILIDAD </w:t>
            </w:r>
          </w:p>
        </w:tc>
        <w:tc>
          <w:tcPr>
            <w:tcW w:w="118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
            </w:pPr>
            <w:r>
              <w:rPr>
                <w:rFonts w:ascii="Arial" w:eastAsia="Arial" w:hAnsi="Arial" w:cs="Arial"/>
                <w:b/>
                <w:i/>
                <w:sz w:val="16"/>
              </w:rPr>
              <w:t xml:space="preserve">PAPELERAS </w:t>
            </w:r>
          </w:p>
          <w:p w:rsidR="00FF384B" w:rsidRDefault="003E3BA9">
            <w:pPr>
              <w:spacing w:after="0"/>
              <w:ind w:right="43"/>
              <w:jc w:val="center"/>
            </w:pPr>
            <w:r>
              <w:rPr>
                <w:rFonts w:ascii="Arial" w:eastAsia="Arial" w:hAnsi="Arial" w:cs="Arial"/>
                <w:b/>
                <w:i/>
                <w:sz w:val="16"/>
              </w:rPr>
              <w:t xml:space="preserve">- RCD </w:t>
            </w:r>
          </w:p>
        </w:tc>
        <w:tc>
          <w:tcPr>
            <w:tcW w:w="101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b/>
                <w:i/>
                <w:sz w:val="16"/>
              </w:rPr>
              <w:t xml:space="preserve">GG (5%) + BI (6%) </w:t>
            </w:r>
          </w:p>
        </w:tc>
        <w:tc>
          <w:tcPr>
            <w:tcW w:w="127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
            </w:pPr>
            <w:r>
              <w:rPr>
                <w:rFonts w:ascii="Arial" w:eastAsia="Arial" w:hAnsi="Arial" w:cs="Arial"/>
                <w:b/>
                <w:i/>
                <w:sz w:val="16"/>
              </w:rPr>
              <w:t xml:space="preserve">CONCIENCIA. </w:t>
            </w:r>
          </w:p>
        </w:tc>
        <w:tc>
          <w:tcPr>
            <w:tcW w:w="106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
            </w:pPr>
            <w:r>
              <w:rPr>
                <w:rFonts w:ascii="Arial" w:eastAsia="Arial" w:hAnsi="Arial" w:cs="Arial"/>
                <w:b/>
                <w:i/>
                <w:sz w:val="16"/>
              </w:rPr>
              <w:t xml:space="preserve">INGRESOS </w:t>
            </w:r>
          </w:p>
          <w:p w:rsidR="00FF384B" w:rsidRDefault="003E3BA9">
            <w:pPr>
              <w:spacing w:after="0"/>
              <w:jc w:val="center"/>
            </w:pPr>
            <w:r>
              <w:rPr>
                <w:rFonts w:ascii="Arial" w:eastAsia="Arial" w:hAnsi="Arial" w:cs="Arial"/>
                <w:b/>
                <w:i/>
                <w:sz w:val="16"/>
              </w:rPr>
              <w:t xml:space="preserve">EELL + PyC </w:t>
            </w:r>
          </w:p>
        </w:tc>
        <w:tc>
          <w:tcPr>
            <w:tcW w:w="1150"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5"/>
              <w:jc w:val="center"/>
            </w:pPr>
            <w:r>
              <w:rPr>
                <w:rFonts w:ascii="Arial" w:eastAsia="Arial" w:hAnsi="Arial" w:cs="Arial"/>
                <w:b/>
                <w:i/>
                <w:sz w:val="16"/>
              </w:rPr>
              <w:t xml:space="preserve">SUMA </w:t>
            </w:r>
          </w:p>
        </w:tc>
      </w:tr>
      <w:tr w:rsidR="00FF384B">
        <w:trPr>
          <w:trHeight w:val="379"/>
        </w:trPr>
        <w:tc>
          <w:tcPr>
            <w:tcW w:w="115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i/>
                <w:sz w:val="16"/>
              </w:rPr>
              <w:t xml:space="preserve">1.734.644,62 € </w:t>
            </w:r>
          </w:p>
        </w:tc>
        <w:tc>
          <w:tcPr>
            <w:tcW w:w="1246"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1"/>
              <w:jc w:val="center"/>
            </w:pPr>
            <w:r>
              <w:rPr>
                <w:rFonts w:ascii="Arial" w:eastAsia="Arial" w:hAnsi="Arial" w:cs="Arial"/>
                <w:i/>
                <w:sz w:val="16"/>
              </w:rPr>
              <w:t xml:space="preserve">278.588,32 € </w:t>
            </w:r>
          </w:p>
        </w:tc>
        <w:tc>
          <w:tcPr>
            <w:tcW w:w="122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0" w:right="20"/>
              <w:jc w:val="center"/>
            </w:pPr>
            <w:r>
              <w:rPr>
                <w:rFonts w:ascii="Arial" w:eastAsia="Arial" w:hAnsi="Arial" w:cs="Arial"/>
                <w:i/>
                <w:sz w:val="16"/>
              </w:rPr>
              <w:t xml:space="preserve">114.1847,23 € </w:t>
            </w:r>
          </w:p>
        </w:tc>
        <w:tc>
          <w:tcPr>
            <w:tcW w:w="1522"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6"/>
              <w:jc w:val="center"/>
            </w:pPr>
            <w:r>
              <w:rPr>
                <w:rFonts w:ascii="Arial" w:eastAsia="Arial" w:hAnsi="Arial" w:cs="Arial"/>
                <w:i/>
                <w:sz w:val="16"/>
              </w:rPr>
              <w:t xml:space="preserve">407.112,37 € </w:t>
            </w:r>
          </w:p>
        </w:tc>
        <w:tc>
          <w:tcPr>
            <w:tcW w:w="118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1"/>
              <w:jc w:val="center"/>
            </w:pPr>
            <w:r>
              <w:rPr>
                <w:rFonts w:ascii="Arial" w:eastAsia="Arial" w:hAnsi="Arial" w:cs="Arial"/>
                <w:i/>
                <w:sz w:val="16"/>
              </w:rPr>
              <w:t xml:space="preserve">8.000,00 € </w:t>
            </w:r>
          </w:p>
        </w:tc>
        <w:tc>
          <w:tcPr>
            <w:tcW w:w="101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i/>
                <w:sz w:val="16"/>
              </w:rPr>
              <w:t xml:space="preserve">279.678,25 € </w:t>
            </w:r>
          </w:p>
        </w:tc>
        <w:tc>
          <w:tcPr>
            <w:tcW w:w="1274"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44"/>
              <w:jc w:val="center"/>
            </w:pPr>
            <w:r>
              <w:rPr>
                <w:rFonts w:ascii="Arial" w:eastAsia="Arial" w:hAnsi="Arial" w:cs="Arial"/>
                <w:i/>
                <w:sz w:val="16"/>
              </w:rPr>
              <w:t xml:space="preserve">15.000,00 € </w:t>
            </w:r>
          </w:p>
        </w:tc>
        <w:tc>
          <w:tcPr>
            <w:tcW w:w="1061"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i/>
                <w:sz w:val="16"/>
              </w:rPr>
              <w:t xml:space="preserve">-80.000,00 € </w:t>
            </w:r>
          </w:p>
        </w:tc>
        <w:tc>
          <w:tcPr>
            <w:tcW w:w="115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Arial" w:eastAsia="Arial" w:hAnsi="Arial" w:cs="Arial"/>
                <w:i/>
                <w:sz w:val="16"/>
              </w:rPr>
              <w:t xml:space="preserve">2.757.207,79 € </w:t>
            </w:r>
          </w:p>
        </w:tc>
      </w:tr>
    </w:tbl>
    <w:p w:rsidR="00FF384B" w:rsidRDefault="003E3BA9">
      <w:pPr>
        <w:spacing w:after="0"/>
      </w:pPr>
      <w:r>
        <w:rPr>
          <w:rFonts w:ascii="Arial" w:eastAsia="Arial" w:hAnsi="Arial" w:cs="Arial"/>
          <w:i/>
        </w:rPr>
        <w:t xml:space="preserve"> </w:t>
      </w:r>
    </w:p>
    <w:p w:rsidR="00FF384B" w:rsidRDefault="003E3BA9">
      <w:pPr>
        <w:spacing w:after="4" w:line="247" w:lineRule="auto"/>
        <w:ind w:left="10" w:right="718" w:hanging="10"/>
        <w:jc w:val="both"/>
      </w:pPr>
      <w:r>
        <w:rPr>
          <w:rFonts w:ascii="Arial" w:eastAsia="Arial" w:hAnsi="Arial" w:cs="Arial"/>
          <w:i/>
        </w:rPr>
        <w:t xml:space="preserve">Para el estudio del período de recuperación de la inversión del contrato se han tomado las siguientes consideraciones: </w:t>
      </w:r>
    </w:p>
    <w:p w:rsidR="00FF384B" w:rsidRDefault="003E3BA9">
      <w:pPr>
        <w:spacing w:after="0"/>
      </w:pPr>
      <w:r>
        <w:rPr>
          <w:rFonts w:ascii="Arial" w:eastAsia="Arial" w:hAnsi="Arial" w:cs="Arial"/>
          <w:i/>
        </w:rPr>
        <w:t xml:space="preserve"> </w:t>
      </w:r>
    </w:p>
    <w:p w:rsidR="00FF384B" w:rsidRDefault="003E3BA9">
      <w:pPr>
        <w:numPr>
          <w:ilvl w:val="0"/>
          <w:numId w:val="301"/>
        </w:numPr>
        <w:spacing w:after="4" w:line="247" w:lineRule="auto"/>
        <w:ind w:right="388" w:hanging="360"/>
        <w:jc w:val="both"/>
      </w:pPr>
      <w:r>
        <w:rPr>
          <w:rFonts w:ascii="Arial" w:eastAsia="Arial" w:hAnsi="Arial" w:cs="Arial"/>
          <w:i/>
        </w:rPr>
        <w:t xml:space="preserve">El estudio económico determina los ingresos/costes para el año 2021 (año 1). Para el año 2 y sucesivos, se han considerado los siguientes incrementos: </w:t>
      </w:r>
    </w:p>
    <w:p w:rsidR="00FF384B" w:rsidRDefault="003E3BA9">
      <w:pPr>
        <w:spacing w:after="0"/>
        <w:ind w:left="720"/>
      </w:pPr>
      <w:r>
        <w:rPr>
          <w:rFonts w:ascii="Arial" w:eastAsia="Arial" w:hAnsi="Arial" w:cs="Arial"/>
          <w:i/>
        </w:rPr>
        <w:t xml:space="preserve"> </w:t>
      </w:r>
    </w:p>
    <w:p w:rsidR="00FF384B" w:rsidRDefault="003E3BA9">
      <w:pPr>
        <w:numPr>
          <w:ilvl w:val="1"/>
          <w:numId w:val="301"/>
        </w:numPr>
        <w:spacing w:after="4" w:line="250" w:lineRule="auto"/>
        <w:ind w:right="649" w:hanging="360"/>
        <w:jc w:val="both"/>
      </w:pPr>
      <w:r>
        <w:rPr>
          <w:rFonts w:ascii="Arial" w:eastAsia="Arial" w:hAnsi="Arial" w:cs="Arial"/>
          <w:i/>
        </w:rPr>
        <w:t xml:space="preserve">Incremento anual de costes de personal es de 2.1% (art 34 Convenio 1.25%). </w:t>
      </w:r>
    </w:p>
    <w:p w:rsidR="00FF384B" w:rsidRDefault="003E3BA9">
      <w:pPr>
        <w:numPr>
          <w:ilvl w:val="1"/>
          <w:numId w:val="301"/>
        </w:numPr>
        <w:spacing w:after="4" w:line="247" w:lineRule="auto"/>
        <w:ind w:right="649" w:hanging="360"/>
        <w:jc w:val="both"/>
      </w:pPr>
      <w:r>
        <w:rPr>
          <w:rFonts w:ascii="Arial" w:eastAsia="Arial" w:hAnsi="Arial" w:cs="Arial"/>
          <w:i/>
        </w:rPr>
        <w:t>Incremento anual del resto</w:t>
      </w:r>
      <w:r>
        <w:rPr>
          <w:rFonts w:ascii="Arial" w:eastAsia="Arial" w:hAnsi="Arial" w:cs="Arial"/>
          <w:i/>
        </w:rPr>
        <w:t xml:space="preserve"> de costes es de 1.4%. </w:t>
      </w:r>
    </w:p>
    <w:p w:rsidR="00FF384B" w:rsidRDefault="003E3BA9">
      <w:pPr>
        <w:spacing w:after="0"/>
        <w:ind w:left="1080"/>
      </w:pPr>
      <w:r>
        <w:rPr>
          <w:rFonts w:ascii="Arial" w:eastAsia="Arial" w:hAnsi="Arial" w:cs="Arial"/>
          <w:i/>
        </w:rPr>
        <w:t xml:space="preserve"> </w:t>
      </w:r>
    </w:p>
    <w:p w:rsidR="00FF384B" w:rsidRDefault="003E3BA9">
      <w:pPr>
        <w:numPr>
          <w:ilvl w:val="0"/>
          <w:numId w:val="301"/>
        </w:numPr>
        <w:spacing w:after="4" w:line="247" w:lineRule="auto"/>
        <w:ind w:right="388" w:hanging="360"/>
        <w:jc w:val="both"/>
      </w:pPr>
      <w:r>
        <w:rPr>
          <w:rFonts w:ascii="Arial" w:eastAsia="Arial" w:hAnsi="Arial" w:cs="Arial"/>
          <w:i/>
        </w:rPr>
        <w:t xml:space="preserve">Dada una tasa de descuento del 2,30%. </w:t>
      </w:r>
    </w:p>
    <w:p w:rsidR="00FF384B" w:rsidRDefault="003E3BA9">
      <w:pPr>
        <w:spacing w:after="0"/>
        <w:ind w:left="720"/>
      </w:pPr>
      <w:r>
        <w:rPr>
          <w:rFonts w:ascii="Arial" w:eastAsia="Arial" w:hAnsi="Arial" w:cs="Arial"/>
          <w:i/>
        </w:rPr>
        <w:t xml:space="preserve"> </w:t>
      </w:r>
    </w:p>
    <w:p w:rsidR="00FF384B" w:rsidRDefault="003E3BA9">
      <w:pPr>
        <w:spacing w:after="0"/>
        <w:ind w:right="319"/>
        <w:jc w:val="right"/>
      </w:pPr>
      <w:r>
        <w:rPr>
          <w:noProof/>
        </w:rPr>
        <w:drawing>
          <wp:inline distT="0" distB="0" distL="0" distR="0">
            <wp:extent cx="5821680" cy="3169920"/>
            <wp:effectExtent l="0" t="0" r="0" b="0"/>
            <wp:docPr id="47962" name="Picture 47962"/>
            <wp:cNvGraphicFramePr/>
            <a:graphic xmlns:a="http://schemas.openxmlformats.org/drawingml/2006/main">
              <a:graphicData uri="http://schemas.openxmlformats.org/drawingml/2006/picture">
                <pic:pic xmlns:pic="http://schemas.openxmlformats.org/drawingml/2006/picture">
                  <pic:nvPicPr>
                    <pic:cNvPr id="47962" name="Picture 47962"/>
                    <pic:cNvPicPr/>
                  </pic:nvPicPr>
                  <pic:blipFill>
                    <a:blip r:embed="rId88"/>
                    <a:stretch>
                      <a:fillRect/>
                    </a:stretch>
                  </pic:blipFill>
                  <pic:spPr>
                    <a:xfrm>
                      <a:off x="0" y="0"/>
                      <a:ext cx="5821680" cy="316992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996"/>
        <w:jc w:val="center"/>
      </w:pPr>
      <w:r>
        <w:rPr>
          <w:rFonts w:ascii="Times New Roman" w:eastAsia="Times New Roman" w:hAnsi="Times New Roman" w:cs="Times New Roman"/>
          <w:i/>
          <w:sz w:val="24"/>
        </w:rPr>
        <w:t xml:space="preserve"> </w:t>
      </w:r>
    </w:p>
    <w:p w:rsidR="00FF384B" w:rsidRDefault="003E3BA9">
      <w:pPr>
        <w:spacing w:after="0"/>
      </w:pPr>
      <w:r>
        <w:rPr>
          <w:noProof/>
        </w:rPr>
        <mc:AlternateContent>
          <mc:Choice Requires="wpg">
            <w:drawing>
              <wp:anchor distT="0" distB="0" distL="114300" distR="114300" simplePos="0" relativeHeight="251923456"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20640" name="Group 52064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8040" name="Picture 48040"/>
                          <pic:cNvPicPr/>
                        </pic:nvPicPr>
                        <pic:blipFill>
                          <a:blip r:embed="rId62"/>
                          <a:stretch>
                            <a:fillRect/>
                          </a:stretch>
                        </pic:blipFill>
                        <pic:spPr>
                          <a:xfrm rot="-5399999">
                            <a:off x="-1720849" y="1720849"/>
                            <a:ext cx="3797300" cy="355601"/>
                          </a:xfrm>
                          <a:prstGeom prst="rect">
                            <a:avLst/>
                          </a:prstGeom>
                        </pic:spPr>
                      </pic:pic>
                      <wps:wsp>
                        <wps:cNvPr id="48041" name="Rectangle 4804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8042" name="Rectangle 4804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0640" style="width:41.2715pt;height:299pt;position:absolute;mso-position-horizontal-relative:page;mso-position-horizontal:absolute;margin-left:653.71pt;mso-position-vertical-relative:page;margin-top:512.92pt;" coordsize="5241,37973">
                <v:shape id="Picture 48040" style="position:absolute;width:37973;height:3556;left:-17208;top:17208;rotation:-89;" filled="f">
                  <v:imagedata r:id="rId63"/>
                </v:shape>
                <v:rect id="Rectangle 4804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804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258 de 353 </w:t>
                        </w:r>
                      </w:p>
                    </w:txbxContent>
                  </v:textbox>
                </v:rect>
                <w10:wrap type="topAndBottom"/>
              </v:group>
            </w:pict>
          </mc:Fallback>
        </mc:AlternateContent>
      </w:r>
      <w:r>
        <w:rPr>
          <w:rFonts w:ascii="Times New Roman" w:eastAsia="Times New Roman" w:hAnsi="Times New Roman" w:cs="Times New Roman"/>
          <w:i/>
          <w:sz w:val="24"/>
        </w:rPr>
        <w:t xml:space="preserve"> </w:t>
      </w:r>
    </w:p>
    <w:tbl>
      <w:tblPr>
        <w:tblStyle w:val="TableGrid"/>
        <w:tblW w:w="10322" w:type="dxa"/>
        <w:tblInd w:w="-847" w:type="dxa"/>
        <w:tblCellMar>
          <w:top w:w="22" w:type="dxa"/>
          <w:left w:w="27" w:type="dxa"/>
          <w:bottom w:w="1" w:type="dxa"/>
          <w:right w:w="40" w:type="dxa"/>
        </w:tblCellMar>
        <w:tblLook w:val="04A0" w:firstRow="1" w:lastRow="0" w:firstColumn="1" w:lastColumn="0" w:noHBand="0" w:noVBand="1"/>
      </w:tblPr>
      <w:tblGrid>
        <w:gridCol w:w="3578"/>
        <w:gridCol w:w="1124"/>
        <w:gridCol w:w="1124"/>
        <w:gridCol w:w="1124"/>
        <w:gridCol w:w="1124"/>
        <w:gridCol w:w="1124"/>
        <w:gridCol w:w="1125"/>
      </w:tblGrid>
      <w:tr w:rsidR="00FF384B">
        <w:trPr>
          <w:trHeight w:val="220"/>
        </w:trPr>
        <w:tc>
          <w:tcPr>
            <w:tcW w:w="3578" w:type="dxa"/>
            <w:tcBorders>
              <w:top w:val="single" w:sz="4" w:space="0" w:color="D4D4D4"/>
              <w:left w:val="single" w:sz="4" w:space="0" w:color="D4D4D4"/>
              <w:bottom w:val="single" w:sz="4" w:space="0" w:color="000000"/>
              <w:right w:val="single" w:sz="4" w:space="0" w:color="D4D4D4"/>
            </w:tcBorders>
          </w:tcPr>
          <w:p w:rsidR="00FF384B" w:rsidRDefault="00FF384B"/>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2"/>
              <w:jc w:val="center"/>
            </w:pPr>
            <w:r>
              <w:rPr>
                <w:rFonts w:ascii="Arial" w:eastAsia="Arial" w:hAnsi="Arial" w:cs="Arial"/>
                <w:sz w:val="18"/>
              </w:rPr>
              <w:t>ago-19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3"/>
              <w:jc w:val="center"/>
            </w:pPr>
            <w:r>
              <w:rPr>
                <w:rFonts w:ascii="Arial" w:eastAsia="Arial" w:hAnsi="Arial" w:cs="Arial"/>
                <w:sz w:val="18"/>
              </w:rPr>
              <w:t>sep-19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3"/>
              <w:jc w:val="center"/>
            </w:pPr>
            <w:r>
              <w:rPr>
                <w:rFonts w:ascii="Arial" w:eastAsia="Arial" w:hAnsi="Arial" w:cs="Arial"/>
                <w:sz w:val="18"/>
              </w:rPr>
              <w:t>oct-19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4"/>
              <w:jc w:val="center"/>
            </w:pPr>
            <w:r>
              <w:rPr>
                <w:rFonts w:ascii="Arial" w:eastAsia="Arial" w:hAnsi="Arial" w:cs="Arial"/>
                <w:sz w:val="18"/>
              </w:rPr>
              <w:t>nov-19</w:t>
            </w:r>
          </w:p>
        </w:tc>
        <w:tc>
          <w:tcPr>
            <w:tcW w:w="1124"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2"/>
              <w:jc w:val="center"/>
            </w:pPr>
            <w:r>
              <w:rPr>
                <w:rFonts w:ascii="Arial" w:eastAsia="Arial" w:hAnsi="Arial" w:cs="Arial"/>
                <w:sz w:val="18"/>
              </w:rPr>
              <w:t>dic-19</w:t>
            </w:r>
          </w:p>
        </w:tc>
        <w:tc>
          <w:tcPr>
            <w:tcW w:w="11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2"/>
              <w:jc w:val="center"/>
            </w:pPr>
            <w:r>
              <w:rPr>
                <w:rFonts w:ascii="Arial" w:eastAsia="Arial" w:hAnsi="Arial" w:cs="Arial"/>
                <w:sz w:val="18"/>
              </w:rPr>
              <w:t>ene-20</w:t>
            </w:r>
          </w:p>
        </w:tc>
      </w:tr>
      <w:tr w:rsidR="00FF384B">
        <w:trPr>
          <w:trHeight w:val="231"/>
        </w:trPr>
        <w:tc>
          <w:tcPr>
            <w:tcW w:w="3578"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3"/>
              <w:jc w:val="center"/>
            </w:pPr>
            <w:r>
              <w:rPr>
                <w:rFonts w:ascii="Arial" w:eastAsia="Arial" w:hAnsi="Arial" w:cs="Arial"/>
                <w:b/>
                <w:sz w:val="18"/>
              </w:rPr>
              <w:t>Rentabilidad obligaciones a 10 años.</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0,14</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4"/>
              <w:jc w:val="center"/>
            </w:pPr>
            <w:r>
              <w:rPr>
                <w:rFonts w:ascii="Arial" w:eastAsia="Arial" w:hAnsi="Arial" w:cs="Arial"/>
                <w:sz w:val="18"/>
              </w:rPr>
              <w:t>0,18</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0,20</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0,39</w:t>
            </w:r>
          </w:p>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3"/>
              <w:jc w:val="center"/>
            </w:pPr>
            <w:r>
              <w:rPr>
                <w:rFonts w:ascii="Arial" w:eastAsia="Arial" w:hAnsi="Arial" w:cs="Arial"/>
                <w:sz w:val="18"/>
              </w:rPr>
              <w:t>0,44</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2"/>
              <w:jc w:val="center"/>
            </w:pPr>
            <w:r>
              <w:rPr>
                <w:rFonts w:ascii="Arial" w:eastAsia="Arial" w:hAnsi="Arial" w:cs="Arial"/>
                <w:sz w:val="18"/>
              </w:rPr>
              <w:t>0,42</w:t>
            </w:r>
          </w:p>
        </w:tc>
      </w:tr>
      <w:tr w:rsidR="00FF384B">
        <w:trPr>
          <w:trHeight w:val="220"/>
        </w:trPr>
        <w:tc>
          <w:tcPr>
            <w:tcW w:w="5826" w:type="dxa"/>
            <w:gridSpan w:val="3"/>
            <w:vMerge w:val="restart"/>
            <w:tcBorders>
              <w:top w:val="single" w:sz="4" w:space="0" w:color="000000"/>
              <w:left w:val="single" w:sz="4" w:space="0" w:color="D4D4D4"/>
              <w:bottom w:val="single" w:sz="4" w:space="0" w:color="D4D4D4"/>
              <w:right w:val="single" w:sz="4" w:space="0" w:color="000000"/>
            </w:tcBorders>
            <w:vAlign w:val="bottom"/>
          </w:tcPr>
          <w:p w:rsidR="00FF384B" w:rsidRDefault="003E3BA9">
            <w:pPr>
              <w:spacing w:after="0"/>
            </w:pPr>
            <w:r>
              <w:rPr>
                <w:rFonts w:ascii="Arial" w:eastAsia="Arial" w:hAnsi="Arial" w:cs="Arial"/>
                <w:color w:val="808080"/>
                <w:sz w:val="14"/>
              </w:rPr>
              <w:t>Fuente: BANCO DE ESPAÑA/ SÍNTESIS DE INDICADORES 02/03/2020</w:t>
            </w:r>
          </w:p>
        </w:tc>
        <w:tc>
          <w:tcPr>
            <w:tcW w:w="1124" w:type="dxa"/>
            <w:tcBorders>
              <w:top w:val="single" w:sz="4" w:space="0" w:color="000000"/>
              <w:left w:val="single" w:sz="4" w:space="0" w:color="D4D4D4"/>
              <w:bottom w:val="single" w:sz="4" w:space="0" w:color="000000"/>
              <w:right w:val="single" w:sz="4" w:space="0" w:color="D4D4D4"/>
            </w:tcBorders>
          </w:tcPr>
          <w:p w:rsidR="00FF384B" w:rsidRDefault="00FF384B"/>
        </w:tc>
        <w:tc>
          <w:tcPr>
            <w:tcW w:w="1124" w:type="dxa"/>
            <w:tcBorders>
              <w:top w:val="single" w:sz="4" w:space="0" w:color="000000"/>
              <w:left w:val="single" w:sz="4" w:space="0" w:color="D4D4D4"/>
              <w:bottom w:val="single" w:sz="4" w:space="0" w:color="000000"/>
              <w:right w:val="single" w:sz="4" w:space="0" w:color="000000"/>
            </w:tcBorders>
          </w:tcPr>
          <w:p w:rsidR="00FF384B" w:rsidRDefault="00FF384B"/>
        </w:tc>
        <w:tc>
          <w:tcPr>
            <w:tcW w:w="1124"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
            </w:pPr>
            <w:r>
              <w:rPr>
                <w:rFonts w:ascii="Arial" w:eastAsia="Arial" w:hAnsi="Arial" w:cs="Arial"/>
                <w:sz w:val="18"/>
              </w:rPr>
              <w:t>Media</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sz w:val="18"/>
              </w:rPr>
              <w:t>0,30</w:t>
            </w:r>
          </w:p>
        </w:tc>
      </w:tr>
      <w:tr w:rsidR="00FF384B">
        <w:trPr>
          <w:trHeight w:val="231"/>
        </w:trPr>
        <w:tc>
          <w:tcPr>
            <w:tcW w:w="0" w:type="auto"/>
            <w:gridSpan w:val="3"/>
            <w:vMerge/>
            <w:tcBorders>
              <w:top w:val="nil"/>
              <w:left w:val="single" w:sz="4" w:space="0" w:color="D4D4D4"/>
              <w:bottom w:val="single" w:sz="4" w:space="0" w:color="D4D4D4"/>
              <w:right w:val="single" w:sz="4" w:space="0" w:color="000000"/>
            </w:tcBorders>
          </w:tcPr>
          <w:p w:rsidR="00FF384B" w:rsidRDefault="00FF384B"/>
        </w:tc>
        <w:tc>
          <w:tcPr>
            <w:tcW w:w="3371" w:type="dxa"/>
            <w:gridSpan w:val="3"/>
            <w:tcBorders>
              <w:top w:val="single" w:sz="4" w:space="0" w:color="000000"/>
              <w:left w:val="single" w:sz="4" w:space="0" w:color="000000"/>
              <w:bottom w:val="single" w:sz="4" w:space="0" w:color="000000"/>
              <w:right w:val="single" w:sz="4" w:space="0" w:color="000000"/>
            </w:tcBorders>
          </w:tcPr>
          <w:p w:rsidR="00FF384B" w:rsidRDefault="003E3BA9">
            <w:pPr>
              <w:spacing w:after="0"/>
              <w:ind w:left="11"/>
            </w:pPr>
            <w:r>
              <w:rPr>
                <w:rFonts w:ascii="Arial" w:eastAsia="Arial" w:hAnsi="Arial" w:cs="Arial"/>
                <w:b/>
                <w:sz w:val="18"/>
              </w:rPr>
              <w:t>Tasa de descuento: Media+200 (b)</w:t>
            </w:r>
          </w:p>
        </w:tc>
        <w:tc>
          <w:tcPr>
            <w:tcW w:w="1125"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b/>
                <w:sz w:val="18"/>
              </w:rPr>
              <w:t>2,30</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El periodo de recuperación de las inversiones se calcula en base de la normativa de aplicación en el siguiente cuadro:</w:t>
      </w:r>
    </w:p>
    <w:p w:rsidR="00FF384B" w:rsidRDefault="00FF384B">
      <w:pPr>
        <w:sectPr w:rsidR="00FF384B">
          <w:headerReference w:type="even" r:id="rId113"/>
          <w:headerReference w:type="default" r:id="rId114"/>
          <w:footerReference w:type="even" r:id="rId115"/>
          <w:footerReference w:type="default" r:id="rId116"/>
          <w:headerReference w:type="first" r:id="rId117"/>
          <w:footerReference w:type="first" r:id="rId118"/>
          <w:pgSz w:w="14174" w:h="16838"/>
          <w:pgMar w:top="1997" w:right="1780" w:bottom="1442" w:left="2836" w:header="708" w:footer="687" w:gutter="0"/>
          <w:cols w:space="720"/>
        </w:sectPr>
      </w:pPr>
    </w:p>
    <w:p w:rsidR="00FF384B" w:rsidRDefault="003E3BA9">
      <w:pPr>
        <w:spacing w:after="5917"/>
      </w:pPr>
      <w:r>
        <w:rPr>
          <w:noProof/>
        </w:rPr>
        <w:drawing>
          <wp:inline distT="0" distB="0" distL="0" distR="0">
            <wp:extent cx="609600" cy="701040"/>
            <wp:effectExtent l="0" t="0" r="0" b="0"/>
            <wp:docPr id="48075" name="Picture 48075"/>
            <wp:cNvGraphicFramePr/>
            <a:graphic xmlns:a="http://schemas.openxmlformats.org/drawingml/2006/main">
              <a:graphicData uri="http://schemas.openxmlformats.org/drawingml/2006/picture">
                <pic:pic xmlns:pic="http://schemas.openxmlformats.org/drawingml/2006/picture">
                  <pic:nvPicPr>
                    <pic:cNvPr id="48075" name="Picture 48075"/>
                    <pic:cNvPicPr/>
                  </pic:nvPicPr>
                  <pic:blipFill>
                    <a:blip r:embed="rId78"/>
                    <a:stretch>
                      <a:fillRect/>
                    </a:stretch>
                  </pic:blipFill>
                  <pic:spPr>
                    <a:xfrm>
                      <a:off x="0" y="0"/>
                      <a:ext cx="609600" cy="701040"/>
                    </a:xfrm>
                    <a:prstGeom prst="rect">
                      <a:avLst/>
                    </a:prstGeom>
                  </pic:spPr>
                </pic:pic>
              </a:graphicData>
            </a:graphic>
          </wp:inline>
        </w:drawing>
      </w:r>
      <w:r>
        <w:rPr>
          <w:rFonts w:ascii="Times New Roman" w:eastAsia="Times New Roman" w:hAnsi="Times New Roman" w:cs="Times New Roman"/>
          <w:sz w:val="24"/>
        </w:rPr>
        <w:t xml:space="preserve">  </w:t>
      </w:r>
    </w:p>
    <w:p w:rsidR="00FF384B" w:rsidRDefault="003E3BA9">
      <w:pPr>
        <w:spacing w:after="0"/>
        <w:ind w:right="3582"/>
      </w:pPr>
      <w:r>
        <w:rPr>
          <w:rFonts w:ascii="Times New Roman" w:eastAsia="Times New Roman" w:hAnsi="Times New Roman" w:cs="Times New Roman"/>
          <w:i/>
          <w:sz w:val="24"/>
        </w:rPr>
        <w:t xml:space="preserve"> </w:t>
      </w:r>
    </w:p>
    <w:p w:rsidR="00FF384B" w:rsidRDefault="003E3BA9">
      <w:pPr>
        <w:spacing w:after="0"/>
        <w:ind w:right="3582"/>
      </w:pPr>
      <w:r>
        <w:rPr>
          <w:rFonts w:ascii="Times New Roman" w:eastAsia="Times New Roman" w:hAnsi="Times New Roman" w:cs="Times New Roman"/>
          <w:i/>
          <w:sz w:val="24"/>
        </w:rPr>
        <w:t xml:space="preserve"> </w:t>
      </w:r>
    </w:p>
    <w:tbl>
      <w:tblPr>
        <w:tblStyle w:val="TableGrid"/>
        <w:tblpPr w:vertAnchor="text" w:tblpX="-280" w:tblpY="-6551"/>
        <w:tblOverlap w:val="never"/>
        <w:tblW w:w="15132" w:type="dxa"/>
        <w:tblInd w:w="0" w:type="dxa"/>
        <w:tblCellMar>
          <w:top w:w="9" w:type="dxa"/>
          <w:left w:w="22" w:type="dxa"/>
          <w:bottom w:w="0" w:type="dxa"/>
          <w:right w:w="23" w:type="dxa"/>
        </w:tblCellMar>
        <w:tblLook w:val="04A0" w:firstRow="1" w:lastRow="0" w:firstColumn="1" w:lastColumn="0" w:noHBand="0" w:noVBand="1"/>
      </w:tblPr>
      <w:tblGrid>
        <w:gridCol w:w="3564"/>
        <w:gridCol w:w="1435"/>
        <w:gridCol w:w="1783"/>
        <w:gridCol w:w="1330"/>
        <w:gridCol w:w="1170"/>
        <w:gridCol w:w="1170"/>
        <w:gridCol w:w="1170"/>
        <w:gridCol w:w="1170"/>
        <w:gridCol w:w="1171"/>
        <w:gridCol w:w="1170"/>
      </w:tblGrid>
      <w:tr w:rsidR="00FF384B">
        <w:trPr>
          <w:trHeight w:val="198"/>
        </w:trPr>
        <w:tc>
          <w:tcPr>
            <w:tcW w:w="3564" w:type="dxa"/>
            <w:tcBorders>
              <w:top w:val="single" w:sz="4" w:space="0" w:color="D4D4D4"/>
              <w:left w:val="single" w:sz="4" w:space="0" w:color="D4D4D4"/>
              <w:bottom w:val="single" w:sz="4" w:space="0" w:color="D4D4D4"/>
              <w:right w:val="nil"/>
            </w:tcBorders>
          </w:tcPr>
          <w:p w:rsidR="00FF384B" w:rsidRDefault="00FF384B"/>
        </w:tc>
        <w:tc>
          <w:tcPr>
            <w:tcW w:w="11568" w:type="dxa"/>
            <w:gridSpan w:val="9"/>
            <w:tcBorders>
              <w:top w:val="single" w:sz="4" w:space="0" w:color="D4D4D4"/>
              <w:left w:val="nil"/>
              <w:bottom w:val="single" w:sz="4" w:space="0" w:color="D4D4D4"/>
              <w:right w:val="single" w:sz="4" w:space="0" w:color="D4D4D4"/>
            </w:tcBorders>
          </w:tcPr>
          <w:p w:rsidR="00FF384B" w:rsidRDefault="003E3BA9">
            <w:pPr>
              <w:spacing w:after="0"/>
              <w:ind w:left="1983"/>
            </w:pPr>
            <w:r>
              <w:rPr>
                <w:rFonts w:ascii="Arial" w:eastAsia="Arial" w:hAnsi="Arial" w:cs="Arial"/>
                <w:b/>
                <w:sz w:val="15"/>
              </w:rPr>
              <w:t>PERIODO DE RECUPERACIÓN DE LA INVERSIÓN (PRI)</w:t>
            </w:r>
          </w:p>
        </w:tc>
      </w:tr>
      <w:tr w:rsidR="00FF384B">
        <w:trPr>
          <w:trHeight w:val="189"/>
        </w:trPr>
        <w:tc>
          <w:tcPr>
            <w:tcW w:w="3564" w:type="dxa"/>
            <w:tcBorders>
              <w:top w:val="single" w:sz="4" w:space="0" w:color="D4D4D4"/>
              <w:left w:val="single" w:sz="4" w:space="0" w:color="D4D4D4"/>
              <w:bottom w:val="single" w:sz="4" w:space="0" w:color="D4D4D4"/>
              <w:right w:val="single" w:sz="4" w:space="0" w:color="D4D4D4"/>
            </w:tcBorders>
          </w:tcPr>
          <w:p w:rsidR="00FF384B" w:rsidRDefault="00FF384B"/>
        </w:tc>
        <w:tc>
          <w:tcPr>
            <w:tcW w:w="1435" w:type="dxa"/>
            <w:tcBorders>
              <w:top w:val="single" w:sz="4" w:space="0" w:color="D4D4D4"/>
              <w:left w:val="single" w:sz="4" w:space="0" w:color="D4D4D4"/>
              <w:bottom w:val="single" w:sz="4" w:space="0" w:color="D4D4D4"/>
              <w:right w:val="single" w:sz="4" w:space="0" w:color="D4D4D4"/>
            </w:tcBorders>
          </w:tcPr>
          <w:p w:rsidR="00FF384B" w:rsidRDefault="00FF384B"/>
        </w:tc>
        <w:tc>
          <w:tcPr>
            <w:tcW w:w="1783" w:type="dxa"/>
            <w:tcBorders>
              <w:top w:val="single" w:sz="4" w:space="0" w:color="D4D4D4"/>
              <w:left w:val="single" w:sz="4" w:space="0" w:color="D4D4D4"/>
              <w:bottom w:val="single" w:sz="4" w:space="0" w:color="D4D4D4"/>
              <w:right w:val="single" w:sz="4" w:space="0" w:color="D4D4D4"/>
            </w:tcBorders>
          </w:tcPr>
          <w:p w:rsidR="00FF384B" w:rsidRDefault="00FF384B"/>
        </w:tc>
        <w:tc>
          <w:tcPr>
            <w:tcW w:w="133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c>
          <w:tcPr>
            <w:tcW w:w="1171" w:type="dxa"/>
            <w:tcBorders>
              <w:top w:val="single" w:sz="4" w:space="0" w:color="D4D4D4"/>
              <w:left w:val="single" w:sz="4" w:space="0" w:color="D4D4D4"/>
              <w:bottom w:val="single" w:sz="4" w:space="0" w:color="D4D4D4"/>
              <w:right w:val="single" w:sz="4" w:space="0" w:color="D4D4D4"/>
            </w:tcBorders>
          </w:tcPr>
          <w:p w:rsidR="00FF384B" w:rsidRDefault="00FF384B"/>
        </w:tc>
        <w:tc>
          <w:tcPr>
            <w:tcW w:w="1170" w:type="dxa"/>
            <w:tcBorders>
              <w:top w:val="single" w:sz="4" w:space="0" w:color="D4D4D4"/>
              <w:left w:val="single" w:sz="4" w:space="0" w:color="D4D4D4"/>
              <w:bottom w:val="single" w:sz="4" w:space="0" w:color="D4D4D4"/>
              <w:right w:val="single" w:sz="4" w:space="0" w:color="D4D4D4"/>
            </w:tcBorders>
          </w:tcPr>
          <w:p w:rsidR="00FF384B" w:rsidRDefault="00FF384B"/>
        </w:tc>
      </w:tr>
      <w:tr w:rsidR="00FF384B">
        <w:trPr>
          <w:trHeight w:val="197"/>
        </w:trPr>
        <w:tc>
          <w:tcPr>
            <w:tcW w:w="3564" w:type="dxa"/>
            <w:tcBorders>
              <w:top w:val="single" w:sz="4" w:space="0" w:color="D4D4D4"/>
              <w:left w:val="single" w:sz="4" w:space="0" w:color="D4D4D4"/>
              <w:bottom w:val="single" w:sz="4" w:space="0" w:color="000000"/>
              <w:right w:val="nil"/>
            </w:tcBorders>
          </w:tcPr>
          <w:p w:rsidR="00FF384B" w:rsidRDefault="00FF384B"/>
        </w:tc>
        <w:tc>
          <w:tcPr>
            <w:tcW w:w="11568" w:type="dxa"/>
            <w:gridSpan w:val="9"/>
            <w:tcBorders>
              <w:top w:val="single" w:sz="4" w:space="0" w:color="D4D4D4"/>
              <w:left w:val="nil"/>
              <w:bottom w:val="single" w:sz="4" w:space="0" w:color="000000"/>
              <w:right w:val="single" w:sz="4" w:space="0" w:color="D4D4D4"/>
            </w:tcBorders>
          </w:tcPr>
          <w:p w:rsidR="00FF384B" w:rsidRDefault="003E3BA9">
            <w:pPr>
              <w:spacing w:after="0"/>
              <w:ind w:right="14"/>
              <w:jc w:val="right"/>
            </w:pPr>
            <w:r>
              <w:rPr>
                <w:rFonts w:ascii="Arial" w:eastAsia="Arial" w:hAnsi="Arial" w:cs="Arial"/>
                <w:sz w:val="15"/>
              </w:rPr>
              <w:t>EN Miles de €</w:t>
            </w:r>
          </w:p>
        </w:tc>
      </w:tr>
      <w:tr w:rsidR="00FF384B">
        <w:trPr>
          <w:trHeight w:val="200"/>
        </w:trPr>
        <w:tc>
          <w:tcPr>
            <w:tcW w:w="3564" w:type="dxa"/>
            <w:vMerge w:val="restart"/>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6"/>
              <w:jc w:val="center"/>
            </w:pPr>
            <w:r>
              <w:rPr>
                <w:rFonts w:ascii="Arial" w:eastAsia="Arial" w:hAnsi="Arial" w:cs="Arial"/>
                <w:b/>
                <w:sz w:val="18"/>
              </w:rPr>
              <w:t>CONCEPTO</w:t>
            </w:r>
          </w:p>
        </w:tc>
        <w:tc>
          <w:tcPr>
            <w:tcW w:w="11568" w:type="dxa"/>
            <w:gridSpan w:val="9"/>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8"/>
              <w:jc w:val="center"/>
            </w:pPr>
            <w:r>
              <w:rPr>
                <w:rFonts w:ascii="Arial" w:eastAsia="Arial" w:hAnsi="Arial" w:cs="Arial"/>
                <w:b/>
                <w:color w:val="FFFFFF"/>
                <w:sz w:val="15"/>
              </w:rPr>
              <w:t>Años</w:t>
            </w:r>
          </w:p>
        </w:tc>
      </w:tr>
      <w:tr w:rsidR="00FF384B">
        <w:trPr>
          <w:trHeight w:val="200"/>
        </w:trPr>
        <w:tc>
          <w:tcPr>
            <w:tcW w:w="0" w:type="auto"/>
            <w:vMerge/>
            <w:tcBorders>
              <w:top w:val="nil"/>
              <w:left w:val="single" w:sz="4" w:space="0" w:color="000000"/>
              <w:bottom w:val="nil"/>
              <w:right w:val="single" w:sz="4" w:space="0" w:color="000000"/>
            </w:tcBorders>
          </w:tcPr>
          <w:p w:rsidR="00FF384B" w:rsidRDefault="00FF384B"/>
        </w:tc>
        <w:tc>
          <w:tcPr>
            <w:tcW w:w="1435"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10"/>
              <w:jc w:val="center"/>
            </w:pPr>
            <w:r>
              <w:rPr>
                <w:rFonts w:ascii="Arial" w:eastAsia="Arial" w:hAnsi="Arial" w:cs="Arial"/>
                <w:b/>
                <w:color w:val="FFFFFF"/>
                <w:sz w:val="15"/>
              </w:rPr>
              <w:t>2021</w:t>
            </w:r>
          </w:p>
        </w:tc>
        <w:tc>
          <w:tcPr>
            <w:tcW w:w="1783"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right="1"/>
              <w:jc w:val="center"/>
            </w:pPr>
            <w:r>
              <w:rPr>
                <w:rFonts w:ascii="Arial" w:eastAsia="Arial" w:hAnsi="Arial" w:cs="Arial"/>
                <w:b/>
                <w:color w:val="FFFFFF"/>
                <w:sz w:val="15"/>
              </w:rPr>
              <w:t>2022</w:t>
            </w:r>
          </w:p>
        </w:tc>
        <w:tc>
          <w:tcPr>
            <w:tcW w:w="133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right="1"/>
              <w:jc w:val="center"/>
            </w:pPr>
            <w:r>
              <w:rPr>
                <w:rFonts w:ascii="Arial" w:eastAsia="Arial" w:hAnsi="Arial" w:cs="Arial"/>
                <w:b/>
                <w:color w:val="FFFFFF"/>
                <w:sz w:val="15"/>
              </w:rPr>
              <w:t>2023</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2024</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2025</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2026</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9"/>
              <w:jc w:val="center"/>
            </w:pPr>
            <w:r>
              <w:rPr>
                <w:rFonts w:ascii="Arial" w:eastAsia="Arial" w:hAnsi="Arial" w:cs="Arial"/>
                <w:b/>
                <w:color w:val="FFFFFF"/>
                <w:sz w:val="15"/>
              </w:rPr>
              <w:t>2027</w:t>
            </w:r>
          </w:p>
        </w:tc>
        <w:tc>
          <w:tcPr>
            <w:tcW w:w="1171"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8"/>
              <w:jc w:val="center"/>
            </w:pPr>
            <w:r>
              <w:rPr>
                <w:rFonts w:ascii="Arial" w:eastAsia="Arial" w:hAnsi="Arial" w:cs="Arial"/>
                <w:b/>
                <w:color w:val="FFFFFF"/>
                <w:sz w:val="15"/>
              </w:rPr>
              <w:t>2028</w:t>
            </w:r>
          </w:p>
        </w:tc>
        <w:tc>
          <w:tcPr>
            <w:tcW w:w="1170" w:type="dxa"/>
            <w:tcBorders>
              <w:top w:val="single" w:sz="4" w:space="0" w:color="000000"/>
              <w:left w:val="single" w:sz="4" w:space="0" w:color="000000"/>
              <w:bottom w:val="single" w:sz="4" w:space="0" w:color="000000"/>
              <w:right w:val="single" w:sz="4" w:space="0" w:color="000000"/>
            </w:tcBorders>
            <w:shd w:val="clear" w:color="auto" w:fill="948A54"/>
          </w:tcPr>
          <w:p w:rsidR="00FF384B" w:rsidRDefault="003E3BA9">
            <w:pPr>
              <w:spacing w:after="0"/>
              <w:ind w:left="6"/>
              <w:jc w:val="center"/>
            </w:pPr>
            <w:r>
              <w:rPr>
                <w:rFonts w:ascii="Arial" w:eastAsia="Arial" w:hAnsi="Arial" w:cs="Arial"/>
                <w:b/>
                <w:color w:val="FFFFFF"/>
                <w:sz w:val="15"/>
              </w:rPr>
              <w:t>2029</w:t>
            </w:r>
          </w:p>
        </w:tc>
      </w:tr>
      <w:tr w:rsidR="00FF384B">
        <w:trPr>
          <w:trHeight w:val="187"/>
        </w:trPr>
        <w:tc>
          <w:tcPr>
            <w:tcW w:w="0" w:type="auto"/>
            <w:vMerge/>
            <w:tcBorders>
              <w:top w:val="nil"/>
              <w:left w:val="single" w:sz="4" w:space="0" w:color="000000"/>
              <w:bottom w:val="single" w:sz="4" w:space="0" w:color="000000"/>
              <w:right w:val="single" w:sz="4" w:space="0" w:color="000000"/>
            </w:tcBorders>
          </w:tcPr>
          <w:p w:rsidR="00FF384B" w:rsidRDefault="00FF384B"/>
        </w:tc>
        <w:tc>
          <w:tcPr>
            <w:tcW w:w="143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2"/>
              <w:jc w:val="center"/>
            </w:pPr>
            <w:r>
              <w:rPr>
                <w:rFonts w:ascii="Arial" w:eastAsia="Arial" w:hAnsi="Arial" w:cs="Arial"/>
                <w:sz w:val="11"/>
              </w:rPr>
              <w:t>0</w:t>
            </w:r>
          </w:p>
        </w:tc>
        <w:tc>
          <w:tcPr>
            <w:tcW w:w="178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
              <w:jc w:val="center"/>
            </w:pPr>
            <w:r>
              <w:rPr>
                <w:rFonts w:ascii="Arial" w:eastAsia="Arial" w:hAnsi="Arial" w:cs="Arial"/>
                <w:sz w:val="11"/>
              </w:rPr>
              <w:t>1</w:t>
            </w:r>
          </w:p>
        </w:tc>
        <w:tc>
          <w:tcPr>
            <w:tcW w:w="133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6"/>
              <w:jc w:val="center"/>
            </w:pPr>
            <w:r>
              <w:rPr>
                <w:rFonts w:ascii="Arial" w:eastAsia="Arial" w:hAnsi="Arial" w:cs="Arial"/>
                <w:sz w:val="11"/>
              </w:rPr>
              <w:t>2</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3</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4</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5</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
              <w:jc w:val="center"/>
            </w:pPr>
            <w:r>
              <w:rPr>
                <w:rFonts w:ascii="Arial" w:eastAsia="Arial" w:hAnsi="Arial" w:cs="Arial"/>
                <w:sz w:val="11"/>
              </w:rPr>
              <w:t>6</w:t>
            </w:r>
          </w:p>
        </w:tc>
        <w:tc>
          <w:tcPr>
            <w:tcW w:w="1171"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4"/>
              <w:jc w:val="center"/>
            </w:pPr>
            <w:r>
              <w:rPr>
                <w:rFonts w:ascii="Arial" w:eastAsia="Arial" w:hAnsi="Arial" w:cs="Arial"/>
                <w:sz w:val="11"/>
              </w:rPr>
              <w:t>7</w:t>
            </w:r>
          </w:p>
        </w:tc>
        <w:tc>
          <w:tcPr>
            <w:tcW w:w="11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5"/>
              <w:jc w:val="center"/>
            </w:pPr>
            <w:r>
              <w:rPr>
                <w:rFonts w:ascii="Arial" w:eastAsia="Arial" w:hAnsi="Arial" w:cs="Arial"/>
                <w:sz w:val="11"/>
              </w:rPr>
              <w:t>8</w:t>
            </w:r>
          </w:p>
        </w:tc>
      </w:tr>
      <w:tr w:rsidR="00FF384B">
        <w:trPr>
          <w:trHeight w:val="204"/>
        </w:trPr>
        <w:tc>
          <w:tcPr>
            <w:tcW w:w="3564" w:type="dxa"/>
            <w:tcBorders>
              <w:top w:val="single" w:sz="4" w:space="0" w:color="000000"/>
              <w:left w:val="single" w:sz="4" w:space="0" w:color="000000"/>
              <w:bottom w:val="nil"/>
              <w:right w:val="single" w:sz="4" w:space="0" w:color="000000"/>
            </w:tcBorders>
            <w:shd w:val="clear" w:color="auto" w:fill="C4BD97"/>
          </w:tcPr>
          <w:p w:rsidR="00FF384B" w:rsidRDefault="003E3BA9">
            <w:pPr>
              <w:spacing w:after="0"/>
              <w:ind w:left="9"/>
            </w:pPr>
            <w:r>
              <w:rPr>
                <w:rFonts w:ascii="Arial" w:eastAsia="Arial" w:hAnsi="Arial" w:cs="Arial"/>
                <w:b/>
                <w:sz w:val="15"/>
              </w:rPr>
              <w:t>INGRESOS ANUALES ESTIMADOS</w:t>
            </w:r>
          </w:p>
        </w:tc>
        <w:tc>
          <w:tcPr>
            <w:tcW w:w="1435"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783"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33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1" w:type="dxa"/>
            <w:tcBorders>
              <w:top w:val="single" w:sz="4" w:space="0" w:color="000000"/>
              <w:left w:val="single" w:sz="4" w:space="0" w:color="000000"/>
              <w:bottom w:val="nil"/>
              <w:right w:val="single" w:sz="4" w:space="0" w:color="000000"/>
            </w:tcBorders>
            <w:shd w:val="clear" w:color="auto" w:fill="C4BD97"/>
          </w:tcPr>
          <w:p w:rsidR="00FF384B" w:rsidRDefault="00FF384B"/>
        </w:tc>
        <w:tc>
          <w:tcPr>
            <w:tcW w:w="1170" w:type="dxa"/>
            <w:tcBorders>
              <w:top w:val="single" w:sz="4" w:space="0" w:color="000000"/>
              <w:left w:val="single" w:sz="4" w:space="0" w:color="000000"/>
              <w:bottom w:val="nil"/>
              <w:right w:val="single" w:sz="4" w:space="0" w:color="000000"/>
            </w:tcBorders>
            <w:shd w:val="clear" w:color="auto" w:fill="C4BD97"/>
          </w:tcPr>
          <w:p w:rsidR="00FF384B" w:rsidRDefault="00FF384B"/>
        </w:tc>
      </w:tr>
      <w:tr w:rsidR="00FF384B">
        <w:trPr>
          <w:trHeight w:val="184"/>
        </w:trPr>
        <w:tc>
          <w:tcPr>
            <w:tcW w:w="3564" w:type="dxa"/>
            <w:tcBorders>
              <w:top w:val="nil"/>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Contrato Ayto</w:t>
            </w:r>
          </w:p>
        </w:tc>
        <w:tc>
          <w:tcPr>
            <w:tcW w:w="1435" w:type="dxa"/>
            <w:tcBorders>
              <w:top w:val="nil"/>
              <w:left w:val="single" w:sz="4" w:space="0" w:color="000000"/>
              <w:bottom w:val="single" w:sz="4" w:space="0" w:color="D4D4D4"/>
              <w:right w:val="single" w:sz="4" w:space="0" w:color="000000"/>
            </w:tcBorders>
          </w:tcPr>
          <w:p w:rsidR="00FF384B" w:rsidRDefault="00FF384B"/>
        </w:tc>
        <w:tc>
          <w:tcPr>
            <w:tcW w:w="1783"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33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1" w:type="dxa"/>
            <w:tcBorders>
              <w:top w:val="nil"/>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2.757.207,79 €</w:t>
            </w:r>
          </w:p>
        </w:tc>
        <w:tc>
          <w:tcPr>
            <w:tcW w:w="1170" w:type="dxa"/>
            <w:tcBorders>
              <w:top w:val="nil"/>
              <w:left w:val="single" w:sz="4" w:space="0" w:color="000000"/>
              <w:bottom w:val="single" w:sz="4" w:space="0" w:color="D4D4D4"/>
              <w:right w:val="single" w:sz="4" w:space="0" w:color="000000"/>
            </w:tcBorders>
          </w:tcPr>
          <w:p w:rsidR="00FF384B" w:rsidRDefault="003E3BA9">
            <w:pPr>
              <w:spacing w:after="0"/>
              <w:ind w:left="57"/>
            </w:pPr>
            <w:r>
              <w:rPr>
                <w:rFonts w:ascii="Arial" w:eastAsia="Arial" w:hAnsi="Arial" w:cs="Arial"/>
                <w:sz w:val="14"/>
              </w:rPr>
              <w:t xml:space="preserve">    2.757.207,79 €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Venta Selectiva</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8"/>
            </w:pPr>
            <w:r>
              <w:rPr>
                <w:rFonts w:ascii="Arial" w:eastAsia="Arial" w:hAnsi="Arial" w:cs="Arial"/>
                <w:sz w:val="14"/>
              </w:rPr>
              <w:t xml:space="preserve">         80.000,00 €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57"/>
            </w:pPr>
            <w:r>
              <w:rPr>
                <w:rFonts w:ascii="Arial" w:eastAsia="Arial" w:hAnsi="Arial" w:cs="Arial"/>
                <w:sz w:val="14"/>
              </w:rPr>
              <w:t xml:space="preserve">         80.000,00 €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FF384B"/>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FF384B"/>
        </w:tc>
        <w:tc>
          <w:tcPr>
            <w:tcW w:w="133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1"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FF384B"/>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FF384B"/>
        </w:tc>
        <w:tc>
          <w:tcPr>
            <w:tcW w:w="133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c>
          <w:tcPr>
            <w:tcW w:w="1171" w:type="dxa"/>
            <w:tcBorders>
              <w:top w:val="single" w:sz="4" w:space="0" w:color="D4D4D4"/>
              <w:left w:val="single" w:sz="4" w:space="0" w:color="000000"/>
              <w:bottom w:val="single" w:sz="4" w:space="0" w:color="D4D4D4"/>
              <w:right w:val="single" w:sz="4" w:space="0" w:color="000000"/>
            </w:tcBorders>
          </w:tcPr>
          <w:p w:rsidR="00FF384B" w:rsidRDefault="00FF384B"/>
        </w:tc>
        <w:tc>
          <w:tcPr>
            <w:tcW w:w="1170" w:type="dxa"/>
            <w:tcBorders>
              <w:top w:val="single" w:sz="4" w:space="0" w:color="D4D4D4"/>
              <w:left w:val="single" w:sz="4" w:space="0" w:color="000000"/>
              <w:bottom w:val="single" w:sz="4" w:space="0" w:color="D4D4D4"/>
              <w:right w:val="single" w:sz="4" w:space="0" w:color="000000"/>
            </w:tcBorders>
          </w:tcPr>
          <w:p w:rsidR="00FF384B" w:rsidRDefault="00FF384B"/>
        </w:tc>
      </w:tr>
      <w:tr w:rsidR="00FF384B">
        <w:trPr>
          <w:trHeight w:val="184"/>
        </w:trPr>
        <w:tc>
          <w:tcPr>
            <w:tcW w:w="3564" w:type="dxa"/>
            <w:tcBorders>
              <w:top w:val="single" w:sz="4" w:space="0" w:color="D4D4D4"/>
              <w:left w:val="single" w:sz="4" w:space="0" w:color="000000"/>
              <w:bottom w:val="nil"/>
              <w:right w:val="single" w:sz="4" w:space="0" w:color="000000"/>
            </w:tcBorders>
          </w:tcPr>
          <w:p w:rsidR="00FF384B" w:rsidRDefault="00FF384B"/>
        </w:tc>
        <w:tc>
          <w:tcPr>
            <w:tcW w:w="1435" w:type="dxa"/>
            <w:tcBorders>
              <w:top w:val="single" w:sz="4" w:space="0" w:color="D4D4D4"/>
              <w:left w:val="single" w:sz="4" w:space="0" w:color="000000"/>
              <w:bottom w:val="nil"/>
              <w:right w:val="single" w:sz="4" w:space="0" w:color="000000"/>
            </w:tcBorders>
          </w:tcPr>
          <w:p w:rsidR="00FF384B" w:rsidRDefault="00FF384B"/>
        </w:tc>
        <w:tc>
          <w:tcPr>
            <w:tcW w:w="1783" w:type="dxa"/>
            <w:tcBorders>
              <w:top w:val="single" w:sz="4" w:space="0" w:color="D4D4D4"/>
              <w:left w:val="single" w:sz="4" w:space="0" w:color="000000"/>
              <w:bottom w:val="nil"/>
              <w:right w:val="single" w:sz="4" w:space="0" w:color="000000"/>
            </w:tcBorders>
          </w:tcPr>
          <w:p w:rsidR="00FF384B" w:rsidRDefault="00FF384B"/>
        </w:tc>
        <w:tc>
          <w:tcPr>
            <w:tcW w:w="133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c>
          <w:tcPr>
            <w:tcW w:w="1171" w:type="dxa"/>
            <w:tcBorders>
              <w:top w:val="single" w:sz="4" w:space="0" w:color="D4D4D4"/>
              <w:left w:val="single" w:sz="4" w:space="0" w:color="000000"/>
              <w:bottom w:val="nil"/>
              <w:right w:val="single" w:sz="4" w:space="0" w:color="000000"/>
            </w:tcBorders>
          </w:tcPr>
          <w:p w:rsidR="00FF384B" w:rsidRDefault="00FF384B"/>
        </w:tc>
        <w:tc>
          <w:tcPr>
            <w:tcW w:w="1170" w:type="dxa"/>
            <w:tcBorders>
              <w:top w:val="single" w:sz="4" w:space="0" w:color="D4D4D4"/>
              <w:left w:val="single" w:sz="4" w:space="0" w:color="000000"/>
              <w:bottom w:val="nil"/>
              <w:right w:val="single" w:sz="4" w:space="0" w:color="000000"/>
            </w:tcBorders>
          </w:tcPr>
          <w:p w:rsidR="00FF384B" w:rsidRDefault="00FF384B"/>
        </w:tc>
      </w:tr>
      <w:tr w:rsidR="00FF384B">
        <w:trPr>
          <w:trHeight w:val="194"/>
        </w:trPr>
        <w:tc>
          <w:tcPr>
            <w:tcW w:w="3564" w:type="dxa"/>
            <w:tcBorders>
              <w:top w:val="nil"/>
              <w:left w:val="single" w:sz="4" w:space="0" w:color="000000"/>
              <w:bottom w:val="nil"/>
              <w:right w:val="single" w:sz="4" w:space="0" w:color="000000"/>
            </w:tcBorders>
            <w:shd w:val="clear" w:color="auto" w:fill="C4BD97"/>
          </w:tcPr>
          <w:p w:rsidR="00FF384B" w:rsidRDefault="003E3BA9">
            <w:pPr>
              <w:spacing w:after="0"/>
            </w:pPr>
            <w:r>
              <w:rPr>
                <w:rFonts w:ascii="Arial" w:eastAsia="Arial" w:hAnsi="Arial" w:cs="Arial"/>
                <w:sz w:val="14"/>
              </w:rPr>
              <w:t>TOTAL INGRESOS</w:t>
            </w:r>
          </w:p>
        </w:tc>
        <w:tc>
          <w:tcPr>
            <w:tcW w:w="1435" w:type="dxa"/>
            <w:tcBorders>
              <w:top w:val="nil"/>
              <w:left w:val="single" w:sz="4" w:space="0" w:color="000000"/>
              <w:bottom w:val="nil"/>
              <w:right w:val="single" w:sz="4" w:space="0" w:color="000000"/>
            </w:tcBorders>
            <w:shd w:val="clear" w:color="auto" w:fill="C4BD97"/>
          </w:tcPr>
          <w:p w:rsidR="00FF384B" w:rsidRDefault="00FF384B"/>
        </w:tc>
        <w:tc>
          <w:tcPr>
            <w:tcW w:w="1783"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33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9"/>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1" w:type="dxa"/>
            <w:tcBorders>
              <w:top w:val="nil"/>
              <w:left w:val="single" w:sz="4" w:space="0" w:color="000000"/>
              <w:bottom w:val="nil"/>
              <w:right w:val="single" w:sz="4" w:space="0" w:color="000000"/>
            </w:tcBorders>
            <w:shd w:val="clear" w:color="auto" w:fill="C4BD97"/>
          </w:tcPr>
          <w:p w:rsidR="00FF384B" w:rsidRDefault="003E3BA9">
            <w:pPr>
              <w:spacing w:after="0"/>
              <w:ind w:left="48"/>
            </w:pPr>
            <w:r>
              <w:rPr>
                <w:rFonts w:ascii="Arial" w:eastAsia="Arial" w:hAnsi="Arial" w:cs="Arial"/>
                <w:sz w:val="14"/>
              </w:rPr>
              <w:t xml:space="preserve">    2.837.207,79 €</w:t>
            </w:r>
          </w:p>
        </w:tc>
        <w:tc>
          <w:tcPr>
            <w:tcW w:w="1170" w:type="dxa"/>
            <w:tcBorders>
              <w:top w:val="nil"/>
              <w:left w:val="single" w:sz="4" w:space="0" w:color="000000"/>
              <w:bottom w:val="nil"/>
              <w:right w:val="single" w:sz="4" w:space="0" w:color="000000"/>
            </w:tcBorders>
            <w:shd w:val="clear" w:color="auto" w:fill="C4BD97"/>
          </w:tcPr>
          <w:p w:rsidR="00FF384B" w:rsidRDefault="003E3BA9">
            <w:pPr>
              <w:spacing w:after="0"/>
              <w:ind w:left="47"/>
            </w:pPr>
            <w:r>
              <w:rPr>
                <w:rFonts w:ascii="Arial" w:eastAsia="Arial" w:hAnsi="Arial" w:cs="Arial"/>
                <w:sz w:val="14"/>
              </w:rPr>
              <w:t xml:space="preserve">    2.837.207,79 €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203"/>
        </w:trPr>
        <w:tc>
          <w:tcPr>
            <w:tcW w:w="3564" w:type="dxa"/>
            <w:tcBorders>
              <w:top w:val="nil"/>
              <w:left w:val="single" w:sz="4" w:space="0" w:color="000000"/>
              <w:bottom w:val="nil"/>
              <w:right w:val="single" w:sz="4" w:space="0" w:color="000000"/>
            </w:tcBorders>
            <w:shd w:val="clear" w:color="auto" w:fill="FABF8F"/>
          </w:tcPr>
          <w:p w:rsidR="00FF384B" w:rsidRDefault="003E3BA9">
            <w:pPr>
              <w:spacing w:after="0"/>
            </w:pPr>
            <w:r>
              <w:rPr>
                <w:rFonts w:ascii="Arial" w:eastAsia="Arial" w:hAnsi="Arial" w:cs="Arial"/>
                <w:b/>
                <w:sz w:val="14"/>
              </w:rPr>
              <w:t>GASTOS ANUALES ESTIMADOS</w:t>
            </w:r>
          </w:p>
        </w:tc>
        <w:tc>
          <w:tcPr>
            <w:tcW w:w="1435" w:type="dxa"/>
            <w:tcBorders>
              <w:top w:val="nil"/>
              <w:left w:val="single" w:sz="4" w:space="0" w:color="000000"/>
              <w:bottom w:val="nil"/>
              <w:right w:val="single" w:sz="4" w:space="0" w:color="000000"/>
            </w:tcBorders>
            <w:shd w:val="clear" w:color="auto" w:fill="FABF8F"/>
          </w:tcPr>
          <w:p w:rsidR="00FF384B" w:rsidRDefault="00FF384B"/>
        </w:tc>
        <w:tc>
          <w:tcPr>
            <w:tcW w:w="1783" w:type="dxa"/>
            <w:tcBorders>
              <w:top w:val="nil"/>
              <w:left w:val="single" w:sz="4" w:space="0" w:color="000000"/>
              <w:bottom w:val="nil"/>
              <w:right w:val="single" w:sz="4" w:space="0" w:color="000000"/>
            </w:tcBorders>
            <w:shd w:val="clear" w:color="auto" w:fill="FABF8F"/>
          </w:tcPr>
          <w:p w:rsidR="00FF384B" w:rsidRDefault="00FF384B"/>
        </w:tc>
        <w:tc>
          <w:tcPr>
            <w:tcW w:w="133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c>
          <w:tcPr>
            <w:tcW w:w="1171" w:type="dxa"/>
            <w:tcBorders>
              <w:top w:val="nil"/>
              <w:left w:val="single" w:sz="4" w:space="0" w:color="000000"/>
              <w:bottom w:val="nil"/>
              <w:right w:val="single" w:sz="4" w:space="0" w:color="000000"/>
            </w:tcBorders>
            <w:shd w:val="clear" w:color="auto" w:fill="FABF8F"/>
          </w:tcPr>
          <w:p w:rsidR="00FF384B" w:rsidRDefault="00FF384B"/>
        </w:tc>
        <w:tc>
          <w:tcPr>
            <w:tcW w:w="1170" w:type="dxa"/>
            <w:tcBorders>
              <w:top w:val="nil"/>
              <w:left w:val="single" w:sz="4" w:space="0" w:color="000000"/>
              <w:bottom w:val="nil"/>
              <w:right w:val="single" w:sz="4" w:space="0" w:color="000000"/>
            </w:tcBorders>
            <w:shd w:val="clear" w:color="auto" w:fill="FABF8F"/>
          </w:tcPr>
          <w:p w:rsidR="00FF384B" w:rsidRDefault="00FF384B"/>
        </w:tc>
      </w:tr>
      <w:tr w:rsidR="00FF384B">
        <w:trPr>
          <w:trHeight w:val="184"/>
        </w:trPr>
        <w:tc>
          <w:tcPr>
            <w:tcW w:w="3564" w:type="dxa"/>
            <w:tcBorders>
              <w:top w:val="nil"/>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Inversion parque movil</w:t>
            </w:r>
          </w:p>
        </w:tc>
        <w:tc>
          <w:tcPr>
            <w:tcW w:w="1435" w:type="dxa"/>
            <w:tcBorders>
              <w:top w:val="nil"/>
              <w:left w:val="single" w:sz="4" w:space="0" w:color="000000"/>
              <w:bottom w:val="single" w:sz="4" w:space="0" w:color="D4D4D4"/>
              <w:right w:val="single" w:sz="4" w:space="0" w:color="000000"/>
            </w:tcBorders>
          </w:tcPr>
          <w:p w:rsidR="00FF384B" w:rsidRDefault="003E3BA9">
            <w:pPr>
              <w:spacing w:after="0"/>
              <w:ind w:left="12"/>
            </w:pPr>
            <w:r>
              <w:rPr>
                <w:rFonts w:ascii="Arial" w:eastAsia="Arial" w:hAnsi="Arial" w:cs="Arial"/>
                <w:sz w:val="14"/>
              </w:rPr>
              <w:t xml:space="preserve">-           </w:t>
            </w:r>
            <w:r>
              <w:rPr>
                <w:rFonts w:ascii="Arial" w:eastAsia="Arial" w:hAnsi="Arial" w:cs="Arial"/>
                <w:sz w:val="14"/>
              </w:rPr>
              <w:t>3.568.354,60 €</w:t>
            </w:r>
          </w:p>
        </w:tc>
        <w:tc>
          <w:tcPr>
            <w:tcW w:w="1783" w:type="dxa"/>
            <w:tcBorders>
              <w:top w:val="nil"/>
              <w:left w:val="single" w:sz="4" w:space="0" w:color="000000"/>
              <w:bottom w:val="single" w:sz="4" w:space="0" w:color="D4D4D4"/>
              <w:right w:val="single" w:sz="4" w:space="0" w:color="000000"/>
            </w:tcBorders>
          </w:tcPr>
          <w:p w:rsidR="00FF384B" w:rsidRDefault="00FF384B"/>
        </w:tc>
        <w:tc>
          <w:tcPr>
            <w:tcW w:w="133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c>
          <w:tcPr>
            <w:tcW w:w="1171" w:type="dxa"/>
            <w:tcBorders>
              <w:top w:val="nil"/>
              <w:left w:val="single" w:sz="4" w:space="0" w:color="000000"/>
              <w:bottom w:val="single" w:sz="4" w:space="0" w:color="D4D4D4"/>
              <w:right w:val="single" w:sz="4" w:space="0" w:color="000000"/>
            </w:tcBorders>
          </w:tcPr>
          <w:p w:rsidR="00FF384B" w:rsidRDefault="00FF384B"/>
        </w:tc>
        <w:tc>
          <w:tcPr>
            <w:tcW w:w="1170" w:type="dxa"/>
            <w:tcBorders>
              <w:top w:val="nil"/>
              <w:left w:val="single" w:sz="4" w:space="0" w:color="000000"/>
              <w:bottom w:val="single" w:sz="4" w:space="0" w:color="D4D4D4"/>
              <w:right w:val="single" w:sz="4" w:space="0" w:color="000000"/>
            </w:tcBorders>
          </w:tcPr>
          <w:p w:rsidR="00FF384B" w:rsidRDefault="00FF384B"/>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Personal</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1.734.644,62 €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1.771.072,16 €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1.795.867,17 €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1.821.009,31 €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1.846.503,44 €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1.872.354,49 €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1.898.567,45 €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9"/>
            </w:pPr>
            <w:r>
              <w:rPr>
                <w:rFonts w:ascii="Arial" w:eastAsia="Arial" w:hAnsi="Arial" w:cs="Arial"/>
                <w:sz w:val="14"/>
              </w:rPr>
              <w:t>-    1.925.147,40 €</w:t>
            </w:r>
          </w:p>
        </w:tc>
      </w:tr>
      <w:tr w:rsidR="00FF384B">
        <w:trPr>
          <w:trHeight w:val="189"/>
        </w:trPr>
        <w:tc>
          <w:tcPr>
            <w:tcW w:w="3564" w:type="dxa"/>
            <w:tcBorders>
              <w:top w:val="single" w:sz="4" w:space="0" w:color="D4D4D4"/>
              <w:left w:val="single" w:sz="4" w:space="0" w:color="000000"/>
              <w:bottom w:val="single" w:sz="4" w:space="0" w:color="D4D4D4"/>
              <w:right w:val="single" w:sz="4" w:space="0" w:color="000000"/>
            </w:tcBorders>
          </w:tcPr>
          <w:p w:rsidR="00FF384B" w:rsidRDefault="003E3BA9">
            <w:pPr>
              <w:spacing w:after="0"/>
            </w:pPr>
            <w:r>
              <w:rPr>
                <w:rFonts w:ascii="Arial" w:eastAsia="Arial" w:hAnsi="Arial" w:cs="Arial"/>
                <w:sz w:val="14"/>
              </w:rPr>
              <w:t>coste medios materiales</w:t>
            </w:r>
          </w:p>
        </w:tc>
        <w:tc>
          <w:tcPr>
            <w:tcW w:w="1435" w:type="dxa"/>
            <w:tcBorders>
              <w:top w:val="single" w:sz="4" w:space="0" w:color="D4D4D4"/>
              <w:left w:val="single" w:sz="4" w:space="0" w:color="000000"/>
              <w:bottom w:val="single" w:sz="4" w:space="0" w:color="D4D4D4"/>
              <w:right w:val="single" w:sz="4" w:space="0" w:color="000000"/>
            </w:tcBorders>
          </w:tcPr>
          <w:p w:rsidR="00FF384B" w:rsidRDefault="00FF384B"/>
        </w:tc>
        <w:tc>
          <w:tcPr>
            <w:tcW w:w="1783"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278.588,32 €</w:t>
            </w:r>
          </w:p>
        </w:tc>
        <w:tc>
          <w:tcPr>
            <w:tcW w:w="133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282.488,56 €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286.443,40 €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290.453,60 €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294.519,95 €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298.643,23 €</w:t>
            </w:r>
          </w:p>
        </w:tc>
        <w:tc>
          <w:tcPr>
            <w:tcW w:w="1171"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11"/>
            </w:pPr>
            <w:r>
              <w:rPr>
                <w:rFonts w:ascii="Arial" w:eastAsia="Arial" w:hAnsi="Arial" w:cs="Arial"/>
                <w:sz w:val="14"/>
              </w:rPr>
              <w:t>-       302.824,24 €</w:t>
            </w:r>
          </w:p>
        </w:tc>
        <w:tc>
          <w:tcPr>
            <w:tcW w:w="1170" w:type="dxa"/>
            <w:tcBorders>
              <w:top w:val="single" w:sz="4" w:space="0" w:color="D4D4D4"/>
              <w:left w:val="single" w:sz="4" w:space="0" w:color="000000"/>
              <w:bottom w:val="single" w:sz="4" w:space="0" w:color="D4D4D4"/>
              <w:right w:val="single" w:sz="4" w:space="0" w:color="000000"/>
            </w:tcBorders>
          </w:tcPr>
          <w:p w:rsidR="00FF384B" w:rsidRDefault="003E3BA9">
            <w:pPr>
              <w:spacing w:after="0"/>
              <w:ind w:left="9"/>
            </w:pPr>
            <w:r>
              <w:rPr>
                <w:rFonts w:ascii="Arial" w:eastAsia="Arial" w:hAnsi="Arial" w:cs="Arial"/>
                <w:sz w:val="14"/>
              </w:rPr>
              <w:t>-       307.063,78 €</w:t>
            </w:r>
          </w:p>
        </w:tc>
      </w:tr>
      <w:tr w:rsidR="00FF384B">
        <w:trPr>
          <w:trHeight w:val="184"/>
        </w:trPr>
        <w:tc>
          <w:tcPr>
            <w:tcW w:w="3564" w:type="dxa"/>
            <w:tcBorders>
              <w:top w:val="single" w:sz="4" w:space="0" w:color="D4D4D4"/>
              <w:left w:val="single" w:sz="4" w:space="0" w:color="000000"/>
              <w:bottom w:val="nil"/>
              <w:right w:val="single" w:sz="4" w:space="0" w:color="000000"/>
            </w:tcBorders>
          </w:tcPr>
          <w:p w:rsidR="00FF384B" w:rsidRDefault="003E3BA9">
            <w:pPr>
              <w:spacing w:after="0"/>
            </w:pPr>
            <w:r>
              <w:rPr>
                <w:rFonts w:ascii="Arial" w:eastAsia="Arial" w:hAnsi="Arial" w:cs="Arial"/>
                <w:sz w:val="14"/>
              </w:rPr>
              <w:t>Gastos generales</w:t>
            </w:r>
          </w:p>
        </w:tc>
        <w:tc>
          <w:tcPr>
            <w:tcW w:w="1435" w:type="dxa"/>
            <w:tcBorders>
              <w:top w:val="single" w:sz="4" w:space="0" w:color="D4D4D4"/>
              <w:left w:val="single" w:sz="4" w:space="0" w:color="000000"/>
              <w:bottom w:val="nil"/>
              <w:right w:val="single" w:sz="4" w:space="0" w:color="000000"/>
            </w:tcBorders>
          </w:tcPr>
          <w:p w:rsidR="00FF384B" w:rsidRDefault="00FF384B"/>
        </w:tc>
        <w:tc>
          <w:tcPr>
            <w:tcW w:w="1783"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33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xml:space="preserve">-           </w:t>
            </w:r>
            <w:r>
              <w:rPr>
                <w:rFonts w:ascii="Arial" w:eastAsia="Arial" w:hAnsi="Arial" w:cs="Arial"/>
                <w:sz w:val="14"/>
              </w:rPr>
              <w:t>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1" w:type="dxa"/>
            <w:tcBorders>
              <w:top w:val="single" w:sz="4" w:space="0" w:color="D4D4D4"/>
              <w:left w:val="single" w:sz="4" w:space="0" w:color="000000"/>
              <w:bottom w:val="nil"/>
              <w:right w:val="single" w:sz="4" w:space="0" w:color="000000"/>
            </w:tcBorders>
          </w:tcPr>
          <w:p w:rsidR="00FF384B" w:rsidRDefault="003E3BA9">
            <w:pPr>
              <w:spacing w:after="0"/>
              <w:ind w:left="11"/>
            </w:pPr>
            <w:r>
              <w:rPr>
                <w:rFonts w:ascii="Arial" w:eastAsia="Arial" w:hAnsi="Arial" w:cs="Arial"/>
                <w:sz w:val="14"/>
              </w:rPr>
              <w:t>-       127.126,48 €</w:t>
            </w:r>
          </w:p>
        </w:tc>
        <w:tc>
          <w:tcPr>
            <w:tcW w:w="1170" w:type="dxa"/>
            <w:tcBorders>
              <w:top w:val="single" w:sz="4" w:space="0" w:color="D4D4D4"/>
              <w:left w:val="single" w:sz="4" w:space="0" w:color="000000"/>
              <w:bottom w:val="nil"/>
              <w:right w:val="single" w:sz="4" w:space="0" w:color="000000"/>
            </w:tcBorders>
          </w:tcPr>
          <w:p w:rsidR="00FF384B" w:rsidRDefault="003E3BA9">
            <w:pPr>
              <w:spacing w:after="0"/>
              <w:ind w:left="9"/>
            </w:pPr>
            <w:r>
              <w:rPr>
                <w:rFonts w:ascii="Arial" w:eastAsia="Arial" w:hAnsi="Arial" w:cs="Arial"/>
                <w:sz w:val="14"/>
              </w:rPr>
              <w:t>-       127.126,48 €</w:t>
            </w:r>
          </w:p>
        </w:tc>
      </w:tr>
      <w:tr w:rsidR="00FF384B">
        <w:trPr>
          <w:trHeight w:val="194"/>
        </w:trPr>
        <w:tc>
          <w:tcPr>
            <w:tcW w:w="3564" w:type="dxa"/>
            <w:tcBorders>
              <w:top w:val="nil"/>
              <w:left w:val="single" w:sz="4" w:space="0" w:color="000000"/>
              <w:bottom w:val="nil"/>
              <w:right w:val="single" w:sz="4" w:space="0" w:color="000000"/>
            </w:tcBorders>
            <w:shd w:val="clear" w:color="auto" w:fill="F79646"/>
          </w:tcPr>
          <w:p w:rsidR="00FF384B" w:rsidRDefault="003E3BA9">
            <w:pPr>
              <w:spacing w:after="0"/>
            </w:pPr>
            <w:r>
              <w:rPr>
                <w:rFonts w:ascii="Arial" w:eastAsia="Arial" w:hAnsi="Arial" w:cs="Arial"/>
                <w:sz w:val="14"/>
              </w:rPr>
              <w:t>TOTAL DE GASTOS</w:t>
            </w:r>
          </w:p>
        </w:tc>
        <w:tc>
          <w:tcPr>
            <w:tcW w:w="1435" w:type="dxa"/>
            <w:tcBorders>
              <w:top w:val="nil"/>
              <w:left w:val="single" w:sz="4" w:space="0" w:color="000000"/>
              <w:bottom w:val="nil"/>
              <w:right w:val="single" w:sz="4" w:space="0" w:color="000000"/>
            </w:tcBorders>
            <w:shd w:val="clear" w:color="auto" w:fill="F79646"/>
          </w:tcPr>
          <w:p w:rsidR="00FF384B" w:rsidRDefault="003E3BA9">
            <w:pPr>
              <w:spacing w:after="0"/>
              <w:ind w:left="12"/>
            </w:pPr>
            <w:r>
              <w:rPr>
                <w:rFonts w:ascii="Arial" w:eastAsia="Arial" w:hAnsi="Arial" w:cs="Arial"/>
                <w:sz w:val="14"/>
              </w:rPr>
              <w:t>-           3.568.354,60 €</w:t>
            </w:r>
          </w:p>
        </w:tc>
        <w:tc>
          <w:tcPr>
            <w:tcW w:w="1783"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2.140.359,42 €</w:t>
            </w:r>
          </w:p>
        </w:tc>
        <w:tc>
          <w:tcPr>
            <w:tcW w:w="133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2.180.687,19 €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xml:space="preserve">-    </w:t>
            </w:r>
            <w:r>
              <w:rPr>
                <w:rFonts w:ascii="Arial" w:eastAsia="Arial" w:hAnsi="Arial" w:cs="Arial"/>
                <w:sz w:val="14"/>
              </w:rPr>
              <w:t>2.209.437,04 €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2.238.589,39 €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2.268.149,87 €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2.298.124,20 €</w:t>
            </w:r>
          </w:p>
        </w:tc>
        <w:tc>
          <w:tcPr>
            <w:tcW w:w="1171" w:type="dxa"/>
            <w:tcBorders>
              <w:top w:val="nil"/>
              <w:left w:val="single" w:sz="4" w:space="0" w:color="000000"/>
              <w:bottom w:val="nil"/>
              <w:right w:val="single" w:sz="4" w:space="0" w:color="000000"/>
            </w:tcBorders>
            <w:shd w:val="clear" w:color="auto" w:fill="F79646"/>
          </w:tcPr>
          <w:p w:rsidR="00FF384B" w:rsidRDefault="003E3BA9">
            <w:pPr>
              <w:spacing w:after="0"/>
              <w:ind w:left="11"/>
            </w:pPr>
            <w:r>
              <w:rPr>
                <w:rFonts w:ascii="Arial" w:eastAsia="Arial" w:hAnsi="Arial" w:cs="Arial"/>
                <w:sz w:val="14"/>
              </w:rPr>
              <w:t>-    2.328.518,17 €</w:t>
            </w:r>
          </w:p>
        </w:tc>
        <w:tc>
          <w:tcPr>
            <w:tcW w:w="1170" w:type="dxa"/>
            <w:tcBorders>
              <w:top w:val="nil"/>
              <w:left w:val="single" w:sz="4" w:space="0" w:color="000000"/>
              <w:bottom w:val="nil"/>
              <w:right w:val="single" w:sz="4" w:space="0" w:color="000000"/>
            </w:tcBorders>
            <w:shd w:val="clear" w:color="auto" w:fill="F79646"/>
          </w:tcPr>
          <w:p w:rsidR="00FF384B" w:rsidRDefault="003E3BA9">
            <w:pPr>
              <w:spacing w:after="0"/>
              <w:ind w:left="9"/>
            </w:pPr>
            <w:r>
              <w:rPr>
                <w:rFonts w:ascii="Arial" w:eastAsia="Arial" w:hAnsi="Arial" w:cs="Arial"/>
                <w:sz w:val="14"/>
              </w:rPr>
              <w:t>-    2.359.337,65 €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198"/>
        </w:trPr>
        <w:tc>
          <w:tcPr>
            <w:tcW w:w="3564" w:type="dxa"/>
            <w:tcBorders>
              <w:top w:val="nil"/>
              <w:left w:val="single" w:sz="4" w:space="0" w:color="000000"/>
              <w:bottom w:val="nil"/>
              <w:right w:val="single" w:sz="4" w:space="0" w:color="000000"/>
            </w:tcBorders>
            <w:shd w:val="clear" w:color="auto" w:fill="C4D79B"/>
          </w:tcPr>
          <w:p w:rsidR="00FF384B" w:rsidRDefault="003E3BA9">
            <w:pPr>
              <w:spacing w:after="0"/>
              <w:ind w:left="9"/>
            </w:pPr>
            <w:r>
              <w:rPr>
                <w:rFonts w:ascii="Arial" w:eastAsia="Arial" w:hAnsi="Arial" w:cs="Arial"/>
                <w:b/>
                <w:sz w:val="15"/>
              </w:rPr>
              <w:t>Flujo de caja</w:t>
            </w:r>
          </w:p>
        </w:tc>
        <w:tc>
          <w:tcPr>
            <w:tcW w:w="1435" w:type="dxa"/>
            <w:tcBorders>
              <w:top w:val="nil"/>
              <w:left w:val="single" w:sz="4" w:space="0" w:color="000000"/>
              <w:bottom w:val="nil"/>
              <w:right w:val="single" w:sz="4" w:space="0" w:color="000000"/>
            </w:tcBorders>
            <w:shd w:val="clear" w:color="auto" w:fill="C4D79B"/>
          </w:tcPr>
          <w:p w:rsidR="00FF384B" w:rsidRDefault="003E3BA9">
            <w:pPr>
              <w:spacing w:after="0"/>
              <w:ind w:left="12"/>
            </w:pPr>
            <w:r>
              <w:rPr>
                <w:rFonts w:ascii="Arial" w:eastAsia="Arial" w:hAnsi="Arial" w:cs="Arial"/>
                <w:sz w:val="14"/>
              </w:rPr>
              <w:t>-           3.568.354,60 €</w:t>
            </w:r>
          </w:p>
        </w:tc>
        <w:tc>
          <w:tcPr>
            <w:tcW w:w="1783"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696.848,37 €</w:t>
            </w:r>
          </w:p>
        </w:tc>
        <w:tc>
          <w:tcPr>
            <w:tcW w:w="133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656.520,60 €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627.770,75 €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w:t>
            </w:r>
            <w:r>
              <w:rPr>
                <w:rFonts w:ascii="Arial" w:eastAsia="Arial" w:hAnsi="Arial" w:cs="Arial"/>
                <w:sz w:val="14"/>
              </w:rPr>
              <w:t>598.618,40 €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569.057,92 €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539.083,59 €</w:t>
            </w:r>
          </w:p>
        </w:tc>
        <w:tc>
          <w:tcPr>
            <w:tcW w:w="1171" w:type="dxa"/>
            <w:tcBorders>
              <w:top w:val="nil"/>
              <w:left w:val="single" w:sz="4" w:space="0" w:color="000000"/>
              <w:bottom w:val="nil"/>
              <w:right w:val="single" w:sz="4" w:space="0" w:color="000000"/>
            </w:tcBorders>
            <w:shd w:val="clear" w:color="auto" w:fill="C4D79B"/>
          </w:tcPr>
          <w:p w:rsidR="00FF384B" w:rsidRDefault="003E3BA9">
            <w:pPr>
              <w:spacing w:after="0"/>
              <w:ind w:left="58"/>
            </w:pPr>
            <w:r>
              <w:rPr>
                <w:rFonts w:ascii="Arial" w:eastAsia="Arial" w:hAnsi="Arial" w:cs="Arial"/>
                <w:sz w:val="14"/>
              </w:rPr>
              <w:t xml:space="preserve">       508.689,62 €</w:t>
            </w:r>
          </w:p>
        </w:tc>
        <w:tc>
          <w:tcPr>
            <w:tcW w:w="1170" w:type="dxa"/>
            <w:tcBorders>
              <w:top w:val="nil"/>
              <w:left w:val="single" w:sz="4" w:space="0" w:color="000000"/>
              <w:bottom w:val="nil"/>
              <w:right w:val="single" w:sz="4" w:space="0" w:color="000000"/>
            </w:tcBorders>
            <w:shd w:val="clear" w:color="auto" w:fill="C4D79B"/>
          </w:tcPr>
          <w:p w:rsidR="00FF384B" w:rsidRDefault="003E3BA9">
            <w:pPr>
              <w:spacing w:after="0"/>
              <w:ind w:left="57"/>
            </w:pPr>
            <w:r>
              <w:rPr>
                <w:rFonts w:ascii="Arial" w:eastAsia="Arial" w:hAnsi="Arial" w:cs="Arial"/>
                <w:sz w:val="14"/>
              </w:rPr>
              <w:t xml:space="preserve">       477.870,14 €</w:t>
            </w:r>
          </w:p>
        </w:tc>
      </w:tr>
      <w:tr w:rsidR="00FF384B">
        <w:trPr>
          <w:trHeight w:val="189"/>
        </w:trPr>
        <w:tc>
          <w:tcPr>
            <w:tcW w:w="3564" w:type="dxa"/>
            <w:tcBorders>
              <w:top w:val="nil"/>
              <w:left w:val="single" w:sz="4" w:space="0" w:color="000000"/>
              <w:bottom w:val="nil"/>
              <w:right w:val="single" w:sz="4" w:space="0" w:color="000000"/>
            </w:tcBorders>
            <w:shd w:val="clear" w:color="auto" w:fill="FFFFFF"/>
          </w:tcPr>
          <w:p w:rsidR="00FF384B" w:rsidRDefault="00FF384B"/>
        </w:tc>
        <w:tc>
          <w:tcPr>
            <w:tcW w:w="1435" w:type="dxa"/>
            <w:tcBorders>
              <w:top w:val="nil"/>
              <w:left w:val="single" w:sz="4" w:space="0" w:color="000000"/>
              <w:bottom w:val="nil"/>
              <w:right w:val="single" w:sz="4" w:space="0" w:color="000000"/>
            </w:tcBorders>
            <w:shd w:val="clear" w:color="auto" w:fill="FFFFFF"/>
          </w:tcPr>
          <w:p w:rsidR="00FF384B" w:rsidRDefault="00FF384B"/>
        </w:tc>
        <w:tc>
          <w:tcPr>
            <w:tcW w:w="1783" w:type="dxa"/>
            <w:tcBorders>
              <w:top w:val="nil"/>
              <w:left w:val="single" w:sz="4" w:space="0" w:color="000000"/>
              <w:bottom w:val="nil"/>
              <w:right w:val="single" w:sz="4" w:space="0" w:color="000000"/>
            </w:tcBorders>
            <w:shd w:val="clear" w:color="auto" w:fill="FFFFFF"/>
          </w:tcPr>
          <w:p w:rsidR="00FF384B" w:rsidRDefault="00FF384B"/>
        </w:tc>
        <w:tc>
          <w:tcPr>
            <w:tcW w:w="133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c>
          <w:tcPr>
            <w:tcW w:w="1171" w:type="dxa"/>
            <w:tcBorders>
              <w:top w:val="nil"/>
              <w:left w:val="single" w:sz="4" w:space="0" w:color="000000"/>
              <w:bottom w:val="nil"/>
              <w:right w:val="single" w:sz="4" w:space="0" w:color="000000"/>
            </w:tcBorders>
            <w:shd w:val="clear" w:color="auto" w:fill="FFFFFF"/>
          </w:tcPr>
          <w:p w:rsidR="00FF384B" w:rsidRDefault="00FF384B"/>
        </w:tc>
        <w:tc>
          <w:tcPr>
            <w:tcW w:w="1170" w:type="dxa"/>
            <w:tcBorders>
              <w:top w:val="nil"/>
              <w:left w:val="single" w:sz="4" w:space="0" w:color="000000"/>
              <w:bottom w:val="nil"/>
              <w:right w:val="single" w:sz="4" w:space="0" w:color="000000"/>
            </w:tcBorders>
            <w:shd w:val="clear" w:color="auto" w:fill="FFFFFF"/>
          </w:tcPr>
          <w:p w:rsidR="00FF384B" w:rsidRDefault="00FF384B"/>
        </w:tc>
      </w:tr>
      <w:tr w:rsidR="00FF384B">
        <w:trPr>
          <w:trHeight w:val="236"/>
        </w:trPr>
        <w:tc>
          <w:tcPr>
            <w:tcW w:w="3564" w:type="dxa"/>
            <w:tcBorders>
              <w:top w:val="nil"/>
              <w:left w:val="single" w:sz="4" w:space="0" w:color="000000"/>
              <w:bottom w:val="nil"/>
              <w:right w:val="single" w:sz="4" w:space="0" w:color="000000"/>
            </w:tcBorders>
            <w:shd w:val="clear" w:color="auto" w:fill="C5D9F1"/>
          </w:tcPr>
          <w:p w:rsidR="00FF384B" w:rsidRDefault="003E3BA9">
            <w:pPr>
              <w:spacing w:after="0"/>
            </w:pPr>
            <w:r>
              <w:rPr>
                <w:rFonts w:ascii="Arial" w:eastAsia="Arial" w:hAnsi="Arial" w:cs="Arial"/>
                <w:sz w:val="14"/>
              </w:rPr>
              <w:t>FLUJO NETO DE CAJA Definitivo (FC</w:t>
            </w:r>
            <w:r>
              <w:rPr>
                <w:rFonts w:ascii="Arial" w:eastAsia="Arial" w:hAnsi="Arial" w:cs="Arial"/>
                <w:sz w:val="14"/>
                <w:vertAlign w:val="subscript"/>
              </w:rPr>
              <w:t>t</w:t>
            </w:r>
            <w:r>
              <w:rPr>
                <w:rFonts w:ascii="Arial" w:eastAsia="Arial" w:hAnsi="Arial" w:cs="Arial"/>
                <w:sz w:val="14"/>
              </w:rPr>
              <w:t>)</w:t>
            </w:r>
          </w:p>
        </w:tc>
        <w:tc>
          <w:tcPr>
            <w:tcW w:w="1435" w:type="dxa"/>
            <w:tcBorders>
              <w:top w:val="nil"/>
              <w:left w:val="single" w:sz="4" w:space="0" w:color="000000"/>
              <w:bottom w:val="nil"/>
              <w:right w:val="single" w:sz="4" w:space="0" w:color="000000"/>
            </w:tcBorders>
            <w:shd w:val="clear" w:color="auto" w:fill="C5D9F1"/>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nil"/>
              <w:right w:val="single" w:sz="4" w:space="0" w:color="000000"/>
            </w:tcBorders>
            <w:shd w:val="clear" w:color="auto" w:fill="C5D9F1"/>
          </w:tcPr>
          <w:p w:rsidR="00FF384B" w:rsidRDefault="003E3BA9">
            <w:pPr>
              <w:spacing w:after="0"/>
              <w:ind w:left="3"/>
              <w:jc w:val="center"/>
            </w:pPr>
            <w:r>
              <w:rPr>
                <w:rFonts w:ascii="Arial" w:eastAsia="Arial" w:hAnsi="Arial" w:cs="Arial"/>
                <w:sz w:val="14"/>
              </w:rPr>
              <w:t>696848,37</w:t>
            </w:r>
          </w:p>
        </w:tc>
        <w:tc>
          <w:tcPr>
            <w:tcW w:w="1330" w:type="dxa"/>
            <w:tcBorders>
              <w:top w:val="nil"/>
              <w:left w:val="single" w:sz="4" w:space="0" w:color="000000"/>
              <w:bottom w:val="nil"/>
              <w:right w:val="single" w:sz="4" w:space="0" w:color="000000"/>
            </w:tcBorders>
            <w:shd w:val="clear" w:color="auto" w:fill="C5D9F1"/>
          </w:tcPr>
          <w:p w:rsidR="00FF384B" w:rsidRDefault="003E3BA9">
            <w:pPr>
              <w:spacing w:after="0"/>
              <w:ind w:left="3"/>
              <w:jc w:val="center"/>
            </w:pPr>
            <w:r>
              <w:rPr>
                <w:rFonts w:ascii="Arial" w:eastAsia="Arial" w:hAnsi="Arial" w:cs="Arial"/>
                <w:sz w:val="14"/>
              </w:rPr>
              <w:t>656520,60</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2"/>
              <w:jc w:val="center"/>
            </w:pPr>
            <w:r>
              <w:rPr>
                <w:rFonts w:ascii="Arial" w:eastAsia="Arial" w:hAnsi="Arial" w:cs="Arial"/>
                <w:sz w:val="14"/>
              </w:rPr>
              <w:t>627770,75</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3"/>
              <w:jc w:val="center"/>
            </w:pPr>
            <w:r>
              <w:rPr>
                <w:rFonts w:ascii="Arial" w:eastAsia="Arial" w:hAnsi="Arial" w:cs="Arial"/>
                <w:sz w:val="14"/>
              </w:rPr>
              <w:t>598618,40</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3"/>
              <w:jc w:val="center"/>
            </w:pPr>
            <w:r>
              <w:rPr>
                <w:rFonts w:ascii="Arial" w:eastAsia="Arial" w:hAnsi="Arial" w:cs="Arial"/>
                <w:sz w:val="14"/>
              </w:rPr>
              <w:t>569057,92</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2"/>
              <w:jc w:val="center"/>
            </w:pPr>
            <w:r>
              <w:rPr>
                <w:rFonts w:ascii="Arial" w:eastAsia="Arial" w:hAnsi="Arial" w:cs="Arial"/>
                <w:sz w:val="14"/>
              </w:rPr>
              <w:t>539083,59</w:t>
            </w:r>
          </w:p>
        </w:tc>
        <w:tc>
          <w:tcPr>
            <w:tcW w:w="1171" w:type="dxa"/>
            <w:tcBorders>
              <w:top w:val="nil"/>
              <w:left w:val="single" w:sz="4" w:space="0" w:color="000000"/>
              <w:bottom w:val="nil"/>
              <w:right w:val="single" w:sz="4" w:space="0" w:color="000000"/>
            </w:tcBorders>
            <w:shd w:val="clear" w:color="auto" w:fill="C5D9F1"/>
          </w:tcPr>
          <w:p w:rsidR="00FF384B" w:rsidRDefault="003E3BA9">
            <w:pPr>
              <w:spacing w:after="0"/>
              <w:ind w:left="11"/>
              <w:jc w:val="center"/>
            </w:pPr>
            <w:r>
              <w:rPr>
                <w:rFonts w:ascii="Arial" w:eastAsia="Arial" w:hAnsi="Arial" w:cs="Arial"/>
                <w:sz w:val="14"/>
              </w:rPr>
              <w:t>508689,62</w:t>
            </w:r>
          </w:p>
        </w:tc>
        <w:tc>
          <w:tcPr>
            <w:tcW w:w="1170" w:type="dxa"/>
            <w:tcBorders>
              <w:top w:val="nil"/>
              <w:left w:val="single" w:sz="4" w:space="0" w:color="000000"/>
              <w:bottom w:val="nil"/>
              <w:right w:val="single" w:sz="4" w:space="0" w:color="000000"/>
            </w:tcBorders>
            <w:shd w:val="clear" w:color="auto" w:fill="C5D9F1"/>
          </w:tcPr>
          <w:p w:rsidR="00FF384B" w:rsidRDefault="003E3BA9">
            <w:pPr>
              <w:spacing w:after="0"/>
              <w:ind w:left="10"/>
              <w:jc w:val="center"/>
            </w:pPr>
            <w:r>
              <w:rPr>
                <w:rFonts w:ascii="Arial" w:eastAsia="Arial" w:hAnsi="Arial" w:cs="Arial"/>
                <w:sz w:val="14"/>
              </w:rPr>
              <w:t>477870,14</w:t>
            </w:r>
          </w:p>
        </w:tc>
      </w:tr>
      <w:tr w:rsidR="00FF384B">
        <w:trPr>
          <w:trHeight w:val="194"/>
        </w:trPr>
        <w:tc>
          <w:tcPr>
            <w:tcW w:w="3564" w:type="dxa"/>
            <w:tcBorders>
              <w:top w:val="nil"/>
              <w:left w:val="single" w:sz="4" w:space="0" w:color="000000"/>
              <w:bottom w:val="nil"/>
              <w:right w:val="single" w:sz="4" w:space="0" w:color="000000"/>
            </w:tcBorders>
            <w:shd w:val="clear" w:color="auto" w:fill="C5D9F1"/>
          </w:tcPr>
          <w:p w:rsidR="00FF384B" w:rsidRDefault="003E3BA9">
            <w:pPr>
              <w:spacing w:after="0"/>
            </w:pPr>
            <w:r>
              <w:rPr>
                <w:rFonts w:ascii="Arial" w:eastAsia="Arial" w:hAnsi="Arial" w:cs="Arial"/>
                <w:sz w:val="14"/>
              </w:rPr>
              <w:t>Tasa de descuento (b)</w:t>
            </w:r>
          </w:p>
        </w:tc>
        <w:tc>
          <w:tcPr>
            <w:tcW w:w="1435" w:type="dxa"/>
            <w:tcBorders>
              <w:top w:val="nil"/>
              <w:left w:val="single" w:sz="4" w:space="0" w:color="000000"/>
              <w:bottom w:val="nil"/>
              <w:right w:val="single" w:sz="4" w:space="0" w:color="000000"/>
            </w:tcBorders>
            <w:shd w:val="clear" w:color="auto" w:fill="C5D9F1"/>
          </w:tcPr>
          <w:p w:rsidR="00FF384B" w:rsidRDefault="003E3BA9">
            <w:pPr>
              <w:spacing w:after="0"/>
              <w:ind w:left="14"/>
              <w:jc w:val="center"/>
            </w:pPr>
            <w:r>
              <w:rPr>
                <w:rFonts w:ascii="Arial" w:eastAsia="Arial" w:hAnsi="Arial" w:cs="Arial"/>
                <w:sz w:val="14"/>
              </w:rPr>
              <w:t>2,30</w:t>
            </w:r>
          </w:p>
        </w:tc>
        <w:tc>
          <w:tcPr>
            <w:tcW w:w="1783" w:type="dxa"/>
            <w:tcBorders>
              <w:top w:val="nil"/>
              <w:left w:val="single" w:sz="4" w:space="0" w:color="000000"/>
              <w:bottom w:val="nil"/>
              <w:right w:val="single" w:sz="4" w:space="0" w:color="000000"/>
            </w:tcBorders>
            <w:shd w:val="clear" w:color="auto" w:fill="808080"/>
          </w:tcPr>
          <w:p w:rsidR="00FF384B" w:rsidRDefault="00FF384B"/>
        </w:tc>
        <w:tc>
          <w:tcPr>
            <w:tcW w:w="133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c>
          <w:tcPr>
            <w:tcW w:w="1171" w:type="dxa"/>
            <w:tcBorders>
              <w:top w:val="nil"/>
              <w:left w:val="single" w:sz="4" w:space="0" w:color="000000"/>
              <w:bottom w:val="nil"/>
              <w:right w:val="single" w:sz="4" w:space="0" w:color="000000"/>
            </w:tcBorders>
            <w:shd w:val="clear" w:color="auto" w:fill="808080"/>
          </w:tcPr>
          <w:p w:rsidR="00FF384B" w:rsidRDefault="00FF384B"/>
        </w:tc>
        <w:tc>
          <w:tcPr>
            <w:tcW w:w="1170" w:type="dxa"/>
            <w:tcBorders>
              <w:top w:val="nil"/>
              <w:left w:val="single" w:sz="4" w:space="0" w:color="000000"/>
              <w:bottom w:val="nil"/>
              <w:right w:val="single" w:sz="4" w:space="0" w:color="000000"/>
            </w:tcBorders>
            <w:shd w:val="clear" w:color="auto" w:fill="808080"/>
          </w:tcPr>
          <w:p w:rsidR="00FF384B" w:rsidRDefault="00FF384B"/>
        </w:tc>
      </w:tr>
      <w:tr w:rsidR="00FF384B">
        <w:trPr>
          <w:trHeight w:val="227"/>
        </w:trPr>
        <w:tc>
          <w:tcPr>
            <w:tcW w:w="3564" w:type="dxa"/>
            <w:tcBorders>
              <w:top w:val="nil"/>
              <w:left w:val="single" w:sz="4" w:space="0" w:color="000000"/>
              <w:bottom w:val="nil"/>
              <w:right w:val="single" w:sz="4" w:space="0" w:color="000000"/>
            </w:tcBorders>
          </w:tcPr>
          <w:p w:rsidR="00FF384B" w:rsidRDefault="003E3BA9">
            <w:pPr>
              <w:spacing w:after="0"/>
              <w:jc w:val="right"/>
            </w:pPr>
            <w:r>
              <w:rPr>
                <w:rFonts w:ascii="Arial" w:eastAsia="Arial" w:hAnsi="Arial" w:cs="Arial"/>
                <w:sz w:val="14"/>
              </w:rPr>
              <w:t>A efectos del pago siguiente:</w:t>
            </w:r>
          </w:p>
        </w:tc>
        <w:tc>
          <w:tcPr>
            <w:tcW w:w="1435" w:type="dxa"/>
            <w:tcBorders>
              <w:top w:val="nil"/>
              <w:left w:val="single" w:sz="4" w:space="0" w:color="000000"/>
              <w:bottom w:val="nil"/>
              <w:right w:val="single" w:sz="4" w:space="0" w:color="000000"/>
            </w:tcBorders>
          </w:tcPr>
          <w:p w:rsidR="00FF384B" w:rsidRDefault="003E3BA9">
            <w:pPr>
              <w:spacing w:after="0"/>
              <w:ind w:left="78"/>
            </w:pPr>
            <w:r>
              <w:rPr>
                <w:rFonts w:ascii="Arial" w:eastAsia="Arial" w:hAnsi="Arial" w:cs="Arial"/>
                <w:sz w:val="14"/>
              </w:rPr>
              <w:t>FC</w:t>
            </w:r>
            <w:r>
              <w:rPr>
                <w:rFonts w:ascii="Arial" w:eastAsia="Arial" w:hAnsi="Arial" w:cs="Arial"/>
                <w:sz w:val="14"/>
                <w:vertAlign w:val="subscript"/>
              </w:rPr>
              <w:t>0</w:t>
            </w:r>
            <w:r>
              <w:rPr>
                <w:rFonts w:ascii="Arial" w:eastAsia="Arial" w:hAnsi="Arial" w:cs="Arial"/>
                <w:sz w:val="14"/>
              </w:rPr>
              <w:t>/(1,0230)^0=FC</w:t>
            </w:r>
            <w:r>
              <w:rPr>
                <w:rFonts w:ascii="Arial" w:eastAsia="Arial" w:hAnsi="Arial" w:cs="Arial"/>
                <w:sz w:val="14"/>
                <w:vertAlign w:val="subscript"/>
              </w:rPr>
              <w:t>0</w:t>
            </w:r>
          </w:p>
        </w:tc>
        <w:tc>
          <w:tcPr>
            <w:tcW w:w="1783" w:type="dxa"/>
            <w:tcBorders>
              <w:top w:val="nil"/>
              <w:left w:val="single" w:sz="4" w:space="0" w:color="000000"/>
              <w:bottom w:val="nil"/>
              <w:right w:val="single" w:sz="4" w:space="0" w:color="000000"/>
            </w:tcBorders>
          </w:tcPr>
          <w:p w:rsidR="00FF384B" w:rsidRDefault="003E3BA9">
            <w:pPr>
              <w:spacing w:after="0"/>
              <w:ind w:left="5"/>
              <w:jc w:val="center"/>
            </w:pPr>
            <w:r>
              <w:rPr>
                <w:rFonts w:ascii="Arial" w:eastAsia="Arial" w:hAnsi="Arial" w:cs="Arial"/>
                <w:sz w:val="14"/>
              </w:rPr>
              <w:t>FC</w:t>
            </w:r>
            <w:r>
              <w:rPr>
                <w:rFonts w:ascii="Arial" w:eastAsia="Arial" w:hAnsi="Arial" w:cs="Arial"/>
                <w:sz w:val="14"/>
                <w:vertAlign w:val="subscript"/>
              </w:rPr>
              <w:t>1</w:t>
            </w:r>
            <w:r>
              <w:rPr>
                <w:rFonts w:ascii="Arial" w:eastAsia="Arial" w:hAnsi="Arial" w:cs="Arial"/>
                <w:sz w:val="14"/>
              </w:rPr>
              <w:t>/(1,0230)=FC</w:t>
            </w:r>
            <w:r>
              <w:rPr>
                <w:rFonts w:ascii="Arial" w:eastAsia="Arial" w:hAnsi="Arial" w:cs="Arial"/>
                <w:sz w:val="14"/>
                <w:vertAlign w:val="subscript"/>
              </w:rPr>
              <w:t>1</w:t>
            </w:r>
          </w:p>
        </w:tc>
        <w:tc>
          <w:tcPr>
            <w:tcW w:w="1330" w:type="dxa"/>
            <w:tcBorders>
              <w:top w:val="nil"/>
              <w:left w:val="single" w:sz="4" w:space="0" w:color="000000"/>
              <w:bottom w:val="nil"/>
              <w:right w:val="single" w:sz="4" w:space="0" w:color="000000"/>
            </w:tcBorders>
          </w:tcPr>
          <w:p w:rsidR="00FF384B" w:rsidRDefault="003E3BA9">
            <w:pPr>
              <w:spacing w:after="0"/>
              <w:ind w:left="13"/>
              <w:jc w:val="center"/>
            </w:pPr>
            <w:r>
              <w:rPr>
                <w:rFonts w:ascii="Arial" w:eastAsia="Arial" w:hAnsi="Arial" w:cs="Arial"/>
                <w:sz w:val="14"/>
              </w:rPr>
              <w:t>FC</w:t>
            </w:r>
            <w:r>
              <w:rPr>
                <w:rFonts w:ascii="Arial" w:eastAsia="Arial" w:hAnsi="Arial" w:cs="Arial"/>
                <w:sz w:val="14"/>
                <w:vertAlign w:val="subscript"/>
              </w:rPr>
              <w:t>2</w:t>
            </w:r>
            <w:r>
              <w:rPr>
                <w:rFonts w:ascii="Arial" w:eastAsia="Arial" w:hAnsi="Arial" w:cs="Arial"/>
                <w:sz w:val="14"/>
              </w:rPr>
              <w:t>/(1,0230)^2</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3</w:t>
            </w:r>
            <w:r>
              <w:rPr>
                <w:rFonts w:ascii="Arial" w:eastAsia="Arial" w:hAnsi="Arial" w:cs="Arial"/>
                <w:sz w:val="14"/>
              </w:rPr>
              <w:t>/(1,0230)^3</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4</w:t>
            </w:r>
            <w:r>
              <w:rPr>
                <w:rFonts w:ascii="Arial" w:eastAsia="Arial" w:hAnsi="Arial" w:cs="Arial"/>
                <w:sz w:val="14"/>
              </w:rPr>
              <w:t>/(1,0230)^4</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5</w:t>
            </w:r>
            <w:r>
              <w:rPr>
                <w:rFonts w:ascii="Arial" w:eastAsia="Arial" w:hAnsi="Arial" w:cs="Arial"/>
                <w:sz w:val="14"/>
              </w:rPr>
              <w:t>/(1,0230)^5</w:t>
            </w:r>
          </w:p>
        </w:tc>
        <w:tc>
          <w:tcPr>
            <w:tcW w:w="1170"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6</w:t>
            </w:r>
            <w:r>
              <w:rPr>
                <w:rFonts w:ascii="Arial" w:eastAsia="Arial" w:hAnsi="Arial" w:cs="Arial"/>
                <w:sz w:val="14"/>
              </w:rPr>
              <w:t>/(1,0230)^6</w:t>
            </w:r>
          </w:p>
        </w:tc>
        <w:tc>
          <w:tcPr>
            <w:tcW w:w="1171" w:type="dxa"/>
            <w:tcBorders>
              <w:top w:val="nil"/>
              <w:left w:val="single" w:sz="4" w:space="0" w:color="000000"/>
              <w:bottom w:val="nil"/>
              <w:right w:val="single" w:sz="4" w:space="0" w:color="000000"/>
            </w:tcBorders>
          </w:tcPr>
          <w:p w:rsidR="00FF384B" w:rsidRDefault="003E3BA9">
            <w:pPr>
              <w:spacing w:after="0"/>
              <w:ind w:left="105"/>
            </w:pPr>
            <w:r>
              <w:rPr>
                <w:rFonts w:ascii="Arial" w:eastAsia="Arial" w:hAnsi="Arial" w:cs="Arial"/>
                <w:sz w:val="14"/>
              </w:rPr>
              <w:t>FC</w:t>
            </w:r>
            <w:r>
              <w:rPr>
                <w:rFonts w:ascii="Arial" w:eastAsia="Arial" w:hAnsi="Arial" w:cs="Arial"/>
                <w:sz w:val="14"/>
                <w:vertAlign w:val="subscript"/>
              </w:rPr>
              <w:t>7</w:t>
            </w:r>
            <w:r>
              <w:rPr>
                <w:rFonts w:ascii="Arial" w:eastAsia="Arial" w:hAnsi="Arial" w:cs="Arial"/>
                <w:sz w:val="14"/>
              </w:rPr>
              <w:t>/(1,0230)^7</w:t>
            </w:r>
          </w:p>
        </w:tc>
        <w:tc>
          <w:tcPr>
            <w:tcW w:w="1170" w:type="dxa"/>
            <w:tcBorders>
              <w:top w:val="nil"/>
              <w:left w:val="single" w:sz="4" w:space="0" w:color="000000"/>
              <w:bottom w:val="nil"/>
              <w:right w:val="single" w:sz="4" w:space="0" w:color="000000"/>
            </w:tcBorders>
          </w:tcPr>
          <w:p w:rsidR="00FF384B" w:rsidRDefault="003E3BA9">
            <w:pPr>
              <w:spacing w:after="0"/>
              <w:ind w:left="104"/>
            </w:pPr>
            <w:r>
              <w:rPr>
                <w:rFonts w:ascii="Arial" w:eastAsia="Arial" w:hAnsi="Arial" w:cs="Arial"/>
                <w:sz w:val="14"/>
              </w:rPr>
              <w:t>FC</w:t>
            </w:r>
            <w:r>
              <w:rPr>
                <w:rFonts w:ascii="Arial" w:eastAsia="Arial" w:hAnsi="Arial" w:cs="Arial"/>
                <w:sz w:val="14"/>
                <w:vertAlign w:val="subscript"/>
              </w:rPr>
              <w:t>8</w:t>
            </w:r>
            <w:r>
              <w:rPr>
                <w:rFonts w:ascii="Arial" w:eastAsia="Arial" w:hAnsi="Arial" w:cs="Arial"/>
                <w:sz w:val="14"/>
              </w:rPr>
              <w:t>/(1,0230)^8</w:t>
            </w:r>
          </w:p>
        </w:tc>
      </w:tr>
      <w:tr w:rsidR="00FF384B">
        <w:trPr>
          <w:trHeight w:val="198"/>
        </w:trPr>
        <w:tc>
          <w:tcPr>
            <w:tcW w:w="3564" w:type="dxa"/>
            <w:tcBorders>
              <w:top w:val="nil"/>
              <w:left w:val="single" w:sz="4" w:space="0" w:color="000000"/>
              <w:bottom w:val="nil"/>
              <w:right w:val="single" w:sz="4" w:space="0" w:color="000000"/>
            </w:tcBorders>
            <w:shd w:val="clear" w:color="auto" w:fill="E6B8B7"/>
          </w:tcPr>
          <w:p w:rsidR="00FF384B" w:rsidRDefault="003E3BA9">
            <w:pPr>
              <w:spacing w:after="0"/>
            </w:pPr>
            <w:r>
              <w:rPr>
                <w:rFonts w:ascii="Arial" w:eastAsia="Arial" w:hAnsi="Arial" w:cs="Arial"/>
                <w:sz w:val="14"/>
              </w:rPr>
              <w:t>Flujos descontados al origen</w:t>
            </w:r>
          </w:p>
        </w:tc>
        <w:tc>
          <w:tcPr>
            <w:tcW w:w="1435" w:type="dxa"/>
            <w:tcBorders>
              <w:top w:val="nil"/>
              <w:left w:val="single" w:sz="4" w:space="0" w:color="000000"/>
              <w:bottom w:val="nil"/>
              <w:right w:val="single" w:sz="4" w:space="0" w:color="000000"/>
            </w:tcBorders>
            <w:shd w:val="clear" w:color="auto" w:fill="E6B8B7"/>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nil"/>
              <w:right w:val="single" w:sz="4" w:space="0" w:color="000000"/>
            </w:tcBorders>
            <w:shd w:val="clear" w:color="auto" w:fill="E6B8B7"/>
          </w:tcPr>
          <w:p w:rsidR="00FF384B" w:rsidRDefault="003E3BA9">
            <w:pPr>
              <w:spacing w:after="0"/>
              <w:ind w:left="3"/>
              <w:jc w:val="center"/>
            </w:pPr>
            <w:r>
              <w:rPr>
                <w:rFonts w:ascii="Arial" w:eastAsia="Arial" w:hAnsi="Arial" w:cs="Arial"/>
                <w:sz w:val="14"/>
              </w:rPr>
              <w:t>681181,20</w:t>
            </w:r>
          </w:p>
        </w:tc>
        <w:tc>
          <w:tcPr>
            <w:tcW w:w="1330" w:type="dxa"/>
            <w:tcBorders>
              <w:top w:val="nil"/>
              <w:left w:val="single" w:sz="4" w:space="0" w:color="000000"/>
              <w:bottom w:val="nil"/>
              <w:right w:val="single" w:sz="4" w:space="0" w:color="000000"/>
            </w:tcBorders>
            <w:shd w:val="clear" w:color="auto" w:fill="E6B8B7"/>
          </w:tcPr>
          <w:p w:rsidR="00FF384B" w:rsidRDefault="003E3BA9">
            <w:pPr>
              <w:spacing w:after="0"/>
              <w:ind w:left="3"/>
              <w:jc w:val="center"/>
            </w:pPr>
            <w:r>
              <w:rPr>
                <w:rFonts w:ascii="Arial" w:eastAsia="Arial" w:hAnsi="Arial" w:cs="Arial"/>
                <w:sz w:val="14"/>
              </w:rPr>
              <w:t>627331,49</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2"/>
              <w:jc w:val="center"/>
            </w:pPr>
            <w:r>
              <w:rPr>
                <w:rFonts w:ascii="Arial" w:eastAsia="Arial" w:hAnsi="Arial" w:cs="Arial"/>
                <w:sz w:val="14"/>
              </w:rPr>
              <w:t>586373,28</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3"/>
              <w:jc w:val="center"/>
            </w:pPr>
            <w:r>
              <w:rPr>
                <w:rFonts w:ascii="Arial" w:eastAsia="Arial" w:hAnsi="Arial" w:cs="Arial"/>
                <w:sz w:val="14"/>
              </w:rPr>
              <w:t>546572,18</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3"/>
              <w:jc w:val="center"/>
            </w:pPr>
            <w:r>
              <w:rPr>
                <w:rFonts w:ascii="Arial" w:eastAsia="Arial" w:hAnsi="Arial" w:cs="Arial"/>
                <w:sz w:val="14"/>
              </w:rPr>
              <w:t>507900,10</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2"/>
              <w:jc w:val="center"/>
            </w:pPr>
            <w:r>
              <w:rPr>
                <w:rFonts w:ascii="Arial" w:eastAsia="Arial" w:hAnsi="Arial" w:cs="Arial"/>
                <w:sz w:val="14"/>
              </w:rPr>
              <w:t>470329,60</w:t>
            </w:r>
          </w:p>
        </w:tc>
        <w:tc>
          <w:tcPr>
            <w:tcW w:w="1171" w:type="dxa"/>
            <w:tcBorders>
              <w:top w:val="nil"/>
              <w:left w:val="single" w:sz="4" w:space="0" w:color="000000"/>
              <w:bottom w:val="nil"/>
              <w:right w:val="single" w:sz="4" w:space="0" w:color="000000"/>
            </w:tcBorders>
            <w:shd w:val="clear" w:color="auto" w:fill="E6B8B7"/>
          </w:tcPr>
          <w:p w:rsidR="00FF384B" w:rsidRDefault="003E3BA9">
            <w:pPr>
              <w:spacing w:after="0"/>
              <w:ind w:left="11"/>
              <w:jc w:val="center"/>
            </w:pPr>
            <w:r>
              <w:rPr>
                <w:rFonts w:ascii="Arial" w:eastAsia="Arial" w:hAnsi="Arial" w:cs="Arial"/>
                <w:sz w:val="14"/>
              </w:rPr>
              <w:t>433833,86</w:t>
            </w:r>
          </w:p>
        </w:tc>
        <w:tc>
          <w:tcPr>
            <w:tcW w:w="1170" w:type="dxa"/>
            <w:tcBorders>
              <w:top w:val="nil"/>
              <w:left w:val="single" w:sz="4" w:space="0" w:color="000000"/>
              <w:bottom w:val="nil"/>
              <w:right w:val="single" w:sz="4" w:space="0" w:color="000000"/>
            </w:tcBorders>
            <w:shd w:val="clear" w:color="auto" w:fill="E6B8B7"/>
          </w:tcPr>
          <w:p w:rsidR="00FF384B" w:rsidRDefault="003E3BA9">
            <w:pPr>
              <w:spacing w:after="0"/>
              <w:ind w:left="10"/>
              <w:jc w:val="center"/>
            </w:pPr>
            <w:r>
              <w:rPr>
                <w:rFonts w:ascii="Arial" w:eastAsia="Arial" w:hAnsi="Arial" w:cs="Arial"/>
                <w:sz w:val="14"/>
              </w:rPr>
              <w:t>398386,69</w:t>
            </w:r>
          </w:p>
        </w:tc>
      </w:tr>
      <w:tr w:rsidR="00FF384B">
        <w:trPr>
          <w:trHeight w:val="183"/>
        </w:trPr>
        <w:tc>
          <w:tcPr>
            <w:tcW w:w="3564" w:type="dxa"/>
            <w:tcBorders>
              <w:top w:val="nil"/>
              <w:left w:val="single" w:sz="4" w:space="0" w:color="000000"/>
              <w:bottom w:val="single" w:sz="4" w:space="0" w:color="000000"/>
              <w:right w:val="single" w:sz="4" w:space="0" w:color="000000"/>
            </w:tcBorders>
          </w:tcPr>
          <w:p w:rsidR="00FF384B" w:rsidRDefault="003E3BA9">
            <w:pPr>
              <w:spacing w:after="0"/>
            </w:pPr>
            <w:r>
              <w:rPr>
                <w:rFonts w:ascii="Arial" w:eastAsia="Arial" w:hAnsi="Arial" w:cs="Arial"/>
                <w:sz w:val="14"/>
              </w:rPr>
              <w:t>FLUJOS DE CAJA ACUMULADOS DESCONTADOS</w:t>
            </w:r>
          </w:p>
        </w:tc>
        <w:tc>
          <w:tcPr>
            <w:tcW w:w="1435" w:type="dxa"/>
            <w:tcBorders>
              <w:top w:val="nil"/>
              <w:left w:val="single" w:sz="4" w:space="0" w:color="000000"/>
              <w:bottom w:val="single" w:sz="4" w:space="0" w:color="000000"/>
              <w:right w:val="single" w:sz="4" w:space="0" w:color="000000"/>
            </w:tcBorders>
          </w:tcPr>
          <w:p w:rsidR="00FF384B" w:rsidRDefault="003E3BA9">
            <w:pPr>
              <w:spacing w:after="0"/>
              <w:ind w:left="4"/>
              <w:jc w:val="center"/>
            </w:pPr>
            <w:r>
              <w:rPr>
                <w:rFonts w:ascii="Arial" w:eastAsia="Arial" w:hAnsi="Arial" w:cs="Arial"/>
                <w:sz w:val="14"/>
              </w:rPr>
              <w:t>-3568354,60</w:t>
            </w:r>
          </w:p>
        </w:tc>
        <w:tc>
          <w:tcPr>
            <w:tcW w:w="1783" w:type="dxa"/>
            <w:tcBorders>
              <w:top w:val="nil"/>
              <w:left w:val="single" w:sz="4" w:space="0" w:color="000000"/>
              <w:bottom w:val="single" w:sz="4" w:space="0" w:color="000000"/>
              <w:right w:val="single" w:sz="4" w:space="0" w:color="000000"/>
            </w:tcBorders>
          </w:tcPr>
          <w:p w:rsidR="00FF384B" w:rsidRDefault="003E3BA9">
            <w:pPr>
              <w:spacing w:after="0"/>
              <w:ind w:left="12"/>
              <w:jc w:val="center"/>
            </w:pPr>
            <w:r>
              <w:rPr>
                <w:rFonts w:ascii="Arial" w:eastAsia="Arial" w:hAnsi="Arial" w:cs="Arial"/>
                <w:sz w:val="14"/>
              </w:rPr>
              <w:t>-2887173,40</w:t>
            </w:r>
          </w:p>
        </w:tc>
        <w:tc>
          <w:tcPr>
            <w:tcW w:w="1330" w:type="dxa"/>
            <w:tcBorders>
              <w:top w:val="nil"/>
              <w:left w:val="single" w:sz="4" w:space="0" w:color="000000"/>
              <w:bottom w:val="single" w:sz="4" w:space="0" w:color="000000"/>
              <w:right w:val="single" w:sz="4" w:space="0" w:color="000000"/>
            </w:tcBorders>
          </w:tcPr>
          <w:p w:rsidR="00FF384B" w:rsidRDefault="003E3BA9">
            <w:pPr>
              <w:spacing w:after="0"/>
              <w:ind w:left="13"/>
              <w:jc w:val="center"/>
            </w:pPr>
            <w:r>
              <w:rPr>
                <w:rFonts w:ascii="Arial" w:eastAsia="Arial" w:hAnsi="Arial" w:cs="Arial"/>
                <w:sz w:val="14"/>
              </w:rPr>
              <w:t>-2259841,91</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-1673468,63</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-1126896,44</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-618996,34</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3"/>
              <w:jc w:val="center"/>
            </w:pPr>
            <w:r>
              <w:rPr>
                <w:rFonts w:ascii="Arial" w:eastAsia="Arial" w:hAnsi="Arial" w:cs="Arial"/>
                <w:sz w:val="14"/>
              </w:rPr>
              <w:t>-148666,74</w:t>
            </w:r>
          </w:p>
        </w:tc>
        <w:tc>
          <w:tcPr>
            <w:tcW w:w="1171" w:type="dxa"/>
            <w:tcBorders>
              <w:top w:val="nil"/>
              <w:left w:val="single" w:sz="4" w:space="0" w:color="000000"/>
              <w:bottom w:val="single" w:sz="4" w:space="0" w:color="000000"/>
              <w:right w:val="single" w:sz="4" w:space="0" w:color="000000"/>
            </w:tcBorders>
          </w:tcPr>
          <w:p w:rsidR="00FF384B" w:rsidRDefault="003E3BA9">
            <w:pPr>
              <w:spacing w:after="0"/>
              <w:ind w:left="11"/>
              <w:jc w:val="center"/>
            </w:pPr>
            <w:r>
              <w:rPr>
                <w:rFonts w:ascii="Arial" w:eastAsia="Arial" w:hAnsi="Arial" w:cs="Arial"/>
                <w:sz w:val="14"/>
              </w:rPr>
              <w:t>285167,12</w:t>
            </w:r>
          </w:p>
        </w:tc>
        <w:tc>
          <w:tcPr>
            <w:tcW w:w="1170" w:type="dxa"/>
            <w:tcBorders>
              <w:top w:val="nil"/>
              <w:left w:val="single" w:sz="4" w:space="0" w:color="000000"/>
              <w:bottom w:val="single" w:sz="4" w:space="0" w:color="000000"/>
              <w:right w:val="single" w:sz="4" w:space="0" w:color="000000"/>
            </w:tcBorders>
          </w:tcPr>
          <w:p w:rsidR="00FF384B" w:rsidRDefault="003E3BA9">
            <w:pPr>
              <w:spacing w:after="0"/>
              <w:ind w:left="10"/>
              <w:jc w:val="center"/>
            </w:pPr>
            <w:r>
              <w:rPr>
                <w:rFonts w:ascii="Arial" w:eastAsia="Arial" w:hAnsi="Arial" w:cs="Arial"/>
                <w:sz w:val="14"/>
              </w:rPr>
              <w:t>683553,81</w:t>
            </w:r>
          </w:p>
        </w:tc>
      </w:tr>
      <w:tr w:rsidR="00FF384B">
        <w:trPr>
          <w:trHeight w:val="229"/>
        </w:trPr>
        <w:tc>
          <w:tcPr>
            <w:tcW w:w="3564" w:type="dxa"/>
            <w:tcBorders>
              <w:top w:val="single" w:sz="4" w:space="0" w:color="000000"/>
              <w:left w:val="single" w:sz="4" w:space="0" w:color="D4D4D4"/>
              <w:bottom w:val="single" w:sz="4" w:space="0" w:color="D4D4D4"/>
              <w:right w:val="nil"/>
            </w:tcBorders>
          </w:tcPr>
          <w:p w:rsidR="00FF384B" w:rsidRDefault="00FF384B"/>
        </w:tc>
        <w:tc>
          <w:tcPr>
            <w:tcW w:w="1435" w:type="dxa"/>
            <w:vMerge w:val="restart"/>
            <w:tcBorders>
              <w:top w:val="single" w:sz="4" w:space="0" w:color="000000"/>
              <w:left w:val="nil"/>
              <w:bottom w:val="single" w:sz="4" w:space="0" w:color="D4D4D4"/>
              <w:right w:val="single" w:sz="4" w:space="0" w:color="000000"/>
            </w:tcBorders>
          </w:tcPr>
          <w:p w:rsidR="00FF384B" w:rsidRDefault="00FF384B"/>
        </w:tc>
        <w:tc>
          <w:tcPr>
            <w:tcW w:w="7792" w:type="dxa"/>
            <w:gridSpan w:val="6"/>
            <w:tcBorders>
              <w:top w:val="single" w:sz="4" w:space="0" w:color="000000"/>
              <w:left w:val="single" w:sz="4" w:space="0" w:color="000000"/>
              <w:bottom w:val="single" w:sz="4" w:space="0" w:color="000000"/>
              <w:right w:val="nil"/>
            </w:tcBorders>
            <w:shd w:val="clear" w:color="auto" w:fill="FF0000"/>
          </w:tcPr>
          <w:p w:rsidR="00FF384B" w:rsidRDefault="003E3BA9">
            <w:pPr>
              <w:spacing w:after="0"/>
              <w:ind w:left="596"/>
            </w:pPr>
            <w:r>
              <w:rPr>
                <w:rFonts w:ascii="Arial" w:eastAsia="Arial" w:hAnsi="Arial" w:cs="Arial"/>
                <w:b/>
                <w:sz w:val="18"/>
              </w:rPr>
              <w:t>años de recuperacion de inversión</w:t>
            </w:r>
          </w:p>
        </w:tc>
        <w:tc>
          <w:tcPr>
            <w:tcW w:w="1171" w:type="dxa"/>
            <w:tcBorders>
              <w:top w:val="single" w:sz="4" w:space="0" w:color="000000"/>
              <w:left w:val="nil"/>
              <w:bottom w:val="single" w:sz="4" w:space="0" w:color="000000"/>
              <w:right w:val="single" w:sz="4" w:space="0" w:color="000000"/>
            </w:tcBorders>
            <w:shd w:val="clear" w:color="auto" w:fill="00B050"/>
          </w:tcPr>
          <w:p w:rsidR="00FF384B" w:rsidRDefault="00FF384B"/>
        </w:tc>
        <w:tc>
          <w:tcPr>
            <w:tcW w:w="1170" w:type="dxa"/>
            <w:tcBorders>
              <w:top w:val="single" w:sz="4" w:space="0" w:color="000000"/>
              <w:left w:val="single" w:sz="4" w:space="0" w:color="000000"/>
              <w:bottom w:val="single" w:sz="4" w:space="0" w:color="D4D4D4"/>
              <w:right w:val="single" w:sz="4" w:space="0" w:color="D4D4D4"/>
            </w:tcBorders>
          </w:tcPr>
          <w:p w:rsidR="00FF384B" w:rsidRDefault="00FF384B"/>
        </w:tc>
      </w:tr>
      <w:tr w:rsidR="00FF384B">
        <w:trPr>
          <w:trHeight w:val="176"/>
        </w:trPr>
        <w:tc>
          <w:tcPr>
            <w:tcW w:w="3564" w:type="dxa"/>
            <w:tcBorders>
              <w:top w:val="single" w:sz="4" w:space="0" w:color="D4D4D4"/>
              <w:left w:val="single" w:sz="4" w:space="0" w:color="D4D4D4"/>
              <w:bottom w:val="single" w:sz="11" w:space="0" w:color="000000"/>
              <w:right w:val="single" w:sz="4" w:space="0" w:color="D4D4D4"/>
            </w:tcBorders>
          </w:tcPr>
          <w:p w:rsidR="00FF384B" w:rsidRDefault="00FF384B"/>
        </w:tc>
        <w:tc>
          <w:tcPr>
            <w:tcW w:w="0" w:type="auto"/>
            <w:vMerge/>
            <w:tcBorders>
              <w:top w:val="nil"/>
              <w:left w:val="nil"/>
              <w:bottom w:val="single" w:sz="4" w:space="0" w:color="D4D4D4"/>
              <w:right w:val="single" w:sz="4" w:space="0" w:color="000000"/>
            </w:tcBorders>
          </w:tcPr>
          <w:p w:rsidR="00FF384B" w:rsidRDefault="00FF384B"/>
        </w:tc>
        <w:tc>
          <w:tcPr>
            <w:tcW w:w="8963" w:type="dxa"/>
            <w:gridSpan w:val="7"/>
            <w:tcBorders>
              <w:top w:val="single" w:sz="4" w:space="0" w:color="000000"/>
              <w:left w:val="single" w:sz="4" w:space="0" w:color="000000"/>
              <w:bottom w:val="single" w:sz="4" w:space="0" w:color="000000"/>
              <w:right w:val="single" w:sz="4" w:space="0" w:color="000000"/>
            </w:tcBorders>
          </w:tcPr>
          <w:p w:rsidR="00FF384B" w:rsidRDefault="003E3BA9">
            <w:pPr>
              <w:spacing w:after="0"/>
              <w:ind w:left="2"/>
              <w:jc w:val="center"/>
            </w:pPr>
            <w:r>
              <w:rPr>
                <w:rFonts w:ascii="Arial" w:eastAsia="Arial" w:hAnsi="Arial" w:cs="Arial"/>
                <w:sz w:val="14"/>
              </w:rPr>
              <w:t>duracion del contrato 7 años</w:t>
            </w:r>
          </w:p>
        </w:tc>
        <w:tc>
          <w:tcPr>
            <w:tcW w:w="1170" w:type="dxa"/>
            <w:tcBorders>
              <w:top w:val="single" w:sz="4" w:space="0" w:color="D4D4D4"/>
              <w:left w:val="single" w:sz="4" w:space="0" w:color="000000"/>
              <w:bottom w:val="single" w:sz="4" w:space="0" w:color="D4D4D4"/>
              <w:right w:val="single" w:sz="4" w:space="0" w:color="D4D4D4"/>
            </w:tcBorders>
          </w:tcPr>
          <w:p w:rsidR="00FF384B" w:rsidRDefault="00FF384B"/>
        </w:tc>
      </w:tr>
    </w:tbl>
    <w:p w:rsidR="00FF384B" w:rsidRDefault="003E3BA9">
      <w:pPr>
        <w:spacing w:after="4" w:line="247" w:lineRule="auto"/>
        <w:ind w:left="10" w:right="1087" w:hanging="10"/>
        <w:jc w:val="both"/>
      </w:pPr>
      <w:r>
        <w:rPr>
          <w:noProof/>
        </w:rPr>
        <mc:AlternateContent>
          <mc:Choice Requires="wpg">
            <w:drawing>
              <wp:anchor distT="0" distB="0" distL="114300" distR="114300" simplePos="0" relativeHeight="251924480" behindDoc="0" locked="0" layoutInCell="1" allowOverlap="1">
                <wp:simplePos x="0" y="0"/>
                <wp:positionH relativeFrom="column">
                  <wp:posOffset>1851660</wp:posOffset>
                </wp:positionH>
                <wp:positionV relativeFrom="paragraph">
                  <wp:posOffset>-1935464</wp:posOffset>
                </wp:positionV>
                <wp:extent cx="5353958" cy="3797300"/>
                <wp:effectExtent l="0" t="0" r="0" b="0"/>
                <wp:wrapSquare wrapText="bothSides"/>
                <wp:docPr id="547313" name="Group 547313"/>
                <wp:cNvGraphicFramePr/>
                <a:graphic xmlns:a="http://schemas.openxmlformats.org/drawingml/2006/main">
                  <a:graphicData uri="http://schemas.microsoft.com/office/word/2010/wordprocessingGroup">
                    <wpg:wgp>
                      <wpg:cNvGrpSpPr/>
                      <wpg:grpSpPr>
                        <a:xfrm>
                          <a:off x="0" y="0"/>
                          <a:ext cx="5353958" cy="3797300"/>
                          <a:chOff x="0" y="0"/>
                          <a:chExt cx="5353958" cy="3797300"/>
                        </a:xfrm>
                      </wpg:grpSpPr>
                      <pic:pic xmlns:pic="http://schemas.openxmlformats.org/drawingml/2006/picture">
                        <pic:nvPicPr>
                          <pic:cNvPr id="48078" name="Picture 48078"/>
                          <pic:cNvPicPr/>
                        </pic:nvPicPr>
                        <pic:blipFill>
                          <a:blip r:embed="rId79"/>
                          <a:stretch>
                            <a:fillRect/>
                          </a:stretch>
                        </pic:blipFill>
                        <pic:spPr>
                          <a:xfrm>
                            <a:off x="0" y="3442208"/>
                            <a:ext cx="5189220" cy="266700"/>
                          </a:xfrm>
                          <a:prstGeom prst="rect">
                            <a:avLst/>
                          </a:prstGeom>
                        </pic:spPr>
                      </pic:pic>
                      <pic:pic xmlns:pic="http://schemas.openxmlformats.org/drawingml/2006/picture">
                        <pic:nvPicPr>
                          <pic:cNvPr id="48672" name="Picture 48672"/>
                          <pic:cNvPicPr/>
                        </pic:nvPicPr>
                        <pic:blipFill>
                          <a:blip r:embed="rId62"/>
                          <a:stretch>
                            <a:fillRect/>
                          </a:stretch>
                        </pic:blipFill>
                        <pic:spPr>
                          <a:xfrm rot="-5399999">
                            <a:off x="3108960" y="1720850"/>
                            <a:ext cx="3797299" cy="355600"/>
                          </a:xfrm>
                          <a:prstGeom prst="rect">
                            <a:avLst/>
                          </a:prstGeom>
                        </pic:spPr>
                      </pic:pic>
                      <wps:wsp>
                        <wps:cNvPr id="48673" name="Rectangle 48673"/>
                        <wps:cNvSpPr/>
                        <wps:spPr>
                          <a:xfrm rot="-5399999">
                            <a:off x="2881291"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8674" name="Rectangle 48674"/>
                        <wps:cNvSpPr/>
                        <wps:spPr>
                          <a:xfrm rot="-5399999">
                            <a:off x="3094054"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259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7313" style="width:421.572pt;height:299pt;position:absolute;mso-position-horizontal-relative:text;mso-position-horizontal:absolute;margin-left:145.8pt;mso-position-vertical-relative:text;margin-top:-152.399pt;" coordsize="53539,37973">
                <v:shape id="Picture 48078" style="position:absolute;width:51892;height:2667;left:0;top:34422;" filled="f">
                  <v:imagedata r:id="rId80"/>
                </v:shape>
                <v:shape id="Picture 48672" style="position:absolute;width:37972;height:3556;left:31089;top:17208;rotation:-89;" filled="f">
                  <v:imagedata r:id="rId63"/>
                </v:shape>
                <v:rect id="Rectangle 48673" style="position:absolute;width:47358;height:1132;left:28812;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8674" style="position:absolute;width:44627;height:1132;left:30940;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259 de 353 </w:t>
                        </w:r>
                      </w:p>
                    </w:txbxContent>
                  </v:textbox>
                </v:rect>
                <w10:wrap type="square"/>
              </v:group>
            </w:pict>
          </mc:Fallback>
        </mc:AlternateContent>
      </w:r>
      <w:r>
        <w:rPr>
          <w:rFonts w:ascii="Arial" w:eastAsia="Arial" w:hAnsi="Arial" w:cs="Arial"/>
          <w:i/>
        </w:rPr>
        <w:t xml:space="preserve">En base a la fórmula del Artículo 10 del Real Decreto 55/2017, las inversiones se recuperarán el año en el que el valor capital en el origen sea mayor que cero, por tanto, el estudio determina que el plazo para recuperar las inversiones es de </w:t>
      </w:r>
      <w:r>
        <w:rPr>
          <w:rFonts w:ascii="Arial" w:eastAsia="Arial" w:hAnsi="Arial" w:cs="Arial"/>
          <w:b/>
          <w:i/>
          <w:u w:val="single" w:color="000000"/>
        </w:rPr>
        <w:t>7 AÑOS.</w:t>
      </w:r>
      <w:r>
        <w:rPr>
          <w:rFonts w:ascii="Times New Roman" w:eastAsia="Times New Roman" w:hAnsi="Times New Roman" w:cs="Times New Roman"/>
          <w:sz w:val="24"/>
        </w:rPr>
        <w:t xml:space="preserve"> </w:t>
      </w:r>
    </w:p>
    <w:p w:rsidR="00FF384B" w:rsidRDefault="003E3BA9">
      <w:pPr>
        <w:spacing w:after="0"/>
        <w:ind w:right="3582"/>
      </w:pPr>
      <w:r>
        <w:rPr>
          <w:rFonts w:ascii="Arial" w:eastAsia="Arial" w:hAnsi="Arial" w:cs="Arial"/>
          <w:i/>
        </w:rPr>
        <w:t xml:space="preserve"> </w:t>
      </w:r>
    </w:p>
    <w:p w:rsidR="00FF384B" w:rsidRDefault="003E3BA9">
      <w:pPr>
        <w:spacing w:after="1566"/>
        <w:ind w:left="360" w:right="3582"/>
      </w:pPr>
      <w:r>
        <w:rPr>
          <w:rFonts w:ascii="Arial" w:eastAsia="Arial" w:hAnsi="Arial" w:cs="Arial"/>
          <w:i/>
        </w:rPr>
        <w:t xml:space="preserve"> </w:t>
      </w:r>
    </w:p>
    <w:p w:rsidR="00FF384B" w:rsidRDefault="003E3BA9">
      <w:pPr>
        <w:spacing w:after="345"/>
        <w:ind w:left="10" w:right="1491" w:hanging="10"/>
        <w:jc w:val="right"/>
      </w:pPr>
      <w:r>
        <w:rPr>
          <w:rFonts w:ascii="Times New Roman" w:eastAsia="Times New Roman" w:hAnsi="Times New Roman" w:cs="Times New Roman"/>
          <w:sz w:val="24"/>
        </w:rPr>
        <w:t xml:space="preserve">                                   </w:t>
      </w:r>
      <w:r>
        <w:rPr>
          <w:rFonts w:ascii="Arial" w:eastAsia="Arial" w:hAnsi="Arial" w:cs="Arial"/>
          <w:sz w:val="14"/>
        </w:rPr>
        <w:t>259</w:t>
      </w:r>
      <w:r>
        <w:rPr>
          <w:rFonts w:ascii="Times New Roman" w:eastAsia="Times New Roman" w:hAnsi="Times New Roman" w:cs="Times New Roman"/>
          <w:sz w:val="24"/>
        </w:rPr>
        <w:t xml:space="preserve"> </w:t>
      </w:r>
    </w:p>
    <w:p w:rsidR="00FF384B" w:rsidRDefault="00FF384B">
      <w:pPr>
        <w:sectPr w:rsidR="00FF384B">
          <w:headerReference w:type="even" r:id="rId119"/>
          <w:headerReference w:type="default" r:id="rId120"/>
          <w:footerReference w:type="even" r:id="rId121"/>
          <w:footerReference w:type="default" r:id="rId122"/>
          <w:headerReference w:type="first" r:id="rId123"/>
          <w:footerReference w:type="first" r:id="rId124"/>
          <w:pgSz w:w="19106" w:h="11906" w:orient="landscape"/>
          <w:pgMar w:top="708" w:right="1625" w:bottom="1440" w:left="2552" w:header="720" w:footer="720" w:gutter="0"/>
          <w:cols w:space="720"/>
        </w:sectPr>
      </w:pPr>
    </w:p>
    <w:p w:rsidR="00FF384B" w:rsidRDefault="003E3BA9">
      <w:pPr>
        <w:pStyle w:val="Ttulo2"/>
        <w:shd w:val="clear" w:color="auto" w:fill="E0E0E0"/>
        <w:spacing w:after="225" w:line="250" w:lineRule="auto"/>
        <w:ind w:left="10" w:right="257"/>
      </w:pPr>
      <w:r>
        <w:rPr>
          <w:i/>
        </w:rPr>
        <w:t xml:space="preserve">DURACIÓN DEL CONTRATO </w:t>
      </w:r>
    </w:p>
    <w:p w:rsidR="00FF384B" w:rsidRDefault="003E3BA9">
      <w:pPr>
        <w:spacing w:after="216" w:line="247" w:lineRule="auto"/>
        <w:ind w:left="10" w:right="244" w:hanging="10"/>
        <w:jc w:val="both"/>
      </w:pPr>
      <w:r>
        <w:rPr>
          <w:rFonts w:ascii="Arial" w:eastAsia="Arial" w:hAnsi="Arial" w:cs="Arial"/>
          <w:i/>
        </w:rPr>
        <w:t xml:space="preserve">Conforme lo dispuesto en el artículo 29.4 de la </w:t>
      </w:r>
      <w:r>
        <w:rPr>
          <w:rFonts w:ascii="Arial" w:eastAsia="Arial" w:hAnsi="Arial" w:cs="Arial"/>
          <w:b/>
          <w:i/>
        </w:rPr>
        <w:t xml:space="preserve">Ley 9/2017 de Contratos del Sector Público, </w:t>
      </w:r>
      <w:r>
        <w:rPr>
          <w:rFonts w:ascii="Arial" w:eastAsia="Arial" w:hAnsi="Arial" w:cs="Arial"/>
          <w:i/>
        </w:rPr>
        <w:t>se recoge que un contrato de servicios se podrá establecer un plazo de duración</w:t>
      </w:r>
      <w:r>
        <w:rPr>
          <w:rFonts w:ascii="Arial" w:eastAsia="Arial" w:hAnsi="Arial" w:cs="Arial"/>
          <w:i/>
        </w:rPr>
        <w:t xml:space="preserve"> superior al establecido cuando </w:t>
      </w:r>
      <w:r>
        <w:rPr>
          <w:rFonts w:ascii="Arial" w:eastAsia="Arial" w:hAnsi="Arial" w:cs="Arial"/>
          <w:b/>
          <w:i/>
          <w:u w:val="single" w:color="000000"/>
        </w:rPr>
        <w:t>lo exija el periodo de recuperación de la</w:t>
      </w:r>
      <w:r>
        <w:rPr>
          <w:rFonts w:ascii="Arial" w:eastAsia="Arial" w:hAnsi="Arial" w:cs="Arial"/>
          <w:b/>
          <w:i/>
        </w:rPr>
        <w:t xml:space="preserve"> </w:t>
      </w:r>
      <w:r>
        <w:rPr>
          <w:rFonts w:ascii="Arial" w:eastAsia="Arial" w:hAnsi="Arial" w:cs="Arial"/>
          <w:b/>
          <w:i/>
          <w:u w:val="single" w:color="000000"/>
        </w:rPr>
        <w:t>inversión directamente relacionadas con el contrato</w:t>
      </w:r>
      <w:r>
        <w:rPr>
          <w:rFonts w:ascii="Arial" w:eastAsia="Arial" w:hAnsi="Arial" w:cs="Arial"/>
          <w:i/>
        </w:rPr>
        <w:t xml:space="preserve"> y estas no sean susceptibles de utilizarse en el resto de la actividad productiva del contratista o </w:t>
      </w:r>
      <w:r>
        <w:rPr>
          <w:rFonts w:ascii="Arial" w:eastAsia="Arial" w:hAnsi="Arial" w:cs="Arial"/>
          <w:b/>
          <w:i/>
          <w:u w:val="single" w:color="000000"/>
        </w:rPr>
        <w:t>su utilización fuera</w:t>
      </w:r>
      <w:r>
        <w:rPr>
          <w:rFonts w:ascii="Arial" w:eastAsia="Arial" w:hAnsi="Arial" w:cs="Arial"/>
          <w:b/>
          <w:i/>
        </w:rPr>
        <w:t xml:space="preserve"> </w:t>
      </w:r>
      <w:r>
        <w:rPr>
          <w:rFonts w:ascii="Arial" w:eastAsia="Arial" w:hAnsi="Arial" w:cs="Arial"/>
          <w:b/>
          <w:i/>
          <w:u w:val="single" w:color="000000"/>
        </w:rPr>
        <w:t>antieconó</w:t>
      </w:r>
      <w:r>
        <w:rPr>
          <w:rFonts w:ascii="Arial" w:eastAsia="Arial" w:hAnsi="Arial" w:cs="Arial"/>
          <w:b/>
          <w:i/>
          <w:u w:val="single" w:color="000000"/>
        </w:rPr>
        <w:t>mica</w:t>
      </w:r>
      <w:r>
        <w:rPr>
          <w:rFonts w:ascii="Arial" w:eastAsia="Arial" w:hAnsi="Arial" w:cs="Arial"/>
          <w:i/>
        </w:rPr>
        <w:t>, siempre que la amortización de dichas inversiones sea un coste relevante en la prestación del suministro o servicio.</w:t>
      </w:r>
      <w:r>
        <w:rPr>
          <w:rFonts w:ascii="Times New Roman" w:eastAsia="Times New Roman" w:hAnsi="Times New Roman" w:cs="Times New Roman"/>
          <w:sz w:val="24"/>
        </w:rPr>
        <w:t xml:space="preserve"> </w:t>
      </w:r>
    </w:p>
    <w:p w:rsidR="00FF384B" w:rsidRDefault="003E3BA9">
      <w:pPr>
        <w:spacing w:after="234" w:line="247" w:lineRule="auto"/>
        <w:ind w:left="10" w:right="244" w:hanging="10"/>
        <w:jc w:val="both"/>
      </w:pPr>
      <w:r>
        <w:rPr>
          <w:rFonts w:ascii="Arial" w:eastAsia="Arial" w:hAnsi="Arial" w:cs="Arial"/>
          <w:i/>
        </w:rPr>
        <w:t xml:space="preserve">La inversión inicial para este tipo de contrato es para la adquisición de contenedores, maquinaria y equipos, siendo este coste amortizable un coste relevante en el servicio. </w:t>
      </w:r>
    </w:p>
    <w:p w:rsidR="00FF384B" w:rsidRDefault="003E3BA9">
      <w:pPr>
        <w:spacing w:after="234" w:line="247" w:lineRule="auto"/>
        <w:ind w:left="10" w:right="244" w:hanging="10"/>
        <w:jc w:val="both"/>
      </w:pPr>
      <w:r>
        <w:rPr>
          <w:rFonts w:ascii="Arial" w:eastAsia="Arial" w:hAnsi="Arial" w:cs="Arial"/>
          <w:i/>
        </w:rPr>
        <w:t xml:space="preserve">Los vehículos utilizados en el contrato se componen de cabezas tractoras y equipos, las cabezas tractoras tienen una vida útil de 10-14 años pero los equipos montados a estas (cajas compactadoras, multilifts, cubas, etc.) su vida útil se reduce a 8 años. </w:t>
      </w:r>
    </w:p>
    <w:p w:rsidR="00FF384B" w:rsidRDefault="003E3BA9">
      <w:pPr>
        <w:spacing w:after="232" w:line="247" w:lineRule="auto"/>
        <w:ind w:left="10" w:right="244" w:hanging="10"/>
        <w:jc w:val="both"/>
      </w:pPr>
      <w:r>
        <w:rPr>
          <w:rFonts w:ascii="Arial" w:eastAsia="Arial" w:hAnsi="Arial" w:cs="Arial"/>
          <w:i/>
        </w:rPr>
        <w:t xml:space="preserve">Estos equipos, a partir del año 8 los costes de mantenimiento y reparación ya son considerables, siendo su utilización antieconómica frente a nuevos equipos con tecnologías más eficientes. </w:t>
      </w:r>
    </w:p>
    <w:p w:rsidR="00FF384B" w:rsidRDefault="003E3BA9">
      <w:pPr>
        <w:spacing w:after="235" w:line="247" w:lineRule="auto"/>
        <w:ind w:left="10" w:right="244" w:hanging="10"/>
        <w:jc w:val="both"/>
      </w:pPr>
      <w:r>
        <w:rPr>
          <w:rFonts w:ascii="Arial" w:eastAsia="Arial" w:hAnsi="Arial" w:cs="Arial"/>
          <w:i/>
        </w:rPr>
        <w:t>Por tanto la duración del contrato tendrá una duración de 7 años c</w:t>
      </w:r>
      <w:r>
        <w:rPr>
          <w:rFonts w:ascii="Arial" w:eastAsia="Arial" w:hAnsi="Arial" w:cs="Arial"/>
          <w:i/>
        </w:rPr>
        <w:t xml:space="preserve">omo refleja el estudio de la recuperación de la inversión. </w:t>
      </w:r>
    </w:p>
    <w:p w:rsidR="00FF384B" w:rsidRDefault="003E3BA9">
      <w:pPr>
        <w:spacing w:after="232"/>
      </w:pPr>
      <w:r>
        <w:rPr>
          <w:rFonts w:ascii="Arial" w:eastAsia="Arial" w:hAnsi="Arial" w:cs="Arial"/>
          <w:i/>
        </w:rPr>
        <w:t xml:space="preserve"> </w:t>
      </w:r>
    </w:p>
    <w:p w:rsidR="00FF384B" w:rsidRDefault="003E3BA9">
      <w:pPr>
        <w:pStyle w:val="Ttulo2"/>
        <w:shd w:val="clear" w:color="auto" w:fill="E0E0E0"/>
        <w:spacing w:after="225" w:line="250" w:lineRule="auto"/>
        <w:ind w:left="10" w:right="259"/>
      </w:pPr>
      <w:r>
        <w:rPr>
          <w:noProof/>
        </w:rPr>
        <mc:AlternateContent>
          <mc:Choice Requires="wpg">
            <w:drawing>
              <wp:anchor distT="0" distB="0" distL="114300" distR="114300" simplePos="0" relativeHeight="25192550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6769" name="Group 49676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8988" name="Picture 48988"/>
                          <pic:cNvPicPr/>
                        </pic:nvPicPr>
                        <pic:blipFill>
                          <a:blip r:embed="rId62"/>
                          <a:stretch>
                            <a:fillRect/>
                          </a:stretch>
                        </pic:blipFill>
                        <pic:spPr>
                          <a:xfrm rot="-5399999">
                            <a:off x="-1720849" y="1720849"/>
                            <a:ext cx="3797300" cy="355601"/>
                          </a:xfrm>
                          <a:prstGeom prst="rect">
                            <a:avLst/>
                          </a:prstGeom>
                        </pic:spPr>
                      </pic:pic>
                      <wps:wsp>
                        <wps:cNvPr id="48989" name="Rectangle 4898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8990" name="Rectangle 4899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Documento firmado electrónicamente desde la plataforma esPublico Gestiona | Página 260 de 3</w:t>
                              </w:r>
                              <w:r>
                                <w:rPr>
                                  <w:rFonts w:ascii="Arial" w:eastAsia="Arial" w:hAnsi="Arial" w:cs="Arial"/>
                                  <w:sz w:val="12"/>
                                </w:rPr>
                                <w:t xml:space="preserve">53 </w:t>
                              </w:r>
                            </w:p>
                          </w:txbxContent>
                        </wps:txbx>
                        <wps:bodyPr horzOverflow="overflow" vert="horz" lIns="0" tIns="0" rIns="0" bIns="0" rtlCol="0">
                          <a:noAutofit/>
                        </wps:bodyPr>
                      </wps:wsp>
                    </wpg:wgp>
                  </a:graphicData>
                </a:graphic>
              </wp:anchor>
            </w:drawing>
          </mc:Choice>
          <mc:Fallback xmlns:a="http://schemas.openxmlformats.org/drawingml/2006/main">
            <w:pict>
              <v:group id="Group 496769" style="width:41.2715pt;height:299pt;position:absolute;mso-position-horizontal-relative:page;mso-position-horizontal:absolute;margin-left:653.71pt;mso-position-vertical-relative:page;margin-top:512.92pt;" coordsize="5241,37973">
                <v:shape id="Picture 48988" style="position:absolute;width:37973;height:3556;left:-17208;top:17208;rotation:-89;" filled="f">
                  <v:imagedata r:id="rId63"/>
                </v:shape>
                <v:rect id="Rectangle 489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899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260 de 353 </w:t>
                        </w:r>
                      </w:p>
                    </w:txbxContent>
                  </v:textbox>
                </v:rect>
                <w10:wrap type="square"/>
              </v:group>
            </w:pict>
          </mc:Fallback>
        </mc:AlternateContent>
      </w:r>
      <w:r>
        <w:rPr>
          <w:i/>
        </w:rPr>
        <w:t>REVISIÓN DE PRECIOS DEL CONTRATO</w:t>
      </w:r>
      <w:r>
        <w:rPr>
          <w:rFonts w:ascii="Times New Roman" w:eastAsia="Times New Roman" w:hAnsi="Times New Roman" w:cs="Times New Roman"/>
          <w:b w:val="0"/>
          <w:sz w:val="24"/>
        </w:rPr>
        <w:t xml:space="preserve"> </w:t>
      </w:r>
    </w:p>
    <w:p w:rsidR="00FF384B" w:rsidRDefault="003E3BA9">
      <w:pPr>
        <w:spacing w:after="4" w:line="247" w:lineRule="auto"/>
        <w:ind w:left="10" w:right="244" w:hanging="10"/>
        <w:jc w:val="both"/>
      </w:pPr>
      <w:r>
        <w:rPr>
          <w:rFonts w:ascii="Arial" w:eastAsia="Arial" w:hAnsi="Arial" w:cs="Arial"/>
          <w:i/>
        </w:rPr>
        <w:t xml:space="preserve">El </w:t>
      </w:r>
      <w:r>
        <w:rPr>
          <w:rFonts w:ascii="Arial" w:eastAsia="Arial" w:hAnsi="Arial" w:cs="Arial"/>
          <w:b/>
          <w:i/>
        </w:rPr>
        <w:t>Real Decreto 55/2017</w:t>
      </w:r>
      <w:r>
        <w:rPr>
          <w:rFonts w:ascii="Arial" w:eastAsia="Arial" w:hAnsi="Arial" w:cs="Arial"/>
          <w:i/>
        </w:rPr>
        <w:t xml:space="preserve">, de 3 de febrero, por el que se desarrolla la Ley 2/2015, de 30 de marzo, de desindexación de la economía española, fija un nuevo sistema de actualización de valores monetarios de las variables </w:t>
      </w:r>
      <w:r>
        <w:rPr>
          <w:rFonts w:ascii="Arial" w:eastAsia="Arial" w:hAnsi="Arial" w:cs="Arial"/>
          <w:i/>
        </w:rPr>
        <w:t xml:space="preserve">económicas, con el que se pretende implantar la desindexación en los contratos del sector público, dificultando que sus precios puedan ser objeto de revisión, tal y como sucedía tradicionalmente mediante la aplicación de índices generales de precios tales </w:t>
      </w:r>
      <w:r>
        <w:rPr>
          <w:rFonts w:ascii="Arial" w:eastAsia="Arial" w:hAnsi="Arial" w:cs="Arial"/>
          <w:i/>
        </w:rPr>
        <w:t>como el Índice de Precios de Consumo (IPC).</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En este sentido, la aplicación de este nuevo régimen de revisión de precios se amplía sobre todos los contratos del sector público.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Por tanto, se reduce la posibilidad de revisión periódica y predeterminada de los contratos del sector público, en los supuestos y términos establecidos en el LCSP y RD de desarrollo de la Ley de desindexación (el RD 55/2017). De modo que no procede la rev</w:t>
      </w:r>
      <w:r>
        <w:rPr>
          <w:rFonts w:ascii="Arial" w:eastAsia="Arial" w:hAnsi="Arial" w:cs="Arial"/>
          <w:i/>
        </w:rPr>
        <w:t xml:space="preserve">isión periódica no predeterminada ni la no periódica, a la vez que </w:t>
      </w:r>
      <w:r>
        <w:rPr>
          <w:rFonts w:ascii="Arial" w:eastAsia="Arial" w:hAnsi="Arial" w:cs="Arial"/>
          <w:b/>
          <w:i/>
        </w:rPr>
        <w:t>sólo pueden ser objeto de revisión, previa justificación en el expediente:</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b/>
          <w:i/>
        </w:rPr>
        <w:t xml:space="preserve"> </w:t>
      </w:r>
    </w:p>
    <w:p w:rsidR="00FF384B" w:rsidRDefault="003E3BA9">
      <w:pPr>
        <w:numPr>
          <w:ilvl w:val="0"/>
          <w:numId w:val="302"/>
        </w:numPr>
        <w:spacing w:after="4" w:line="247" w:lineRule="auto"/>
        <w:ind w:right="244" w:hanging="266"/>
        <w:jc w:val="both"/>
      </w:pPr>
      <w:r>
        <w:rPr>
          <w:rFonts w:ascii="Arial" w:eastAsia="Arial" w:hAnsi="Arial" w:cs="Arial"/>
          <w:i/>
        </w:rPr>
        <w:t xml:space="preserve">Contratos de obras; </w:t>
      </w:r>
    </w:p>
    <w:p w:rsidR="00FF384B" w:rsidRDefault="003E3BA9">
      <w:pPr>
        <w:numPr>
          <w:ilvl w:val="0"/>
          <w:numId w:val="302"/>
        </w:numPr>
        <w:spacing w:after="4" w:line="247" w:lineRule="auto"/>
        <w:ind w:right="244" w:hanging="266"/>
        <w:jc w:val="both"/>
      </w:pPr>
      <w:r>
        <w:rPr>
          <w:rFonts w:ascii="Arial" w:eastAsia="Arial" w:hAnsi="Arial" w:cs="Arial"/>
          <w:i/>
        </w:rPr>
        <w:t xml:space="preserve">Contratos de suministro de fabricación de armamento y equipamiento de las </w:t>
      </w:r>
    </w:p>
    <w:p w:rsidR="00FF384B" w:rsidRDefault="003E3BA9">
      <w:pPr>
        <w:spacing w:after="4" w:line="247" w:lineRule="auto"/>
        <w:ind w:left="730" w:right="244" w:hanging="10"/>
        <w:jc w:val="both"/>
      </w:pPr>
      <w:r>
        <w:rPr>
          <w:rFonts w:ascii="Arial" w:eastAsia="Arial" w:hAnsi="Arial" w:cs="Arial"/>
          <w:i/>
        </w:rPr>
        <w:t>Administracione</w:t>
      </w:r>
      <w:r>
        <w:rPr>
          <w:rFonts w:ascii="Arial" w:eastAsia="Arial" w:hAnsi="Arial" w:cs="Arial"/>
          <w:i/>
        </w:rPr>
        <w:t xml:space="preserve">s Públicas; </w:t>
      </w:r>
    </w:p>
    <w:p w:rsidR="00FF384B" w:rsidRDefault="003E3BA9">
      <w:pPr>
        <w:numPr>
          <w:ilvl w:val="0"/>
          <w:numId w:val="302"/>
        </w:numPr>
        <w:spacing w:after="4" w:line="247" w:lineRule="auto"/>
        <w:ind w:right="244" w:hanging="266"/>
        <w:jc w:val="both"/>
      </w:pPr>
      <w:r>
        <w:rPr>
          <w:rFonts w:ascii="Arial" w:eastAsia="Arial" w:hAnsi="Arial" w:cs="Arial"/>
          <w:b/>
          <w:i/>
        </w:rPr>
        <w:t>Contratos en los que el período de recuperación de la inversión sea igual o superior a cinco años</w:t>
      </w:r>
      <w:r>
        <w:rPr>
          <w:rFonts w:ascii="Arial" w:eastAsia="Arial" w:hAnsi="Arial" w:cs="Arial"/>
          <w:i/>
        </w:rPr>
        <w:t>, en la medida que el artículo 10 del Real Decreto 55/2017define dicho periodo y establece una fórmula para su cálculo.</w:t>
      </w:r>
      <w:r>
        <w:rPr>
          <w:rFonts w:ascii="Times New Roman" w:eastAsia="Times New Roman" w:hAnsi="Times New Roman" w:cs="Times New Roman"/>
          <w:sz w:val="24"/>
        </w:rPr>
        <w:t xml:space="preserve"> </w:t>
      </w:r>
    </w:p>
    <w:p w:rsidR="00FF384B" w:rsidRDefault="003E3BA9">
      <w:pPr>
        <w:spacing w:after="0"/>
        <w:ind w:left="72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Los precios de estos co</w:t>
      </w:r>
      <w:r>
        <w:rPr>
          <w:rFonts w:ascii="Arial" w:eastAsia="Arial" w:hAnsi="Arial" w:cs="Arial"/>
          <w:i/>
        </w:rPr>
        <w:t xml:space="preserve">ntratos sólo podrán ser objeto de revisión periódica y predeterminada, sin perjuicio del derecho al reequilibrio económico financiero, estableciéndose los siguientes requisitos: </w:t>
      </w:r>
    </w:p>
    <w:p w:rsidR="00FF384B" w:rsidRDefault="003E3BA9">
      <w:pPr>
        <w:spacing w:after="0"/>
        <w:ind w:left="360"/>
      </w:pPr>
      <w:r>
        <w:rPr>
          <w:rFonts w:ascii="Arial" w:eastAsia="Arial" w:hAnsi="Arial" w:cs="Arial"/>
          <w:i/>
        </w:rPr>
        <w:t xml:space="preserve"> </w:t>
      </w:r>
    </w:p>
    <w:p w:rsidR="00FF384B" w:rsidRDefault="003E3BA9">
      <w:pPr>
        <w:numPr>
          <w:ilvl w:val="0"/>
          <w:numId w:val="303"/>
        </w:numPr>
        <w:spacing w:after="4" w:line="247" w:lineRule="auto"/>
        <w:ind w:right="244" w:hanging="360"/>
        <w:jc w:val="both"/>
      </w:pPr>
      <w:r>
        <w:rPr>
          <w:rFonts w:ascii="Arial" w:eastAsia="Arial" w:hAnsi="Arial" w:cs="Arial"/>
          <w:i/>
        </w:rPr>
        <w:t>Que hayan transcurrido 2 años desde la formalización del contrato y haber e</w:t>
      </w:r>
      <w:r>
        <w:rPr>
          <w:rFonts w:ascii="Arial" w:eastAsia="Arial" w:hAnsi="Arial" w:cs="Arial"/>
          <w:i/>
        </w:rPr>
        <w:t xml:space="preserve">jecutado, al menos, un 20 por ciento de su importe, salvo para contratos de gestión de servicios públicos. </w:t>
      </w:r>
    </w:p>
    <w:p w:rsidR="00FF384B" w:rsidRDefault="003E3BA9">
      <w:pPr>
        <w:numPr>
          <w:ilvl w:val="0"/>
          <w:numId w:val="303"/>
        </w:numPr>
        <w:spacing w:after="4" w:line="247" w:lineRule="auto"/>
        <w:ind w:right="244" w:hanging="360"/>
        <w:jc w:val="both"/>
      </w:pPr>
      <w:r>
        <w:rPr>
          <w:rFonts w:ascii="Arial" w:eastAsia="Arial" w:hAnsi="Arial" w:cs="Arial"/>
          <w:i/>
        </w:rPr>
        <w:t xml:space="preserve">La procedencia de la revisión de precios debe justificarse en el expediente de contratación. </w:t>
      </w:r>
    </w:p>
    <w:p w:rsidR="00FF384B" w:rsidRDefault="003E3BA9">
      <w:pPr>
        <w:numPr>
          <w:ilvl w:val="0"/>
          <w:numId w:val="303"/>
        </w:numPr>
        <w:spacing w:after="3" w:line="246" w:lineRule="auto"/>
        <w:ind w:right="244" w:hanging="360"/>
        <w:jc w:val="both"/>
      </w:pPr>
      <w:r>
        <w:rPr>
          <w:rFonts w:ascii="Arial" w:eastAsia="Arial" w:hAnsi="Arial" w:cs="Arial"/>
          <w:i/>
        </w:rPr>
        <w:t>El órgano de contratación debe establecer la fórmula d</w:t>
      </w:r>
      <w:r>
        <w:rPr>
          <w:rFonts w:ascii="Arial" w:eastAsia="Arial" w:hAnsi="Arial" w:cs="Arial"/>
          <w:i/>
        </w:rPr>
        <w:t xml:space="preserve">e revisión de precios aplicable, que se determinará en función de la naturaleza del contrato y de la estructura y evolución de los costes de la actividad que constituye su objeto. </w:t>
      </w:r>
    </w:p>
    <w:p w:rsidR="00FF384B" w:rsidRDefault="003E3BA9">
      <w:pPr>
        <w:numPr>
          <w:ilvl w:val="0"/>
          <w:numId w:val="303"/>
        </w:numPr>
        <w:spacing w:after="4" w:line="247" w:lineRule="auto"/>
        <w:ind w:right="244" w:hanging="360"/>
        <w:jc w:val="both"/>
      </w:pPr>
      <w:r>
        <w:rPr>
          <w:rFonts w:ascii="Arial" w:eastAsia="Arial" w:hAnsi="Arial" w:cs="Arial"/>
          <w:i/>
        </w:rPr>
        <w:t xml:space="preserve">Previsión de la revisión en pliegos, los cuales han de detallar la fórmula </w:t>
      </w:r>
      <w:r>
        <w:rPr>
          <w:rFonts w:ascii="Arial" w:eastAsia="Arial" w:hAnsi="Arial" w:cs="Arial"/>
          <w:i/>
        </w:rPr>
        <w:t xml:space="preserve">aplicable. </w:t>
      </w:r>
    </w:p>
    <w:p w:rsidR="00FF384B" w:rsidRDefault="003E3BA9">
      <w:pPr>
        <w:numPr>
          <w:ilvl w:val="0"/>
          <w:numId w:val="303"/>
        </w:numPr>
        <w:spacing w:after="4" w:line="247" w:lineRule="auto"/>
        <w:ind w:right="244" w:hanging="360"/>
        <w:jc w:val="both"/>
      </w:pPr>
      <w:r>
        <w:rPr>
          <w:rFonts w:ascii="Arial" w:eastAsia="Arial" w:hAnsi="Arial" w:cs="Arial"/>
          <w:i/>
        </w:rPr>
        <w:t xml:space="preserve">La fórmula de revisión de precios no podrá modificarse durante la vigencia del contrato. </w:t>
      </w:r>
    </w:p>
    <w:p w:rsidR="00FF384B" w:rsidRDefault="003E3BA9">
      <w:pPr>
        <w:numPr>
          <w:ilvl w:val="0"/>
          <w:numId w:val="303"/>
        </w:numPr>
        <w:spacing w:after="4" w:line="247" w:lineRule="auto"/>
        <w:ind w:right="244" w:hanging="360"/>
        <w:jc w:val="both"/>
      </w:pPr>
      <w:r>
        <w:rPr>
          <w:rFonts w:ascii="Arial" w:eastAsia="Arial" w:hAnsi="Arial" w:cs="Arial"/>
          <w:i/>
        </w:rPr>
        <w:t xml:space="preserve">La fórmula de revisión de precios establecida se aplicará en cada fecha periódica determinada respecto a la fecha de adjudicación del contrato, si ésta tiene lugar en el plazo de tres meses desde la finalización del plazo de presentación de proposiciones, </w:t>
      </w:r>
      <w:r>
        <w:rPr>
          <w:rFonts w:ascii="Arial" w:eastAsia="Arial" w:hAnsi="Arial" w:cs="Arial"/>
          <w:i/>
        </w:rPr>
        <w:t xml:space="preserve">o respecto a la fecha en que termine dicho plazo de tres meses si la adjudicación es posterior. </w:t>
      </w:r>
    </w:p>
    <w:p w:rsidR="00FF384B" w:rsidRDefault="003E3BA9">
      <w:pPr>
        <w:numPr>
          <w:ilvl w:val="0"/>
          <w:numId w:val="303"/>
        </w:numPr>
        <w:spacing w:after="4" w:line="247" w:lineRule="auto"/>
        <w:ind w:right="244" w:hanging="360"/>
        <w:jc w:val="both"/>
      </w:pPr>
      <w:r>
        <w:rPr>
          <w:noProof/>
        </w:rPr>
        <mc:AlternateContent>
          <mc:Choice Requires="wpg">
            <w:drawing>
              <wp:anchor distT="0" distB="0" distL="114300" distR="114300" simplePos="0" relativeHeight="25192652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6912" name="Group 49691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9113" name="Picture 49113"/>
                          <pic:cNvPicPr/>
                        </pic:nvPicPr>
                        <pic:blipFill>
                          <a:blip r:embed="rId62"/>
                          <a:stretch>
                            <a:fillRect/>
                          </a:stretch>
                        </pic:blipFill>
                        <pic:spPr>
                          <a:xfrm rot="-5399999">
                            <a:off x="-1720849" y="1720849"/>
                            <a:ext cx="3797300" cy="355601"/>
                          </a:xfrm>
                          <a:prstGeom prst="rect">
                            <a:avLst/>
                          </a:prstGeom>
                        </pic:spPr>
                      </pic:pic>
                      <wps:wsp>
                        <wps:cNvPr id="49114" name="Rectangle 49114"/>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9115" name="Rectangle 49115"/>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6912" style="width:41.2715pt;height:299pt;position:absolute;mso-position-horizontal-relative:page;mso-position-horizontal:absolute;margin-left:653.71pt;mso-position-vertical-relative:page;margin-top:512.92pt;" coordsize="5241,37973">
                <v:shape id="Picture 49113" style="position:absolute;width:37973;height:3556;left:-17208;top:17208;rotation:-89;" filled="f">
                  <v:imagedata r:id="rId63"/>
                </v:shape>
                <v:rect id="Rectangle 4911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911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261 de 353 </w:t>
                        </w:r>
                      </w:p>
                    </w:txbxContent>
                  </v:textbox>
                </v:rect>
                <w10:wrap type="square"/>
              </v:group>
            </w:pict>
          </mc:Fallback>
        </mc:AlternateContent>
      </w:r>
      <w:r>
        <w:rPr>
          <w:rFonts w:ascii="Arial" w:eastAsia="Arial" w:hAnsi="Arial" w:cs="Arial"/>
          <w:i/>
        </w:rPr>
        <w:t xml:space="preserve">Vinculación a los costes directos, indispensables y significativos para el cumplimiento del objeto del contrato, los cuales han de que representar al menos el 1 </w:t>
      </w:r>
      <w:r>
        <w:rPr>
          <w:rFonts w:ascii="Arial" w:eastAsia="Arial" w:hAnsi="Arial" w:cs="Arial"/>
          <w:i/>
        </w:rPr>
        <w:t xml:space="preserve">por 100 de valor íntegro de la actividad y no estar sometidos al control del contratista. Las revisiones podrán ser, en consecuencia, al alza o a la baja en función de la variación de tales costes. </w:t>
      </w:r>
    </w:p>
    <w:p w:rsidR="00FF384B" w:rsidRDefault="003E3BA9">
      <w:pPr>
        <w:numPr>
          <w:ilvl w:val="0"/>
          <w:numId w:val="303"/>
        </w:numPr>
        <w:spacing w:after="4" w:line="247" w:lineRule="auto"/>
        <w:ind w:right="244" w:hanging="360"/>
        <w:jc w:val="both"/>
      </w:pPr>
      <w:r>
        <w:rPr>
          <w:rFonts w:ascii="Arial" w:eastAsia="Arial" w:hAnsi="Arial" w:cs="Arial"/>
          <w:i/>
        </w:rPr>
        <w:t>No serán revisables los costes asociados a las amortizaci</w:t>
      </w:r>
      <w:r>
        <w:rPr>
          <w:rFonts w:ascii="Arial" w:eastAsia="Arial" w:hAnsi="Arial" w:cs="Arial"/>
          <w:i/>
        </w:rPr>
        <w:t xml:space="preserve">ones, los costes financieros, los gastos generales o de estructura, ni el beneficio industrial. </w:t>
      </w:r>
    </w:p>
    <w:p w:rsidR="00FF384B" w:rsidRDefault="003E3BA9">
      <w:pPr>
        <w:numPr>
          <w:ilvl w:val="0"/>
          <w:numId w:val="303"/>
        </w:numPr>
        <w:spacing w:after="4" w:line="247" w:lineRule="auto"/>
        <w:ind w:right="244" w:hanging="360"/>
        <w:jc w:val="both"/>
      </w:pPr>
      <w:r>
        <w:rPr>
          <w:rFonts w:ascii="Arial" w:eastAsia="Arial" w:hAnsi="Arial" w:cs="Arial"/>
          <w:i/>
        </w:rPr>
        <w:t>El incremento repercutible de los costes de mano de obra no podrá ser superior al incremento experimentado por la retribución del personal al servicio del sect</w:t>
      </w:r>
      <w:r>
        <w:rPr>
          <w:rFonts w:ascii="Arial" w:eastAsia="Arial" w:hAnsi="Arial" w:cs="Arial"/>
          <w:i/>
        </w:rPr>
        <w:t xml:space="preserve">or público, conforme a las Leyes de Presupuestos Generales del Estado.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Ante este nuevo contexto, el desarrollo reglamentario establece unos principios a los que habrán de sujetarse todas las variaciones de valores monetarios motivadas por variación de</w:t>
      </w:r>
      <w:r>
        <w:rPr>
          <w:rFonts w:ascii="Arial" w:eastAsia="Arial" w:hAnsi="Arial" w:cs="Arial"/>
          <w:i/>
        </w:rPr>
        <w:t xml:space="preserve"> costes: </w:t>
      </w:r>
    </w:p>
    <w:p w:rsidR="00FF384B" w:rsidRDefault="003E3BA9">
      <w:pPr>
        <w:spacing w:after="0"/>
      </w:pPr>
      <w:r>
        <w:rPr>
          <w:rFonts w:ascii="Arial" w:eastAsia="Arial" w:hAnsi="Arial" w:cs="Arial"/>
          <w:i/>
        </w:rPr>
        <w:t xml:space="preserve"> </w:t>
      </w:r>
    </w:p>
    <w:p w:rsidR="00FF384B" w:rsidRDefault="003E3BA9">
      <w:pPr>
        <w:numPr>
          <w:ilvl w:val="0"/>
          <w:numId w:val="303"/>
        </w:numPr>
        <w:spacing w:after="4" w:line="247" w:lineRule="auto"/>
        <w:ind w:right="244" w:hanging="360"/>
        <w:jc w:val="both"/>
      </w:pPr>
      <w:r>
        <w:rPr>
          <w:rFonts w:ascii="Arial" w:eastAsia="Arial" w:hAnsi="Arial" w:cs="Arial"/>
          <w:i/>
        </w:rPr>
        <w:t>Principio de referenciación a costes, conforme al cual será necesario tomar como referencia la estructura de costes de la actividad de que se trate y ponderar los distintos componentes de costes indispensables para la correcta realización de la</w:t>
      </w:r>
      <w:r>
        <w:rPr>
          <w:rFonts w:ascii="Arial" w:eastAsia="Arial" w:hAnsi="Arial" w:cs="Arial"/>
          <w:i/>
        </w:rPr>
        <w:t xml:space="preserve"> actividad en función de su concreto peso relativo en el valor de la misma. </w:t>
      </w:r>
    </w:p>
    <w:p w:rsidR="00FF384B" w:rsidRDefault="003E3BA9">
      <w:pPr>
        <w:numPr>
          <w:ilvl w:val="0"/>
          <w:numId w:val="303"/>
        </w:numPr>
        <w:spacing w:after="4" w:line="247" w:lineRule="auto"/>
        <w:ind w:right="244" w:hanging="360"/>
        <w:jc w:val="both"/>
      </w:pPr>
      <w:r>
        <w:rPr>
          <w:rFonts w:ascii="Arial" w:eastAsia="Arial" w:hAnsi="Arial" w:cs="Arial"/>
          <w:i/>
        </w:rPr>
        <w:t>Principio de eficiencia y buena gestión empresarial, que implica que sólo podrán trasladarse a precios las variaciones de costes que hubiesen sido asumidos por una empresa eficien</w:t>
      </w:r>
      <w:r>
        <w:rPr>
          <w:rFonts w:ascii="Arial" w:eastAsia="Arial" w:hAnsi="Arial" w:cs="Arial"/>
          <w:i/>
        </w:rPr>
        <w:t xml:space="preserve">te y bien gestionada, identificada atendiendo a las mejores prácticas en el sector.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De conformidad con lo previsto en el artículo 3 del RD 55/2017 relativo al principio de referenciación a costes, todo régimen de revisión </w:t>
      </w:r>
      <w:r>
        <w:rPr>
          <w:rFonts w:ascii="Arial" w:eastAsia="Arial" w:hAnsi="Arial" w:cs="Arial"/>
          <w:b/>
          <w:i/>
        </w:rPr>
        <w:t>deberá tomar como referencia la</w:t>
      </w:r>
      <w:r>
        <w:rPr>
          <w:rFonts w:ascii="Arial" w:eastAsia="Arial" w:hAnsi="Arial" w:cs="Arial"/>
          <w:b/>
          <w:i/>
        </w:rPr>
        <w:t xml:space="preserve"> estructura de costes de la actividad</w:t>
      </w:r>
      <w:r>
        <w:rPr>
          <w:rFonts w:ascii="Arial" w:eastAsia="Arial" w:hAnsi="Arial" w:cs="Arial"/>
          <w:i/>
        </w:rPr>
        <w:t>, ponderándose cada componente de costes en función de su peso relativo en el valor íntegro de dicha actividad, entendiendo dicho valor como el precio global del contrato al hacer referencia al ámbito de la contratación</w:t>
      </w:r>
      <w:r>
        <w:rPr>
          <w:rFonts w:ascii="Arial" w:eastAsia="Arial" w:hAnsi="Arial" w:cs="Arial"/>
          <w:i/>
        </w:rPr>
        <w:t xml:space="preserve"> pública.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Conforme lo dispuesto en el </w:t>
      </w:r>
      <w:r>
        <w:rPr>
          <w:rFonts w:ascii="Arial" w:eastAsia="Arial" w:hAnsi="Arial" w:cs="Arial"/>
          <w:b/>
          <w:i/>
        </w:rPr>
        <w:t>artículo 9</w:t>
      </w:r>
      <w:r>
        <w:rPr>
          <w:rFonts w:ascii="Arial" w:eastAsia="Arial" w:hAnsi="Arial" w:cs="Arial"/>
          <w:i/>
        </w:rPr>
        <w:t xml:space="preserve"> del Real Decreto 55/2017, de 3 de febrero, se recoge la revisión periódica y predeterminada de precios en los contratos del sector público distintos a los contratos de obras y a los contratos de suministr</w:t>
      </w:r>
      <w:r>
        <w:rPr>
          <w:rFonts w:ascii="Arial" w:eastAsia="Arial" w:hAnsi="Arial" w:cs="Arial"/>
          <w:i/>
        </w:rPr>
        <w:t>o de fabricación de armamento y equipamiento de las Administraciones Públicas.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Se procederá la revisión periódica y predeterminada de dichos precios, transcurridos dos años desde la formalización del contrato y ejecutado al menos el 20 por ciento de su </w:t>
      </w:r>
      <w:r>
        <w:rPr>
          <w:rFonts w:ascii="Arial" w:eastAsia="Arial" w:hAnsi="Arial" w:cs="Arial"/>
          <w:i/>
        </w:rPr>
        <w:t xml:space="preserve">importe, cuando concurran acumulativamente las siguientes circunstancias: </w:t>
      </w:r>
    </w:p>
    <w:p w:rsidR="00FF384B" w:rsidRDefault="003E3BA9">
      <w:pPr>
        <w:spacing w:after="0"/>
      </w:pPr>
      <w:r>
        <w:rPr>
          <w:rFonts w:ascii="Arial" w:eastAsia="Arial" w:hAnsi="Arial" w:cs="Arial"/>
          <w:i/>
        </w:rPr>
        <w:t xml:space="preserve"> </w:t>
      </w:r>
    </w:p>
    <w:p w:rsidR="00FF384B" w:rsidRDefault="003E3BA9">
      <w:pPr>
        <w:numPr>
          <w:ilvl w:val="0"/>
          <w:numId w:val="304"/>
        </w:numPr>
        <w:spacing w:after="13" w:line="247" w:lineRule="auto"/>
        <w:ind w:right="239"/>
        <w:jc w:val="both"/>
      </w:pPr>
      <w:r>
        <w:rPr>
          <w:rFonts w:ascii="Arial" w:eastAsia="Arial" w:hAnsi="Arial" w:cs="Arial"/>
          <w:i/>
        </w:rPr>
        <w:t xml:space="preserve">Que el </w:t>
      </w:r>
      <w:r>
        <w:rPr>
          <w:rFonts w:ascii="Arial" w:eastAsia="Arial" w:hAnsi="Arial" w:cs="Arial"/>
          <w:b/>
          <w:i/>
        </w:rPr>
        <w:t>período de recuperación de la inversión del contrato sea igual o superior a cinco años</w:t>
      </w:r>
      <w:r>
        <w:rPr>
          <w:rFonts w:ascii="Arial" w:eastAsia="Arial" w:hAnsi="Arial" w:cs="Arial"/>
          <w:i/>
        </w:rPr>
        <w:t>, justificado conforme al criterio establecido en el artículo 10.</w:t>
      </w:r>
      <w:r>
        <w:rPr>
          <w:rFonts w:ascii="Times New Roman" w:eastAsia="Times New Roman" w:hAnsi="Times New Roman" w:cs="Times New Roman"/>
          <w:sz w:val="24"/>
        </w:rPr>
        <w:t xml:space="preserve"> </w:t>
      </w:r>
    </w:p>
    <w:p w:rsidR="00FF384B" w:rsidRDefault="003E3BA9">
      <w:pPr>
        <w:numPr>
          <w:ilvl w:val="0"/>
          <w:numId w:val="304"/>
        </w:numPr>
        <w:spacing w:after="13" w:line="247" w:lineRule="auto"/>
        <w:ind w:right="239"/>
        <w:jc w:val="both"/>
      </w:pPr>
      <w:r>
        <w:rPr>
          <w:rFonts w:ascii="Arial" w:eastAsia="Arial" w:hAnsi="Arial" w:cs="Arial"/>
          <w:i/>
        </w:rPr>
        <w:t xml:space="preserve">Que así esté </w:t>
      </w:r>
      <w:r>
        <w:rPr>
          <w:rFonts w:ascii="Arial" w:eastAsia="Arial" w:hAnsi="Arial" w:cs="Arial"/>
          <w:b/>
          <w:i/>
        </w:rPr>
        <w:t>previsto en los pliegos, que deberán detallar la fórmula de revisión aplicable</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 tales efectos, en la memoria que acompañe al expediente de contratación, el órgano de contratación deberá justificar el carácter recurrente de la variación de los distinto</w:t>
      </w:r>
      <w:r>
        <w:rPr>
          <w:rFonts w:ascii="Arial" w:eastAsia="Arial" w:hAnsi="Arial" w:cs="Arial"/>
          <w:i/>
        </w:rPr>
        <w:t>s componentes de coste a considerar en la fórmula de revisión de precios, el cumplimiento de los principios y límites contenidos en los artículos 3, 4, 5 y 7, así como el período de recuperación de la inversión del contrato. Deberá justificarse asimismo qu</w:t>
      </w:r>
      <w:r>
        <w:rPr>
          <w:rFonts w:ascii="Arial" w:eastAsia="Arial" w:hAnsi="Arial" w:cs="Arial"/>
          <w:i/>
        </w:rPr>
        <w:t xml:space="preserve">e los índices elegidos son aquellos que, con la mayor desagregación posible de entre los disponibles al público, mejor reflejen la evolución del componente de coste susceptible de revisión en cuestión.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2755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7642" name="Group 49764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9256" name="Picture 49256"/>
                          <pic:cNvPicPr/>
                        </pic:nvPicPr>
                        <pic:blipFill>
                          <a:blip r:embed="rId62"/>
                          <a:stretch>
                            <a:fillRect/>
                          </a:stretch>
                        </pic:blipFill>
                        <pic:spPr>
                          <a:xfrm rot="-5399999">
                            <a:off x="-1720849" y="1720849"/>
                            <a:ext cx="3797300" cy="355601"/>
                          </a:xfrm>
                          <a:prstGeom prst="rect">
                            <a:avLst/>
                          </a:prstGeom>
                        </pic:spPr>
                      </pic:pic>
                      <wps:wsp>
                        <wps:cNvPr id="49257" name="Rectangle 4925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9792ADAG9QWZ53RMHD5RCHL7K | V</w:t>
                              </w:r>
                              <w:r>
                                <w:rPr>
                                  <w:rFonts w:ascii="Arial" w:eastAsia="Arial" w:hAnsi="Arial" w:cs="Arial"/>
                                  <w:sz w:val="12"/>
                                </w:rPr>
                                <w:t xml:space="preserve">erificación: https://candelaria.sedelectronica.es/ </w:t>
                              </w:r>
                            </w:p>
                          </w:txbxContent>
                        </wps:txbx>
                        <wps:bodyPr horzOverflow="overflow" vert="horz" lIns="0" tIns="0" rIns="0" bIns="0" rtlCol="0">
                          <a:noAutofit/>
                        </wps:bodyPr>
                      </wps:wsp>
                      <wps:wsp>
                        <wps:cNvPr id="49258" name="Rectangle 4925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262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7642" style="width:41.2715pt;height:299pt;position:absolute;mso-position-horizontal-relative:page;mso-position-horizontal:absolute;margin-left:653.71pt;mso-position-vertical-relative:page;margin-top:512.92pt;" coordsize="5241,37973">
                <v:shape id="Picture 49256" style="position:absolute;width:37973;height:3556;left:-17208;top:17208;rotation:-89;" filled="f">
                  <v:imagedata r:id="rId63"/>
                </v:shape>
                <v:rect id="Rectangle 4925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925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262 de 353 </w:t>
                        </w:r>
                      </w:p>
                    </w:txbxContent>
                  </v:textbox>
                </v:rect>
                <w10:wrap type="square"/>
              </v:group>
            </w:pict>
          </mc:Fallback>
        </mc:AlternateContent>
      </w:r>
      <w:r>
        <w:rPr>
          <w:rFonts w:ascii="Arial" w:eastAsia="Arial" w:hAnsi="Arial" w:cs="Arial"/>
          <w:i/>
        </w:rPr>
        <w:t xml:space="preserve">En caso de que no exista fórmula tipo, el órgano de contratación justificará el cumplimiento del principio </w:t>
      </w:r>
      <w:r>
        <w:rPr>
          <w:rFonts w:ascii="Arial" w:eastAsia="Arial" w:hAnsi="Arial" w:cs="Arial"/>
          <w:i/>
        </w:rPr>
        <w:t xml:space="preserve">de eficiencia y buena gestión empresarial mencionado en el artículo 4, según lo dispuesto en los apartados 7 y 8.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Para los contratos con un precio igual o superior a cinco millones de euros, el órgano de contratación incluirá en el expediente de contratación un informe preceptivo valorativo de la estructura de costes, emitido por el Comité Superior de Precios de Contr</w:t>
      </w:r>
      <w:r>
        <w:rPr>
          <w:rFonts w:ascii="Arial" w:eastAsia="Arial" w:hAnsi="Arial" w:cs="Arial"/>
          <w:i/>
        </w:rPr>
        <w:t xml:space="preserve">atos del Estado. </w:t>
      </w:r>
    </w:p>
    <w:p w:rsidR="00FF384B" w:rsidRDefault="003E3BA9">
      <w:pPr>
        <w:spacing w:after="0"/>
      </w:pPr>
      <w:r>
        <w:rPr>
          <w:rFonts w:ascii="Times New Roman" w:eastAsia="Times New Roman" w:hAnsi="Times New Roman" w:cs="Times New Roman"/>
          <w:i/>
          <w:sz w:val="24"/>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i/>
        </w:rPr>
        <w:t xml:space="preserve">A tales efectos, el órgano de contratación deberá: </w:t>
      </w:r>
    </w:p>
    <w:p w:rsidR="00FF384B" w:rsidRDefault="003E3BA9">
      <w:pPr>
        <w:pBdr>
          <w:top w:val="single" w:sz="4" w:space="0" w:color="000000"/>
          <w:left w:val="single" w:sz="4" w:space="0" w:color="000000"/>
          <w:bottom w:val="single" w:sz="4" w:space="0" w:color="000000"/>
          <w:right w:val="single" w:sz="4" w:space="0" w:color="000000"/>
        </w:pBdr>
        <w:spacing w:after="0"/>
        <w:ind w:left="-15" w:right="242"/>
      </w:pPr>
      <w:r>
        <w:rPr>
          <w:rFonts w:ascii="Arial" w:eastAsia="Arial" w:hAnsi="Arial" w:cs="Arial"/>
          <w:i/>
        </w:rPr>
        <w:t xml:space="preserve"> </w:t>
      </w:r>
    </w:p>
    <w:p w:rsidR="00FF384B" w:rsidRDefault="003E3BA9">
      <w:pPr>
        <w:numPr>
          <w:ilvl w:val="0"/>
          <w:numId w:val="305"/>
        </w:numPr>
        <w:pBdr>
          <w:top w:val="single" w:sz="4" w:space="0" w:color="000000"/>
          <w:left w:val="single" w:sz="4" w:space="0" w:color="000000"/>
          <w:bottom w:val="single" w:sz="4" w:space="0" w:color="000000"/>
          <w:right w:val="single" w:sz="4" w:space="0" w:color="000000"/>
        </w:pBdr>
        <w:spacing w:after="0"/>
        <w:ind w:left="-15" w:right="242" w:firstLine="720"/>
        <w:jc w:val="both"/>
      </w:pPr>
      <w:r>
        <w:rPr>
          <w:rFonts w:ascii="Arial" w:eastAsia="Arial" w:hAnsi="Arial" w:cs="Arial"/>
          <w:i/>
        </w:rPr>
        <w:t xml:space="preserve">Solicitar a cinco operadores económicos del sector la remisión de su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i/>
        </w:rPr>
        <w:t xml:space="preserve">estructura de costes. </w:t>
      </w:r>
    </w:p>
    <w:p w:rsidR="00FF384B" w:rsidRDefault="003E3BA9">
      <w:pPr>
        <w:numPr>
          <w:ilvl w:val="0"/>
          <w:numId w:val="305"/>
        </w:numPr>
        <w:pBdr>
          <w:top w:val="single" w:sz="4" w:space="0" w:color="000000"/>
          <w:left w:val="single" w:sz="4" w:space="0" w:color="000000"/>
          <w:bottom w:val="single" w:sz="4" w:space="0" w:color="000000"/>
          <w:right w:val="single" w:sz="4" w:space="0" w:color="000000"/>
        </w:pBdr>
        <w:spacing w:after="5" w:line="249" w:lineRule="auto"/>
        <w:ind w:left="-15" w:right="242" w:firstLine="720"/>
        <w:jc w:val="both"/>
      </w:pPr>
      <w:r>
        <w:rPr>
          <w:rFonts w:ascii="Arial" w:eastAsia="Arial" w:hAnsi="Arial" w:cs="Arial"/>
          <w:i/>
        </w:rPr>
        <w:t xml:space="preserve">Elaborar una propuesta de estructura de costes de la actividad. Para ello utilizará, siempre que sea posible, la información de las respuestas que reciba de los operadores económicos mencionados en la letra anterior. </w:t>
      </w:r>
    </w:p>
    <w:p w:rsidR="00FF384B" w:rsidRDefault="003E3BA9">
      <w:pPr>
        <w:numPr>
          <w:ilvl w:val="0"/>
          <w:numId w:val="305"/>
        </w:numPr>
        <w:pBdr>
          <w:top w:val="single" w:sz="4" w:space="0" w:color="000000"/>
          <w:left w:val="single" w:sz="4" w:space="0" w:color="000000"/>
          <w:bottom w:val="single" w:sz="4" w:space="0" w:color="000000"/>
          <w:right w:val="single" w:sz="4" w:space="0" w:color="000000"/>
        </w:pBdr>
        <w:spacing w:after="5" w:line="249" w:lineRule="auto"/>
        <w:ind w:left="-15" w:right="242" w:firstLine="720"/>
        <w:jc w:val="both"/>
      </w:pPr>
      <w:r>
        <w:rPr>
          <w:rFonts w:ascii="Arial" w:eastAsia="Arial" w:hAnsi="Arial" w:cs="Arial"/>
          <w:i/>
        </w:rPr>
        <w:t>Someter su propuesta de estructura de costes a un trámite de información pública por un plazo de 20 días. En caso de que se presenten alegaciones en dicho trámite, el órgano de contratación deberá valorar su aceptación o rechazo de forma motivada en la mem</w:t>
      </w:r>
      <w:r>
        <w:rPr>
          <w:rFonts w:ascii="Arial" w:eastAsia="Arial" w:hAnsi="Arial" w:cs="Arial"/>
          <w:i/>
        </w:rPr>
        <w:t xml:space="preserve">oria. </w:t>
      </w:r>
    </w:p>
    <w:p w:rsidR="00FF384B" w:rsidRDefault="003E3BA9">
      <w:pPr>
        <w:pBdr>
          <w:top w:val="single" w:sz="4" w:space="0" w:color="000000"/>
          <w:left w:val="single" w:sz="4" w:space="0" w:color="000000"/>
          <w:bottom w:val="single" w:sz="4" w:space="0" w:color="000000"/>
          <w:right w:val="single" w:sz="4" w:space="0" w:color="000000"/>
        </w:pBdr>
        <w:spacing w:after="0"/>
        <w:ind w:left="-15" w:right="242"/>
      </w:pPr>
      <w:r>
        <w:rPr>
          <w:rFonts w:ascii="Arial" w:eastAsia="Arial" w:hAnsi="Arial" w:cs="Arial"/>
          <w:i/>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5" w:right="242" w:hanging="10"/>
        <w:jc w:val="both"/>
      </w:pPr>
      <w:r>
        <w:rPr>
          <w:rFonts w:ascii="Arial" w:eastAsia="Arial" w:hAnsi="Arial" w:cs="Arial"/>
          <w:i/>
        </w:rPr>
        <w:t>En el caso de los contratos de concesión de obra pública, el órgano de contratación podrá optar por incluir este trámite de información como parte del previsto en el apartado 3 del artículo 128 del texto refundido de la Ley de Contratos del Sector</w:t>
      </w:r>
      <w:r>
        <w:rPr>
          <w:rFonts w:ascii="Arial" w:eastAsia="Arial" w:hAnsi="Arial" w:cs="Arial"/>
          <w:i/>
        </w:rPr>
        <w:t xml:space="preserve"> Público, aprobado por Real Decreto legislativo 3/2011, de 14 de noviembre. </w:t>
      </w:r>
    </w:p>
    <w:p w:rsidR="00FF384B" w:rsidRDefault="003E3BA9">
      <w:pPr>
        <w:pBdr>
          <w:top w:val="single" w:sz="4" w:space="0" w:color="000000"/>
          <w:left w:val="single" w:sz="4" w:space="0" w:color="000000"/>
          <w:bottom w:val="single" w:sz="4" w:space="0" w:color="000000"/>
          <w:right w:val="single" w:sz="4" w:space="0" w:color="000000"/>
        </w:pBdr>
        <w:spacing w:after="0"/>
        <w:ind w:left="-15" w:right="242"/>
      </w:pPr>
      <w:r>
        <w:rPr>
          <w:rFonts w:ascii="Arial" w:eastAsia="Arial" w:hAnsi="Arial" w:cs="Arial"/>
          <w:i/>
        </w:rPr>
        <w:t xml:space="preserve"> </w:t>
      </w:r>
    </w:p>
    <w:p w:rsidR="00FF384B" w:rsidRDefault="003E3BA9">
      <w:pPr>
        <w:numPr>
          <w:ilvl w:val="0"/>
          <w:numId w:val="305"/>
        </w:numPr>
        <w:pBdr>
          <w:top w:val="single" w:sz="4" w:space="0" w:color="000000"/>
          <w:left w:val="single" w:sz="4" w:space="0" w:color="000000"/>
          <w:bottom w:val="single" w:sz="4" w:space="0" w:color="000000"/>
          <w:right w:val="single" w:sz="4" w:space="0" w:color="000000"/>
        </w:pBdr>
        <w:spacing w:after="0"/>
        <w:ind w:left="-8" w:right="242" w:firstLine="720"/>
        <w:jc w:val="both"/>
      </w:pPr>
      <w:r>
        <w:rPr>
          <w:rFonts w:ascii="Arial" w:eastAsia="Arial" w:hAnsi="Arial" w:cs="Arial"/>
          <w:i/>
        </w:rPr>
        <w:t xml:space="preserve">Remitir su propuesta de estructura de costes al Comité Superior de Precios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2" w:right="242" w:hanging="10"/>
        <w:jc w:val="both"/>
      </w:pPr>
      <w:r>
        <w:rPr>
          <w:rFonts w:ascii="Arial" w:eastAsia="Arial" w:hAnsi="Arial" w:cs="Arial"/>
          <w:i/>
        </w:rPr>
        <w:t xml:space="preserve">de Contratos del Estado. </w:t>
      </w:r>
    </w:p>
    <w:p w:rsidR="00FF384B" w:rsidRDefault="003E3BA9">
      <w:pPr>
        <w:pBdr>
          <w:top w:val="single" w:sz="4" w:space="0" w:color="000000"/>
          <w:left w:val="single" w:sz="4" w:space="0" w:color="000000"/>
          <w:bottom w:val="single" w:sz="4" w:space="0" w:color="000000"/>
          <w:right w:val="single" w:sz="4" w:space="0" w:color="000000"/>
        </w:pBdr>
        <w:spacing w:after="0"/>
        <w:ind w:left="-8" w:right="242"/>
      </w:pPr>
      <w:r>
        <w:rPr>
          <w:rFonts w:ascii="Arial" w:eastAsia="Arial" w:hAnsi="Arial" w:cs="Arial"/>
          <w:i/>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2" w:right="242" w:hanging="10"/>
        <w:jc w:val="both"/>
      </w:pPr>
      <w:r>
        <w:rPr>
          <w:rFonts w:ascii="Arial" w:eastAsia="Arial" w:hAnsi="Arial" w:cs="Arial"/>
          <w:i/>
        </w:rPr>
        <w:t>En el caso de las Comunidades Autónomas y de las Entidades Locales, así como de los organismos y entidades de ellas dependientes, este informe podrá ser recabado del órgano autonómico consultivo en materia de contratación pública, si existiera. En caso con</w:t>
      </w:r>
      <w:r>
        <w:rPr>
          <w:rFonts w:ascii="Arial" w:eastAsia="Arial" w:hAnsi="Arial" w:cs="Arial"/>
          <w:i/>
        </w:rPr>
        <w:t xml:space="preserve">trario, deberá ser recabado del Comité Superior de Precios de Contratos del Estado. </w:t>
      </w:r>
    </w:p>
    <w:p w:rsidR="00FF384B" w:rsidRDefault="003E3BA9">
      <w:pPr>
        <w:pBdr>
          <w:top w:val="single" w:sz="4" w:space="0" w:color="000000"/>
          <w:left w:val="single" w:sz="4" w:space="0" w:color="000000"/>
          <w:bottom w:val="single" w:sz="4" w:space="0" w:color="000000"/>
          <w:right w:val="single" w:sz="4" w:space="0" w:color="000000"/>
        </w:pBdr>
        <w:spacing w:after="0"/>
        <w:ind w:left="-8" w:right="242"/>
      </w:pPr>
      <w:r>
        <w:rPr>
          <w:rFonts w:ascii="Arial" w:eastAsia="Arial" w:hAnsi="Arial" w:cs="Arial"/>
          <w:i/>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5" w:line="249" w:lineRule="auto"/>
        <w:ind w:left="2" w:right="242" w:hanging="10"/>
        <w:jc w:val="both"/>
      </w:pPr>
      <w:r>
        <w:rPr>
          <w:rFonts w:ascii="Arial" w:eastAsia="Arial" w:hAnsi="Arial" w:cs="Arial"/>
          <w:i/>
        </w:rPr>
        <w:t>En todo caso, el órgano de contratación deberá comunicar a efectos informativos al Comité Superior de Precios de Contratos del Estado y, en su caso, al órgano autonómico</w:t>
      </w:r>
      <w:r>
        <w:rPr>
          <w:rFonts w:ascii="Arial" w:eastAsia="Arial" w:hAnsi="Arial" w:cs="Arial"/>
          <w:i/>
        </w:rPr>
        <w:t xml:space="preserve"> consultivo correspondiente, la estructura de costes incluida en el pliego. </w:t>
      </w:r>
    </w:p>
    <w:p w:rsidR="00FF384B" w:rsidRDefault="003E3BA9">
      <w:pPr>
        <w:spacing w:after="98"/>
        <w:ind w:left="360"/>
      </w:pPr>
      <w:r>
        <w:rPr>
          <w:rFonts w:ascii="Arial" w:eastAsia="Arial" w:hAnsi="Arial" w:cs="Arial"/>
          <w:i/>
        </w:rPr>
        <w:t xml:space="preserve"> </w:t>
      </w:r>
    </w:p>
    <w:p w:rsidR="00FF384B" w:rsidRDefault="003E3BA9">
      <w:pPr>
        <w:spacing w:after="114"/>
        <w:ind w:left="360"/>
      </w:pPr>
      <w:r>
        <w:rPr>
          <w:rFonts w:ascii="Arial" w:eastAsia="Arial" w:hAnsi="Arial" w:cs="Arial"/>
          <w:i/>
        </w:rPr>
        <w:t xml:space="preserve"> </w:t>
      </w:r>
    </w:p>
    <w:p w:rsidR="00FF384B" w:rsidRDefault="003E3BA9">
      <w:pPr>
        <w:pStyle w:val="Ttulo2"/>
        <w:shd w:val="clear" w:color="auto" w:fill="E0E0E0"/>
        <w:spacing w:after="225" w:line="250" w:lineRule="auto"/>
        <w:ind w:left="10" w:right="254"/>
      </w:pPr>
      <w:r>
        <w:rPr>
          <w:i/>
        </w:rPr>
        <w:t>CONCLUSIÓN</w:t>
      </w:r>
      <w:r>
        <w:rPr>
          <w:rFonts w:ascii="Times New Roman" w:eastAsia="Times New Roman" w:hAnsi="Times New Roman" w:cs="Times New Roman"/>
          <w:b w:val="0"/>
          <w:sz w:val="24"/>
        </w:rPr>
        <w:t xml:space="preserve"> </w:t>
      </w:r>
    </w:p>
    <w:p w:rsidR="00FF384B" w:rsidRDefault="003E3BA9">
      <w:pPr>
        <w:spacing w:after="4" w:line="247" w:lineRule="auto"/>
        <w:ind w:left="10" w:right="244" w:hanging="10"/>
        <w:jc w:val="both"/>
      </w:pPr>
      <w:r>
        <w:rPr>
          <w:rFonts w:ascii="Arial" w:eastAsia="Arial" w:hAnsi="Arial" w:cs="Arial"/>
          <w:i/>
        </w:rPr>
        <w:t xml:space="preserve"> </w:t>
      </w:r>
      <w:r>
        <w:rPr>
          <w:rFonts w:ascii="Arial" w:eastAsia="Arial" w:hAnsi="Arial" w:cs="Arial"/>
          <w:i/>
        </w:rPr>
        <w:t xml:space="preserve">En virtud de lo expuesto anteriormente, se informa que el contrato de servicios de Gestión de residuos, limpieza viaria y del litoral del municipio Candelaria tendrá una duración de </w:t>
      </w:r>
      <w:r>
        <w:rPr>
          <w:rFonts w:ascii="Arial" w:eastAsia="Arial" w:hAnsi="Arial" w:cs="Arial"/>
          <w:b/>
          <w:i/>
        </w:rPr>
        <w:t>7 años,</w:t>
      </w:r>
      <w:r>
        <w:rPr>
          <w:rFonts w:ascii="Arial" w:eastAsia="Arial" w:hAnsi="Arial" w:cs="Arial"/>
          <w:i/>
        </w:rPr>
        <w:t xml:space="preserve"> según lo reflejado en el estudio de la recuperación de la inversió</w:t>
      </w:r>
      <w:r>
        <w:rPr>
          <w:rFonts w:ascii="Arial" w:eastAsia="Arial" w:hAnsi="Arial" w:cs="Arial"/>
          <w:i/>
        </w:rPr>
        <w:t>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 Para la determinación de la fórmula de revisión de precios del futuro contrato se solicita al órgano de contratación lo siguiente: </w:t>
      </w:r>
    </w:p>
    <w:p w:rsidR="00FF384B" w:rsidRDefault="003E3BA9">
      <w:pPr>
        <w:spacing w:after="0"/>
      </w:pPr>
      <w:r>
        <w:rPr>
          <w:rFonts w:ascii="Arial" w:eastAsia="Arial" w:hAnsi="Arial" w:cs="Arial"/>
          <w:i/>
        </w:rPr>
        <w:t xml:space="preserve"> </w:t>
      </w:r>
    </w:p>
    <w:p w:rsidR="00FF384B" w:rsidRDefault="003E3BA9">
      <w:pPr>
        <w:tabs>
          <w:tab w:val="center" w:pos="411"/>
          <w:tab w:val="center" w:pos="3777"/>
        </w:tabs>
        <w:spacing w:after="5" w:line="249"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i/>
          <w:u w:val="single" w:color="000000"/>
        </w:rPr>
        <w:t>Solicitar la estructura de costes de 5 operadores del sector.</w:t>
      </w:r>
      <w:r>
        <w:rPr>
          <w:rFonts w:ascii="Arial" w:eastAsia="Arial" w:hAnsi="Arial" w:cs="Arial"/>
          <w:b/>
          <w:i/>
        </w:rPr>
        <w:t xml:space="preserve"> </w:t>
      </w:r>
    </w:p>
    <w:p w:rsidR="00FF384B" w:rsidRDefault="003E3BA9">
      <w:pPr>
        <w:spacing w:after="0"/>
        <w:ind w:left="72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2857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8160" name="Group 49816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9397" name="Picture 49397"/>
                          <pic:cNvPicPr/>
                        </pic:nvPicPr>
                        <pic:blipFill>
                          <a:blip r:embed="rId62"/>
                          <a:stretch>
                            <a:fillRect/>
                          </a:stretch>
                        </pic:blipFill>
                        <pic:spPr>
                          <a:xfrm rot="-5399999">
                            <a:off x="-1720849" y="1720849"/>
                            <a:ext cx="3797300" cy="355601"/>
                          </a:xfrm>
                          <a:prstGeom prst="rect">
                            <a:avLst/>
                          </a:prstGeom>
                        </pic:spPr>
                      </pic:pic>
                      <wps:wsp>
                        <wps:cNvPr id="49398" name="Rectangle 4939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9399" name="Rectangle 4939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263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8160" style="width:41.2715pt;height:299pt;position:absolute;mso-position-horizontal-relative:page;mso-position-horizontal:absolute;margin-left:653.71pt;mso-position-vertical-relative:page;margin-top:512.92pt;" coordsize="5241,37973">
                <v:shape id="Picture 49397" style="position:absolute;width:37973;height:3556;left:-17208;top:17208;rotation:-89;" filled="f">
                  <v:imagedata r:id="rId63"/>
                </v:shape>
                <v:rect id="Rectangle 4939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939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263 de 353 </w:t>
                        </w:r>
                      </w:p>
                    </w:txbxContent>
                  </v:textbox>
                </v:rect>
                <w10:wrap type="square"/>
              </v:group>
            </w:pict>
          </mc:Fallback>
        </mc:AlternateContent>
      </w:r>
      <w:r>
        <w:rPr>
          <w:rFonts w:ascii="Arial" w:eastAsia="Arial" w:hAnsi="Arial" w:cs="Arial"/>
          <w:i/>
        </w:rPr>
        <w:t xml:space="preserve"> La fórmula de revisión de precios determinada en base a la e</w:t>
      </w:r>
      <w:r>
        <w:rPr>
          <w:rFonts w:ascii="Arial" w:eastAsia="Arial" w:hAnsi="Arial" w:cs="Arial"/>
          <w:i/>
        </w:rPr>
        <w:t xml:space="preserve">structura de costes de los 5 operadores del sector, se deberá dar trámite de información pública durante 20 días. </w:t>
      </w:r>
    </w:p>
    <w:p w:rsidR="00FF384B" w:rsidRDefault="003E3BA9">
      <w:pPr>
        <w:spacing w:after="0"/>
      </w:pPr>
      <w:r>
        <w:rPr>
          <w:rFonts w:ascii="Arial" w:eastAsia="Arial" w:hAnsi="Arial" w:cs="Arial"/>
          <w:i/>
        </w:rPr>
        <w:t xml:space="preserve"> </w:t>
      </w:r>
    </w:p>
    <w:p w:rsidR="00FF384B" w:rsidRDefault="003E3BA9">
      <w:pPr>
        <w:spacing w:after="111" w:line="247" w:lineRule="auto"/>
        <w:ind w:right="244" w:firstLine="432"/>
        <w:jc w:val="both"/>
      </w:pPr>
      <w:r>
        <w:rPr>
          <w:rFonts w:ascii="Arial" w:eastAsia="Arial" w:hAnsi="Arial" w:cs="Arial"/>
          <w:i/>
        </w:rPr>
        <w:t xml:space="preserve">Es cuanto se tiene que informar al respecto para los efectos que se estimen oportunos. </w:t>
      </w:r>
    </w:p>
    <w:p w:rsidR="00FF384B" w:rsidRDefault="003E3BA9">
      <w:pPr>
        <w:spacing w:after="98"/>
      </w:pPr>
      <w:r>
        <w:rPr>
          <w:rFonts w:ascii="Arial" w:eastAsia="Arial" w:hAnsi="Arial" w:cs="Arial"/>
          <w:b/>
          <w:i/>
        </w:rPr>
        <w:t xml:space="preserve"> </w:t>
      </w:r>
    </w:p>
    <w:p w:rsidR="00FF384B" w:rsidRDefault="003E3BA9">
      <w:pPr>
        <w:spacing w:after="112" w:line="247" w:lineRule="auto"/>
        <w:ind w:left="10" w:right="244" w:hanging="10"/>
        <w:jc w:val="both"/>
      </w:pPr>
      <w:r>
        <w:rPr>
          <w:rFonts w:ascii="Arial" w:eastAsia="Arial" w:hAnsi="Arial" w:cs="Arial"/>
          <w:b/>
          <w:i/>
        </w:rPr>
        <w:t xml:space="preserve">TERCERO.- </w:t>
      </w:r>
      <w:r>
        <w:rPr>
          <w:rFonts w:ascii="Arial" w:eastAsia="Arial" w:hAnsi="Arial" w:cs="Arial"/>
          <w:i/>
        </w:rPr>
        <w:t xml:space="preserve">Consta remisión de oficio a cinco operadores del sector solicitándole su estructura de costes, y más concretamente a las siguientes empresas: </w:t>
      </w:r>
      <w:r>
        <w:rPr>
          <w:rFonts w:ascii="Arial" w:eastAsia="Arial" w:hAnsi="Arial" w:cs="Arial"/>
        </w:rPr>
        <w:t xml:space="preserve"> </w:t>
      </w:r>
    </w:p>
    <w:p w:rsidR="00FF384B" w:rsidRDefault="003E3BA9">
      <w:pPr>
        <w:tabs>
          <w:tab w:val="center" w:pos="1295"/>
        </w:tabs>
        <w:spacing w:after="120" w:line="247" w:lineRule="auto"/>
      </w:pPr>
      <w:r>
        <w:rPr>
          <w:rFonts w:ascii="Arial" w:eastAsia="Arial" w:hAnsi="Arial" w:cs="Arial"/>
          <w:i/>
        </w:rPr>
        <w:t xml:space="preserve"> </w:t>
      </w:r>
      <w:r>
        <w:rPr>
          <w:rFonts w:ascii="Arial" w:eastAsia="Arial" w:hAnsi="Arial" w:cs="Arial"/>
          <w:i/>
        </w:rPr>
        <w:tab/>
        <w:t xml:space="preserve">ASCAN, SA </w:t>
      </w:r>
    </w:p>
    <w:p w:rsidR="00FF384B" w:rsidRDefault="003E3BA9">
      <w:pPr>
        <w:tabs>
          <w:tab w:val="center" w:pos="3484"/>
        </w:tabs>
        <w:spacing w:after="117" w:line="247" w:lineRule="auto"/>
      </w:pPr>
      <w:r>
        <w:rPr>
          <w:rFonts w:ascii="Arial" w:eastAsia="Arial" w:hAnsi="Arial" w:cs="Arial"/>
          <w:i/>
        </w:rPr>
        <w:t xml:space="preserve"> </w:t>
      </w:r>
      <w:r>
        <w:rPr>
          <w:rFonts w:ascii="Arial" w:eastAsia="Arial" w:hAnsi="Arial" w:cs="Arial"/>
          <w:i/>
        </w:rPr>
        <w:tab/>
        <w:t xml:space="preserve">FOMENTO DE CONSTRUCCIONES Y CONTRATAS,SA </w:t>
      </w:r>
    </w:p>
    <w:p w:rsidR="00FF384B" w:rsidRDefault="003E3BA9">
      <w:pPr>
        <w:tabs>
          <w:tab w:val="center" w:pos="1416"/>
        </w:tabs>
        <w:spacing w:after="119" w:line="247" w:lineRule="auto"/>
      </w:pPr>
      <w:r>
        <w:rPr>
          <w:rFonts w:ascii="Arial" w:eastAsia="Arial" w:hAnsi="Arial" w:cs="Arial"/>
          <w:i/>
        </w:rPr>
        <w:t xml:space="preserve"> </w:t>
      </w:r>
      <w:r>
        <w:rPr>
          <w:rFonts w:ascii="Arial" w:eastAsia="Arial" w:hAnsi="Arial" w:cs="Arial"/>
          <w:i/>
        </w:rPr>
        <w:tab/>
        <w:t xml:space="preserve">URBASER,SA </w:t>
      </w:r>
    </w:p>
    <w:p w:rsidR="00FF384B" w:rsidRDefault="003E3BA9">
      <w:pPr>
        <w:tabs>
          <w:tab w:val="center" w:pos="2387"/>
        </w:tabs>
        <w:spacing w:after="117" w:line="247" w:lineRule="auto"/>
      </w:pPr>
      <w:r>
        <w:rPr>
          <w:rFonts w:ascii="Arial" w:eastAsia="Arial" w:hAnsi="Arial" w:cs="Arial"/>
          <w:i/>
        </w:rPr>
        <w:t xml:space="preserve"> </w:t>
      </w:r>
      <w:r>
        <w:rPr>
          <w:rFonts w:ascii="Arial" w:eastAsia="Arial" w:hAnsi="Arial" w:cs="Arial"/>
          <w:i/>
        </w:rPr>
        <w:tab/>
        <w:t xml:space="preserve">MARTINEZ CANO CANARIAS,SA </w:t>
      </w:r>
    </w:p>
    <w:p w:rsidR="00FF384B" w:rsidRDefault="003E3BA9">
      <w:pPr>
        <w:tabs>
          <w:tab w:val="center" w:pos="3257"/>
        </w:tabs>
        <w:spacing w:after="117" w:line="247" w:lineRule="auto"/>
      </w:pPr>
      <w:r>
        <w:rPr>
          <w:rFonts w:ascii="Arial" w:eastAsia="Arial" w:hAnsi="Arial" w:cs="Arial"/>
          <w:i/>
        </w:rPr>
        <w:t xml:space="preserve"> </w:t>
      </w:r>
      <w:r>
        <w:rPr>
          <w:rFonts w:ascii="Arial" w:eastAsia="Arial" w:hAnsi="Arial" w:cs="Arial"/>
          <w:i/>
        </w:rPr>
        <w:tab/>
        <w:t>VALORIZA S</w:t>
      </w:r>
      <w:r>
        <w:rPr>
          <w:rFonts w:ascii="Arial" w:eastAsia="Arial" w:hAnsi="Arial" w:cs="Arial"/>
          <w:i/>
        </w:rPr>
        <w:t xml:space="preserve">ERVICIOS MEDIO  AMBIENTALES,SA </w:t>
      </w:r>
    </w:p>
    <w:p w:rsidR="00FF384B" w:rsidRDefault="003E3BA9">
      <w:pPr>
        <w:spacing w:after="10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b/>
          <w:i/>
        </w:rPr>
        <w:t xml:space="preserve">CUARTO.- </w:t>
      </w:r>
      <w:r>
        <w:rPr>
          <w:rFonts w:ascii="Arial" w:eastAsia="Arial" w:hAnsi="Arial" w:cs="Arial"/>
          <w:i/>
        </w:rPr>
        <w:t>Consta informe firmado por el Ingeniero técnico industrial municipal, Arquitecto técnico municipal y por el Agente de Empleo y Desarrollo Local de fecha 21 de abril de 2021, una vez recibidas las estructuras de co</w:t>
      </w:r>
      <w:r>
        <w:rPr>
          <w:rFonts w:ascii="Arial" w:eastAsia="Arial" w:hAnsi="Arial" w:cs="Arial"/>
          <w:i/>
        </w:rPr>
        <w:t>stes de las empresas a las que se le solicitó a excepción de la empresa MARTINEZ CANO CANARIAS,SA, que no la presentó, referido a la aprobación de la estructura de costes de la presente licitación, así como establecer la fórmula de revisión de precios, tod</w:t>
      </w:r>
      <w:r>
        <w:rPr>
          <w:rFonts w:ascii="Arial" w:eastAsia="Arial" w:hAnsi="Arial" w:cs="Arial"/>
          <w:i/>
        </w:rPr>
        <w:t>o ello en virtud del Real Decreto 55/2017, de 3 de febrero, por el que se desarrolla la Ley 2/2015, de 30 de marzo de desindexación de la economía española, cuyo texto dice:</w:t>
      </w:r>
      <w:r>
        <w:rPr>
          <w:rFonts w:ascii="Arial" w:eastAsia="Arial" w:hAnsi="Arial" w:cs="Arial"/>
        </w:rPr>
        <w:t xml:space="preserve"> </w:t>
      </w:r>
    </w:p>
    <w:p w:rsidR="00FF384B" w:rsidRDefault="003E3BA9">
      <w:pPr>
        <w:spacing w:after="103"/>
      </w:pPr>
      <w:r>
        <w:rPr>
          <w:rFonts w:ascii="Arial" w:eastAsia="Arial" w:hAnsi="Arial" w:cs="Arial"/>
          <w:i/>
        </w:rPr>
        <w:t xml:space="preserve"> </w:t>
      </w:r>
    </w:p>
    <w:p w:rsidR="00FF384B" w:rsidRDefault="003E3BA9">
      <w:pPr>
        <w:pStyle w:val="Ttulo2"/>
        <w:spacing w:after="108" w:line="249" w:lineRule="auto"/>
        <w:ind w:left="427" w:right="669"/>
      </w:pPr>
      <w:r>
        <w:rPr>
          <w:b w:val="0"/>
          <w:i/>
        </w:rPr>
        <w:t>“</w:t>
      </w:r>
      <w:r>
        <w:rPr>
          <w:i/>
        </w:rPr>
        <w:t>INFORME</w:t>
      </w:r>
      <w:r>
        <w:rPr>
          <w:b w:val="0"/>
        </w:rPr>
        <w:t xml:space="preserve"> </w:t>
      </w:r>
    </w:p>
    <w:p w:rsidR="00FF384B" w:rsidRDefault="003E3BA9">
      <w:pPr>
        <w:spacing w:after="13" w:line="247" w:lineRule="auto"/>
        <w:ind w:right="318"/>
        <w:jc w:val="both"/>
      </w:pPr>
      <w:r>
        <w:rPr>
          <w:rFonts w:ascii="Arial" w:eastAsia="Arial" w:hAnsi="Arial" w:cs="Arial"/>
          <w:b/>
          <w:i/>
        </w:rPr>
        <w:t>Visto el expediente antedicho, el funcionario, D. Daniel Espejo Cómez</w:t>
      </w:r>
      <w:r>
        <w:rPr>
          <w:rFonts w:ascii="Arial" w:eastAsia="Arial" w:hAnsi="Arial" w:cs="Arial"/>
          <w:b/>
          <w:i/>
        </w:rPr>
        <w:t>, que desempeña el puesto de trabajo de Ingeniero Técnico Industrial, en la oficina técnica de la Concejalía de Planificación y Gestión Urbanística y Ambiental, el personal laboral D. Jaime Mayor Llinares que desempeña el puesto de trabajo de Técnico de la</w:t>
      </w:r>
      <w:r>
        <w:rPr>
          <w:rFonts w:ascii="Arial" w:eastAsia="Arial" w:hAnsi="Arial" w:cs="Arial"/>
          <w:b/>
          <w:i/>
        </w:rPr>
        <w:t xml:space="preserve"> Agencia de Desarrollo Local y el funcionario D Javier González Gómez que desarrolla el puesto de trabajo de Arquitecto Técnico en la Concejalía de Obras, Servicios, Parques y Jardines, emiten el siguiente informe: </w:t>
      </w:r>
    </w:p>
    <w:p w:rsidR="00FF384B" w:rsidRDefault="003E3BA9">
      <w:pPr>
        <w:spacing w:after="114"/>
      </w:pPr>
      <w:r>
        <w:rPr>
          <w:rFonts w:ascii="Arial" w:eastAsia="Arial" w:hAnsi="Arial" w:cs="Arial"/>
          <w:i/>
        </w:rPr>
        <w:t xml:space="preserve"> </w:t>
      </w:r>
    </w:p>
    <w:p w:rsidR="00FF384B" w:rsidRDefault="003E3BA9">
      <w:pPr>
        <w:pStyle w:val="Ttulo2"/>
        <w:shd w:val="clear" w:color="auto" w:fill="E0E0E0"/>
        <w:spacing w:after="225" w:line="250" w:lineRule="auto"/>
        <w:ind w:left="10" w:right="254"/>
      </w:pPr>
      <w:r>
        <w:rPr>
          <w:i/>
        </w:rPr>
        <w:t>OBJETO</w:t>
      </w:r>
      <w:r>
        <w:rPr>
          <w:rFonts w:ascii="Times New Roman" w:eastAsia="Times New Roman" w:hAnsi="Times New Roman" w:cs="Times New Roman"/>
          <w:b w:val="0"/>
          <w:sz w:val="24"/>
        </w:rPr>
        <w:t xml:space="preserve"> </w:t>
      </w:r>
    </w:p>
    <w:p w:rsidR="00FF384B" w:rsidRDefault="003E3BA9">
      <w:pPr>
        <w:spacing w:after="4" w:line="247" w:lineRule="auto"/>
        <w:ind w:left="10" w:right="244" w:hanging="10"/>
        <w:jc w:val="both"/>
      </w:pPr>
      <w:r>
        <w:rPr>
          <w:rFonts w:ascii="Arial" w:eastAsia="Arial" w:hAnsi="Arial" w:cs="Arial"/>
          <w:i/>
        </w:rPr>
        <w:t>El objeto del presente informe es describir la estructura de costes del servicio de gestión de residuos, limpieza viaria y del litoral del Ayuntamiento de Candelaria, así como definir una fórmula de revisión de precios, todo ello en virtud del Real Decreto</w:t>
      </w:r>
      <w:r>
        <w:rPr>
          <w:rFonts w:ascii="Arial" w:eastAsia="Arial" w:hAnsi="Arial" w:cs="Arial"/>
          <w:i/>
        </w:rPr>
        <w:t xml:space="preserve"> 55/2017, de 3 de febrero, por el que se desarrolla la Ley 2/2015, de 30 de marzo, de desindexación de la economía española.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pStyle w:val="Ttulo2"/>
        <w:shd w:val="clear" w:color="auto" w:fill="E0E0E0"/>
        <w:spacing w:after="225" w:line="250" w:lineRule="auto"/>
        <w:ind w:left="10" w:right="255"/>
      </w:pPr>
      <w:r>
        <w:rPr>
          <w:i/>
        </w:rPr>
        <w:t xml:space="preserve">MARCO NORMATIVO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13" w:line="247" w:lineRule="auto"/>
        <w:ind w:right="239"/>
        <w:jc w:val="both"/>
      </w:pPr>
      <w:r>
        <w:rPr>
          <w:rFonts w:ascii="Arial" w:eastAsia="Arial" w:hAnsi="Arial" w:cs="Arial"/>
          <w:i/>
        </w:rPr>
        <w:t xml:space="preserve">La </w:t>
      </w:r>
      <w:r>
        <w:rPr>
          <w:rFonts w:ascii="Arial" w:eastAsia="Arial" w:hAnsi="Arial" w:cs="Arial"/>
          <w:b/>
          <w:i/>
        </w:rPr>
        <w:t xml:space="preserve">Ley 9/2017, de 8 de noviembre, </w:t>
      </w:r>
      <w:r>
        <w:rPr>
          <w:rFonts w:ascii="Arial" w:eastAsia="Arial" w:hAnsi="Arial" w:cs="Arial"/>
          <w:i/>
        </w:rPr>
        <w:t xml:space="preserve">en su </w:t>
      </w:r>
      <w:r>
        <w:rPr>
          <w:rFonts w:ascii="Arial" w:eastAsia="Arial" w:hAnsi="Arial" w:cs="Arial"/>
          <w:b/>
          <w:i/>
        </w:rPr>
        <w:t xml:space="preserve">artículo 103 </w:t>
      </w:r>
      <w:r>
        <w:rPr>
          <w:rFonts w:ascii="Arial" w:eastAsia="Arial" w:hAnsi="Arial" w:cs="Arial"/>
          <w:i/>
        </w:rPr>
        <w:t>establece:</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718" w:right="244" w:hanging="10"/>
        <w:jc w:val="both"/>
      </w:pPr>
      <w:r>
        <w:rPr>
          <w:noProof/>
        </w:rPr>
        <mc:AlternateContent>
          <mc:Choice Requires="wpg">
            <w:drawing>
              <wp:anchor distT="0" distB="0" distL="114300" distR="114300" simplePos="0" relativeHeight="25192960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7417" name="Group 49741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9505" name="Picture 49505"/>
                          <pic:cNvPicPr/>
                        </pic:nvPicPr>
                        <pic:blipFill>
                          <a:blip r:embed="rId62"/>
                          <a:stretch>
                            <a:fillRect/>
                          </a:stretch>
                        </pic:blipFill>
                        <pic:spPr>
                          <a:xfrm rot="-5399999">
                            <a:off x="-1720849" y="1720849"/>
                            <a:ext cx="3797300" cy="355601"/>
                          </a:xfrm>
                          <a:prstGeom prst="rect">
                            <a:avLst/>
                          </a:prstGeom>
                        </pic:spPr>
                      </pic:pic>
                      <wps:wsp>
                        <wps:cNvPr id="49506" name="Rectangle 49506"/>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Validación: 9792ADAG9QWZ53RMHD5R</w:t>
                              </w:r>
                              <w:r>
                                <w:rPr>
                                  <w:rFonts w:ascii="Arial" w:eastAsia="Arial" w:hAnsi="Arial" w:cs="Arial"/>
                                  <w:sz w:val="12"/>
                                </w:rPr>
                                <w:t xml:space="preserve">CHL7K | Verificación: https://candelaria.sedelectronica.es/ </w:t>
                              </w:r>
                            </w:p>
                          </w:txbxContent>
                        </wps:txbx>
                        <wps:bodyPr horzOverflow="overflow" vert="horz" lIns="0" tIns="0" rIns="0" bIns="0" rtlCol="0">
                          <a:noAutofit/>
                        </wps:bodyPr>
                      </wps:wsp>
                      <wps:wsp>
                        <wps:cNvPr id="49507" name="Rectangle 49507"/>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264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7417" style="width:41.2715pt;height:299pt;position:absolute;mso-position-horizontal-relative:page;mso-position-horizontal:absolute;margin-left:653.71pt;mso-position-vertical-relative:page;margin-top:512.92pt;" coordsize="5241,37973">
                <v:shape id="Picture 49505" style="position:absolute;width:37973;height:3556;left:-17208;top:17208;rotation:-89;" filled="f">
                  <v:imagedata r:id="rId63"/>
                </v:shape>
                <v:rect id="Rectangle 4950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950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264 de 353 </w:t>
                        </w:r>
                      </w:p>
                    </w:txbxContent>
                  </v:textbox>
                </v:rect>
                <w10:wrap type="square"/>
              </v:group>
            </w:pict>
          </mc:Fallback>
        </mc:AlternateContent>
      </w:r>
      <w:r>
        <w:rPr>
          <w:rFonts w:ascii="Arial" w:eastAsia="Arial" w:hAnsi="Arial" w:cs="Arial"/>
          <w:i/>
        </w:rPr>
        <w:t xml:space="preserve">“Previa justificación en el expediente y de conformidad con lo previsto en el Real Decreto al que </w:t>
      </w:r>
      <w:r>
        <w:rPr>
          <w:rFonts w:ascii="Arial" w:eastAsia="Arial" w:hAnsi="Arial" w:cs="Arial"/>
          <w:i/>
        </w:rPr>
        <w:t>se refieren los artículos 4 y 5 de la Ley 2/2015, de 30 de marzo, de desindexación de la economía española, la revisión periódica y predeterminada de precios solo se podrá llevar a cabo en los contratos de obra, en los contratos de suministros de fabricaci</w:t>
      </w:r>
      <w:r>
        <w:rPr>
          <w:rFonts w:ascii="Arial" w:eastAsia="Arial" w:hAnsi="Arial" w:cs="Arial"/>
          <w:i/>
        </w:rPr>
        <w:t xml:space="preserve">ón de armamento y equipamiento de las Administraciones Públicas, en los contratos de suministro de energía y en aquellos otros contratos en los que </w:t>
      </w:r>
      <w:r>
        <w:rPr>
          <w:rFonts w:ascii="Arial" w:eastAsia="Arial" w:hAnsi="Arial" w:cs="Arial"/>
          <w:b/>
          <w:i/>
        </w:rPr>
        <w:t>el período de recuperación de la inversión sea igual o superior a cinco años. Dicho período se calculará con</w:t>
      </w:r>
      <w:r>
        <w:rPr>
          <w:rFonts w:ascii="Arial" w:eastAsia="Arial" w:hAnsi="Arial" w:cs="Arial"/>
          <w:b/>
          <w:i/>
        </w:rPr>
        <w:t>forme a lo dispuesto en el Real Decreto anteriormente citado</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0"/>
        <w:ind w:left="708"/>
      </w:pPr>
      <w:r>
        <w:rPr>
          <w:rFonts w:ascii="Arial" w:eastAsia="Arial" w:hAnsi="Arial" w:cs="Arial"/>
          <w:i/>
        </w:rPr>
        <w:t xml:space="preserve"> </w:t>
      </w:r>
    </w:p>
    <w:p w:rsidR="00FF384B" w:rsidRDefault="003E3BA9">
      <w:pPr>
        <w:spacing w:after="13" w:line="247" w:lineRule="auto"/>
        <w:ind w:left="708" w:right="239"/>
        <w:jc w:val="both"/>
      </w:pPr>
      <w:r>
        <w:rPr>
          <w:rFonts w:ascii="Arial" w:eastAsia="Arial" w:hAnsi="Arial" w:cs="Arial"/>
          <w:b/>
          <w:i/>
        </w:rPr>
        <w:t>No se considerarán revisables en ningún caso los costes asociados a las amortizaciones, los costes financieros, los gastos generales o de estructura ni el beneficio industrial</w:t>
      </w:r>
      <w:r>
        <w:rPr>
          <w:rFonts w:ascii="Arial" w:eastAsia="Arial" w:hAnsi="Arial" w:cs="Arial"/>
          <w:i/>
        </w:rPr>
        <w:t xml:space="preserve">. </w:t>
      </w:r>
      <w:r>
        <w:rPr>
          <w:rFonts w:ascii="Arial" w:eastAsia="Arial" w:hAnsi="Arial" w:cs="Arial"/>
          <w:b/>
          <w:i/>
        </w:rPr>
        <w:t xml:space="preserve">Los costes de mano de obra </w:t>
      </w:r>
      <w:r>
        <w:rPr>
          <w:rFonts w:ascii="Arial" w:eastAsia="Arial" w:hAnsi="Arial" w:cs="Arial"/>
          <w:i/>
        </w:rPr>
        <w:t xml:space="preserve">de los contratos distintos de los de obra, suministro de fabricación de armamento y equipamiento de las Administraciones Públicas, </w:t>
      </w:r>
      <w:r>
        <w:rPr>
          <w:rFonts w:ascii="Arial" w:eastAsia="Arial" w:hAnsi="Arial" w:cs="Arial"/>
          <w:b/>
          <w:i/>
        </w:rPr>
        <w:t>se revisarán cuando el período de recuperación de la inversión sea igual o superior a cinco años y</w:t>
      </w:r>
      <w:r>
        <w:rPr>
          <w:rFonts w:ascii="Arial" w:eastAsia="Arial" w:hAnsi="Arial" w:cs="Arial"/>
          <w:b/>
          <w:i/>
        </w:rPr>
        <w:t xml:space="preserve"> la intensidad en el uso del factor trabajo sea considerada significativa</w:t>
      </w:r>
      <w:r>
        <w:rPr>
          <w:rFonts w:ascii="Arial" w:eastAsia="Arial" w:hAnsi="Arial" w:cs="Arial"/>
          <w:i/>
        </w:rPr>
        <w:t>, de acuerdo con los supuestos y límites establecidos en el Real Decreto.”</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El </w:t>
      </w:r>
      <w:r>
        <w:rPr>
          <w:rFonts w:ascii="Arial" w:eastAsia="Arial" w:hAnsi="Arial" w:cs="Arial"/>
          <w:b/>
          <w:i/>
        </w:rPr>
        <w:t>Real Decreto 55/2017</w:t>
      </w:r>
      <w:r>
        <w:rPr>
          <w:rFonts w:ascii="Arial" w:eastAsia="Arial" w:hAnsi="Arial" w:cs="Arial"/>
          <w:i/>
        </w:rPr>
        <w:t>, de 3 de febrero que desarrolla la Ley 2/2015, de 30 de marzo, de desindexación d</w:t>
      </w:r>
      <w:r>
        <w:rPr>
          <w:rFonts w:ascii="Arial" w:eastAsia="Arial" w:hAnsi="Arial" w:cs="Arial"/>
          <w:i/>
        </w:rPr>
        <w:t xml:space="preserve">e la economía española. Aplica al presente contrato en virtud de los establecido en tu </w:t>
      </w:r>
      <w:r>
        <w:rPr>
          <w:rFonts w:ascii="Arial" w:eastAsia="Arial" w:hAnsi="Arial" w:cs="Arial"/>
          <w:b/>
          <w:i/>
        </w:rPr>
        <w:t>artículo 9</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4" w:line="247" w:lineRule="auto"/>
        <w:ind w:left="718" w:right="244" w:hanging="10"/>
        <w:jc w:val="both"/>
      </w:pPr>
      <w:r>
        <w:rPr>
          <w:rFonts w:ascii="Arial" w:eastAsia="Arial" w:hAnsi="Arial" w:cs="Arial"/>
          <w:i/>
        </w:rPr>
        <w:t>“Procederá la revisión periódica y predeterminada de dichos precios, transcurridos dos años desde la formalización del contrato y ejecutado al menos el 20 p</w:t>
      </w:r>
      <w:r>
        <w:rPr>
          <w:rFonts w:ascii="Arial" w:eastAsia="Arial" w:hAnsi="Arial" w:cs="Arial"/>
          <w:i/>
        </w:rPr>
        <w:t xml:space="preserve">or ciento de su importe, cuando concurran acumulativamente las siguientes circunstancias: </w:t>
      </w:r>
    </w:p>
    <w:p w:rsidR="00FF384B" w:rsidRDefault="003E3BA9">
      <w:pPr>
        <w:spacing w:after="0"/>
        <w:ind w:left="708"/>
      </w:pPr>
      <w:r>
        <w:rPr>
          <w:rFonts w:ascii="Arial" w:eastAsia="Arial" w:hAnsi="Arial" w:cs="Arial"/>
          <w:i/>
        </w:rPr>
        <w:t xml:space="preserve"> </w:t>
      </w:r>
    </w:p>
    <w:p w:rsidR="00FF384B" w:rsidRDefault="003E3BA9">
      <w:pPr>
        <w:numPr>
          <w:ilvl w:val="0"/>
          <w:numId w:val="306"/>
        </w:numPr>
        <w:spacing w:after="4" w:line="247" w:lineRule="auto"/>
        <w:ind w:right="244" w:hanging="10"/>
        <w:jc w:val="both"/>
      </w:pPr>
      <w:r>
        <w:rPr>
          <w:rFonts w:ascii="Arial" w:eastAsia="Arial" w:hAnsi="Arial" w:cs="Arial"/>
          <w:i/>
        </w:rPr>
        <w:t xml:space="preserve">Que el período de recuperación de la inversión del contrato sea igual o superior a cinco años, justificado conforme al criterio establecido en el artículo 10. </w:t>
      </w:r>
    </w:p>
    <w:p w:rsidR="00FF384B" w:rsidRDefault="003E3BA9">
      <w:pPr>
        <w:numPr>
          <w:ilvl w:val="0"/>
          <w:numId w:val="306"/>
        </w:numPr>
        <w:spacing w:after="4" w:line="247" w:lineRule="auto"/>
        <w:ind w:right="244" w:hanging="10"/>
        <w:jc w:val="both"/>
      </w:pPr>
      <w:r>
        <w:rPr>
          <w:rFonts w:ascii="Arial" w:eastAsia="Arial" w:hAnsi="Arial" w:cs="Arial"/>
          <w:i/>
        </w:rPr>
        <w:t>Que</w:t>
      </w:r>
      <w:r>
        <w:rPr>
          <w:rFonts w:ascii="Arial" w:eastAsia="Arial" w:hAnsi="Arial" w:cs="Arial"/>
          <w:i/>
        </w:rPr>
        <w:t xml:space="preserve"> así esté previsto en los pliegos, que deberán detallar la fórmula de revisión aplicable.”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RD 55/2017 establece, para las revisiones de precios, la obligación de justificar su procedencia en el expediente de contratación y que deberá establecerse en </w:t>
      </w:r>
      <w:r>
        <w:rPr>
          <w:rFonts w:ascii="Arial" w:eastAsia="Arial" w:hAnsi="Arial" w:cs="Arial"/>
          <w:i/>
        </w:rPr>
        <w:t xml:space="preserve">los pliegos la fórmula de revisión de precios aplicable, que se determinará en función de la naturaleza del contrato y de la estructura y evolución de los costes de la actividad que constituye su objeto.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Esta fórmula, que no será modificable, se vinculará únicamente a los costes directos, indispensables y significativos para el cumplimiento del objeto del contrato que no estén sometidos al control del contratista. No serán revisables los costes asociados a</w:t>
      </w:r>
      <w:r>
        <w:rPr>
          <w:rFonts w:ascii="Arial" w:eastAsia="Arial" w:hAnsi="Arial" w:cs="Arial"/>
          <w:i/>
        </w:rPr>
        <w:t xml:space="preserve"> las amortizaciones, los costes financieros, los gastos generales o de estructura, ni el beneficio industrial.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incremento repercutible de los costes de mano de obra no podrá ser superior al incremento experimentado por la retribución del personal al </w:t>
      </w:r>
      <w:r>
        <w:rPr>
          <w:rFonts w:ascii="Arial" w:eastAsia="Arial" w:hAnsi="Arial" w:cs="Arial"/>
          <w:i/>
        </w:rPr>
        <w:t xml:space="preserve">servicio del sector público, conforme a las Leyes de Presupuestos Generales del Estado.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RD 55/2017 Establece además, en el caso que nos ocupa, que para la aplicación de la fórmula deberán haber transcurrido 2 años desde la formalización del contrato </w:t>
      </w:r>
      <w:r>
        <w:rPr>
          <w:rFonts w:ascii="Arial" w:eastAsia="Arial" w:hAnsi="Arial" w:cs="Arial"/>
          <w:i/>
        </w:rPr>
        <w:t xml:space="preserve">y ejecutado, al menos, un 20 por ciento de su importe y podrán ser tanto al alza como a la baja. </w:t>
      </w:r>
    </w:p>
    <w:p w:rsidR="00FF384B" w:rsidRDefault="003E3BA9">
      <w:pPr>
        <w:spacing w:after="0"/>
      </w:pPr>
      <w:r>
        <w:rPr>
          <w:noProof/>
        </w:rPr>
        <mc:AlternateContent>
          <mc:Choice Requires="wpg">
            <w:drawing>
              <wp:anchor distT="0" distB="0" distL="114300" distR="114300" simplePos="0" relativeHeight="25193062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7411" name="Group 4974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49602" name="Picture 49602"/>
                          <pic:cNvPicPr/>
                        </pic:nvPicPr>
                        <pic:blipFill>
                          <a:blip r:embed="rId62"/>
                          <a:stretch>
                            <a:fillRect/>
                          </a:stretch>
                        </pic:blipFill>
                        <pic:spPr>
                          <a:xfrm rot="-5399999">
                            <a:off x="-1720849" y="1720849"/>
                            <a:ext cx="3797300" cy="355601"/>
                          </a:xfrm>
                          <a:prstGeom prst="rect">
                            <a:avLst/>
                          </a:prstGeom>
                        </pic:spPr>
                      </pic:pic>
                      <wps:wsp>
                        <wps:cNvPr id="49603" name="Rectangle 4960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49604" name="Rectangle 4960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265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7411" style="width:41.2715pt;height:299pt;position:absolute;mso-position-horizontal-relative:page;mso-position-horizontal:absolute;margin-left:653.71pt;mso-position-vertical-relative:page;margin-top:512.92pt;" coordsize="5241,37973">
                <v:shape id="Picture 49602" style="position:absolute;width:37973;height:3556;left:-17208;top:17208;rotation:-89;" filled="f">
                  <v:imagedata r:id="rId63"/>
                </v:shape>
                <v:rect id="Rectangle 4960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4960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265 de 353 </w:t>
                        </w:r>
                      </w:p>
                    </w:txbxContent>
                  </v:textbox>
                </v:rect>
                <w10:wrap type="square"/>
              </v:group>
            </w:pict>
          </mc:Fallback>
        </mc:AlternateContent>
      </w: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De este modo, conforme establece dicho RD en su artículo 9, se ha solicitado su estructura de costes a cinco operadores económicos significativos del sector.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 partir de las estructuras de costes facilitadas por los operadores, se ha elaborado una propuesta de estructura de costes para la actividad en Candelaria, al objeto de poder someterla al preceptivo trámite de información pública por un plazo de 20 días</w:t>
      </w:r>
      <w:r>
        <w:rPr>
          <w:rFonts w:ascii="Arial" w:eastAsia="Arial" w:hAnsi="Arial" w:cs="Arial"/>
          <w:i/>
        </w:rPr>
        <w:t xml:space="preserve"> previo a la aprobación de los pliegos y posteriormente remitirla a la Junta Consultiva de Contratación Administrativa para su informe.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hd w:val="clear" w:color="auto" w:fill="E0E0E0"/>
        <w:spacing w:after="225" w:line="250" w:lineRule="auto"/>
        <w:ind w:left="10" w:right="262" w:hanging="10"/>
        <w:jc w:val="center"/>
      </w:pPr>
      <w:r>
        <w:rPr>
          <w:rFonts w:ascii="Arial" w:eastAsia="Arial" w:hAnsi="Arial" w:cs="Arial"/>
          <w:b/>
          <w:i/>
        </w:rPr>
        <w:t xml:space="preserve">DESARROLLO DE LA PROPUESTA DE LA ESTRUCTURA DE COSTES. </w:t>
      </w:r>
    </w:p>
    <w:p w:rsidR="00FF384B" w:rsidRDefault="003E3BA9">
      <w:pPr>
        <w:spacing w:after="4" w:line="247" w:lineRule="auto"/>
        <w:ind w:left="10" w:right="244" w:hanging="10"/>
        <w:jc w:val="both"/>
      </w:pPr>
      <w:r>
        <w:rPr>
          <w:rFonts w:ascii="Arial" w:eastAsia="Arial" w:hAnsi="Arial" w:cs="Arial"/>
          <w:i/>
        </w:rPr>
        <w:t>El servicio de gestión de residuos, limpieza viaria y del l</w:t>
      </w:r>
      <w:r>
        <w:rPr>
          <w:rFonts w:ascii="Arial" w:eastAsia="Arial" w:hAnsi="Arial" w:cs="Arial"/>
          <w:i/>
        </w:rPr>
        <w:t>itoral presenta como objetivo llevar a cabo la recogida y transporte de residuos municipales hasta la planta de tratamiento correspondiente y la limpieza viaria del municipio, junto con aquellos otros servicios complementarios a estos principales. Dichos s</w:t>
      </w:r>
      <w:r>
        <w:rPr>
          <w:rFonts w:ascii="Arial" w:eastAsia="Arial" w:hAnsi="Arial" w:cs="Arial"/>
          <w:i/>
        </w:rPr>
        <w:t>ervicios conforman un proceso global integrado en un mismo contrato, con el objetivo de garantizar la vinculación de las diferentes partes del proceso de forma sinérgica y complementaria.</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Del mismo modo, de conformidad con lo previsto en el artículo 3 d</w:t>
      </w:r>
      <w:r>
        <w:rPr>
          <w:rFonts w:ascii="Arial" w:eastAsia="Arial" w:hAnsi="Arial" w:cs="Arial"/>
          <w:i/>
        </w:rPr>
        <w:t xml:space="preserve">el RD 55/2017 relativo al principio de referenciación a costes, todo régimen de revisión </w:t>
      </w:r>
      <w:r>
        <w:rPr>
          <w:rFonts w:ascii="Arial" w:eastAsia="Arial" w:hAnsi="Arial" w:cs="Arial"/>
          <w:b/>
          <w:i/>
        </w:rPr>
        <w:t>deberá tomar como referencia la estructura de costes de la actividad</w:t>
      </w:r>
      <w:r>
        <w:rPr>
          <w:rFonts w:ascii="Arial" w:eastAsia="Arial" w:hAnsi="Arial" w:cs="Arial"/>
          <w:i/>
        </w:rPr>
        <w:t>, ponderándose cada componente de costes en función de su peso relativo.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En consecuencia, los el</w:t>
      </w:r>
      <w:r>
        <w:rPr>
          <w:rFonts w:ascii="Arial" w:eastAsia="Arial" w:hAnsi="Arial" w:cs="Arial"/>
          <w:i/>
        </w:rPr>
        <w:t>ementos y ponderación que forman parte de la estructura de costes, y de la consiguiente fórmula de revisión, han sido determinados en función de los requerimientos del Real Decreto 55/2017, de 3 de febrero, por el que se desarrolla la Ley 2/2015, considera</w:t>
      </w:r>
      <w:r>
        <w:rPr>
          <w:rFonts w:ascii="Arial" w:eastAsia="Arial" w:hAnsi="Arial" w:cs="Arial"/>
          <w:i/>
        </w:rPr>
        <w:t xml:space="preserve">ndo las respuestas de operadores representativos del sector, quienes han facilitado las estructuras de costes referidos al servicio de gestión de residuos, limpieza viaria y del litoral.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Se ha solicitado su estructura de costes a los siguientes cinco op</w:t>
      </w:r>
      <w:r>
        <w:rPr>
          <w:rFonts w:ascii="Arial" w:eastAsia="Arial" w:hAnsi="Arial" w:cs="Arial"/>
          <w:i/>
        </w:rPr>
        <w:t xml:space="preserve">eradores económicos del sector, todos ellos relevantes y con implantación en la isla de Tenerife. </w:t>
      </w:r>
    </w:p>
    <w:p w:rsidR="00FF384B" w:rsidRDefault="003E3BA9">
      <w:pPr>
        <w:spacing w:after="0"/>
      </w:pPr>
      <w:r>
        <w:rPr>
          <w:rFonts w:ascii="Arial" w:eastAsia="Arial" w:hAnsi="Arial" w:cs="Arial"/>
          <w:i/>
        </w:rPr>
        <w:t xml:space="preserve"> </w:t>
      </w:r>
    </w:p>
    <w:p w:rsidR="00FF384B" w:rsidRDefault="003E3BA9">
      <w:pPr>
        <w:numPr>
          <w:ilvl w:val="0"/>
          <w:numId w:val="307"/>
        </w:numPr>
        <w:spacing w:after="4" w:line="247" w:lineRule="auto"/>
        <w:ind w:right="244" w:hanging="360"/>
        <w:jc w:val="both"/>
      </w:pPr>
      <w:r>
        <w:rPr>
          <w:rFonts w:ascii="Arial" w:eastAsia="Arial" w:hAnsi="Arial" w:cs="Arial"/>
          <w:i/>
        </w:rPr>
        <w:t xml:space="preserve">VALORIZA SERVICIOS MEDIOAMBIENTALES. S.A. </w:t>
      </w:r>
    </w:p>
    <w:p w:rsidR="00FF384B" w:rsidRDefault="003E3BA9">
      <w:pPr>
        <w:numPr>
          <w:ilvl w:val="0"/>
          <w:numId w:val="307"/>
        </w:numPr>
        <w:spacing w:after="4" w:line="247" w:lineRule="auto"/>
        <w:ind w:right="244" w:hanging="360"/>
        <w:jc w:val="both"/>
      </w:pPr>
      <w:r>
        <w:rPr>
          <w:rFonts w:ascii="Arial" w:eastAsia="Arial" w:hAnsi="Arial" w:cs="Arial"/>
          <w:i/>
        </w:rPr>
        <w:t xml:space="preserve">MARTINEZ CANO CANARIAS S.A. </w:t>
      </w:r>
    </w:p>
    <w:p w:rsidR="00FF384B" w:rsidRDefault="003E3BA9">
      <w:pPr>
        <w:numPr>
          <w:ilvl w:val="0"/>
          <w:numId w:val="307"/>
        </w:numPr>
        <w:spacing w:after="4" w:line="247" w:lineRule="auto"/>
        <w:ind w:right="244" w:hanging="360"/>
        <w:jc w:val="both"/>
      </w:pPr>
      <w:r>
        <w:rPr>
          <w:rFonts w:ascii="Arial" w:eastAsia="Arial" w:hAnsi="Arial" w:cs="Arial"/>
          <w:i/>
        </w:rPr>
        <w:t xml:space="preserve">ASCAN SERVICIOS URBANOS S.L. </w:t>
      </w:r>
    </w:p>
    <w:p w:rsidR="00FF384B" w:rsidRDefault="003E3BA9">
      <w:pPr>
        <w:numPr>
          <w:ilvl w:val="0"/>
          <w:numId w:val="307"/>
        </w:numPr>
        <w:spacing w:after="4" w:line="247" w:lineRule="auto"/>
        <w:ind w:right="244" w:hanging="360"/>
        <w:jc w:val="both"/>
      </w:pPr>
      <w:r>
        <w:rPr>
          <w:rFonts w:ascii="Arial" w:eastAsia="Arial" w:hAnsi="Arial" w:cs="Arial"/>
          <w:i/>
        </w:rPr>
        <w:t xml:space="preserve">FCC. FOMENTO DE CONSTRUCCIONES Y CONTRATAS S.A. </w:t>
      </w:r>
    </w:p>
    <w:p w:rsidR="00FF384B" w:rsidRDefault="003E3BA9">
      <w:pPr>
        <w:numPr>
          <w:ilvl w:val="0"/>
          <w:numId w:val="307"/>
        </w:numPr>
        <w:spacing w:after="4" w:line="247" w:lineRule="auto"/>
        <w:ind w:right="244" w:hanging="360"/>
        <w:jc w:val="both"/>
      </w:pPr>
      <w:r>
        <w:rPr>
          <w:rFonts w:ascii="Arial" w:eastAsia="Arial" w:hAnsi="Arial" w:cs="Arial"/>
          <w:i/>
        </w:rPr>
        <w:t xml:space="preserve">URBASER S.A.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Los operadores consultados, VALORIZA SERVICIOS MEDIOAMBIENTALES. S.A., ASCAN SERVICIOS URBANOS S.L., FCC. FOMENTO DE CONSTRUCCIONES Y CONTRATAS S.A. y URBASER S.A., aportaron sus respectivas estructuras de costes para el </w:t>
      </w:r>
      <w:r>
        <w:rPr>
          <w:rFonts w:ascii="Arial" w:eastAsia="Arial" w:hAnsi="Arial" w:cs="Arial"/>
          <w:i/>
          <w:u w:val="single" w:color="000000"/>
        </w:rPr>
        <w:t>Servicio de gestión</w:t>
      </w:r>
      <w:r>
        <w:rPr>
          <w:rFonts w:ascii="Arial" w:eastAsia="Arial" w:hAnsi="Arial" w:cs="Arial"/>
          <w:i/>
          <w:u w:val="single" w:color="000000"/>
        </w:rPr>
        <w:t xml:space="preserve"> de residuos, limpieza viaria y del litoral</w:t>
      </w:r>
      <w:r>
        <w:rPr>
          <w:rFonts w:ascii="Arial" w:eastAsia="Arial" w:hAnsi="Arial" w:cs="Arial"/>
          <w:i/>
        </w:rPr>
        <w:t xml:space="preserve"> al Ayuntamiento de Candelaria y a la fecha de la firma de este informe, el operador MARTINEZ CANO CANARIAS S.A., no ha aportado su estructura de costes. </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pPr>
      <w:r>
        <w:rPr>
          <w:rFonts w:ascii="Arial" w:eastAsia="Arial" w:hAnsi="Arial" w:cs="Arial"/>
          <w:i/>
        </w:rPr>
        <w:t xml:space="preserve"> </w:t>
      </w:r>
    </w:p>
    <w:p w:rsidR="00FF384B" w:rsidRDefault="003E3BA9">
      <w:pPr>
        <w:spacing w:after="5" w:line="249" w:lineRule="auto"/>
        <w:ind w:left="10" w:hanging="10"/>
      </w:pPr>
      <w:r>
        <w:rPr>
          <w:rFonts w:ascii="Arial" w:eastAsia="Arial" w:hAnsi="Arial" w:cs="Arial"/>
          <w:b/>
          <w:i/>
          <w:u w:val="single" w:color="000000"/>
        </w:rPr>
        <w:t>ESTRUCTURA DEL COSTE DEL SERVICIO.</w:t>
      </w:r>
      <w:r>
        <w:rPr>
          <w:rFonts w:ascii="Arial" w:eastAsia="Arial" w:hAnsi="Arial" w:cs="Arial"/>
          <w:b/>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3164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30259" name="Group 53025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334" name="Picture 50334"/>
                          <pic:cNvPicPr/>
                        </pic:nvPicPr>
                        <pic:blipFill>
                          <a:blip r:embed="rId62"/>
                          <a:stretch>
                            <a:fillRect/>
                          </a:stretch>
                        </pic:blipFill>
                        <pic:spPr>
                          <a:xfrm rot="-5399999">
                            <a:off x="-1720849" y="1720849"/>
                            <a:ext cx="3797300" cy="355601"/>
                          </a:xfrm>
                          <a:prstGeom prst="rect">
                            <a:avLst/>
                          </a:prstGeom>
                        </pic:spPr>
                      </pic:pic>
                      <wps:wsp>
                        <wps:cNvPr id="50335" name="Rectangle 50335"/>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0336" name="Rectangle 50336"/>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30259" style="width:41.2715pt;height:299pt;position:absolute;mso-position-horizontal-relative:page;mso-position-horizontal:absolute;margin-left:653.71pt;mso-position-vertical-relative:page;margin-top:512.92pt;" coordsize="5241,37973">
                <v:shape id="Picture 50334" style="position:absolute;width:37973;height:3556;left:-17208;top:17208;rotation:-89;" filled="f">
                  <v:imagedata r:id="rId63"/>
                </v:shape>
                <v:rect id="Rectangle 5033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33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266 de 353 </w:t>
                        </w:r>
                      </w:p>
                    </w:txbxContent>
                  </v:textbox>
                </v:rect>
                <w10:wrap type="square"/>
              </v:group>
            </w:pict>
          </mc:Fallback>
        </mc:AlternateContent>
      </w:r>
      <w:r>
        <w:rPr>
          <w:rFonts w:ascii="Arial" w:eastAsia="Arial" w:hAnsi="Arial" w:cs="Arial"/>
          <w:i/>
        </w:rPr>
        <w:t>Teniendo en cuenta la respuesta de los cuatro operadores cita</w:t>
      </w:r>
      <w:r>
        <w:rPr>
          <w:rFonts w:ascii="Arial" w:eastAsia="Arial" w:hAnsi="Arial" w:cs="Arial"/>
          <w:i/>
        </w:rPr>
        <w:t>dos anteriormente y el estudio económico propio del Ayuntamiento para la determinación del precio de licitación, todas ellas con una distribución por partidas comparable, se ha diseñado una estructura en la cual se incorporan aquellos costes más representa</w:t>
      </w:r>
      <w:r>
        <w:rPr>
          <w:rFonts w:ascii="Arial" w:eastAsia="Arial" w:hAnsi="Arial" w:cs="Arial"/>
          <w:i/>
        </w:rPr>
        <w:t xml:space="preserve">tivos indispensables de la actividad a partir de datos siempre comparables y desagregados en la mayor medida posible, según lo establecido en el Real Decreto 55/2017.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De este modo, la estructura de costes imprescindibles para llevar a cabo la actividad </w:t>
      </w:r>
      <w:r>
        <w:rPr>
          <w:rFonts w:ascii="Arial" w:eastAsia="Arial" w:hAnsi="Arial" w:cs="Arial"/>
          <w:i/>
        </w:rPr>
        <w:t>es la siguiente:</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tbl>
      <w:tblPr>
        <w:tblStyle w:val="TableGrid"/>
        <w:tblW w:w="8487" w:type="dxa"/>
        <w:tblInd w:w="10" w:type="dxa"/>
        <w:tblCellMar>
          <w:top w:w="21" w:type="dxa"/>
          <w:left w:w="40" w:type="dxa"/>
          <w:bottom w:w="0" w:type="dxa"/>
          <w:right w:w="35" w:type="dxa"/>
        </w:tblCellMar>
        <w:tblLook w:val="04A0" w:firstRow="1" w:lastRow="0" w:firstColumn="1" w:lastColumn="0" w:noHBand="0" w:noVBand="1"/>
      </w:tblPr>
      <w:tblGrid>
        <w:gridCol w:w="564"/>
        <w:gridCol w:w="5591"/>
        <w:gridCol w:w="2332"/>
      </w:tblGrid>
      <w:tr w:rsidR="00FF384B">
        <w:trPr>
          <w:trHeight w:val="239"/>
        </w:trPr>
        <w:tc>
          <w:tcPr>
            <w:tcW w:w="8487" w:type="dxa"/>
            <w:gridSpan w:val="3"/>
            <w:tcBorders>
              <w:top w:val="single" w:sz="2" w:space="0" w:color="000000"/>
              <w:left w:val="single" w:sz="6" w:space="0" w:color="000000"/>
              <w:bottom w:val="single" w:sz="13" w:space="0" w:color="000000"/>
              <w:right w:val="single" w:sz="9" w:space="0" w:color="000000"/>
            </w:tcBorders>
            <w:shd w:val="clear" w:color="auto" w:fill="990033"/>
          </w:tcPr>
          <w:p w:rsidR="00FF384B" w:rsidRDefault="003E3BA9">
            <w:pPr>
              <w:spacing w:after="0"/>
              <w:ind w:left="3"/>
              <w:jc w:val="center"/>
            </w:pPr>
            <w:r>
              <w:rPr>
                <w:rFonts w:ascii="Arial" w:eastAsia="Arial" w:hAnsi="Arial" w:cs="Arial"/>
                <w:b/>
                <w:color w:val="FFFFFF"/>
                <w:sz w:val="18"/>
              </w:rPr>
              <w:t>Estrucura de costes del servicio gestión de residuos y limpieza viaria y litoral</w:t>
            </w:r>
          </w:p>
        </w:tc>
      </w:tr>
      <w:tr w:rsidR="00FF384B">
        <w:trPr>
          <w:trHeight w:val="250"/>
        </w:trPr>
        <w:tc>
          <w:tcPr>
            <w:tcW w:w="6156" w:type="dxa"/>
            <w:gridSpan w:val="2"/>
            <w:tcBorders>
              <w:top w:val="single" w:sz="13" w:space="0" w:color="000000"/>
              <w:left w:val="single" w:sz="6" w:space="0" w:color="000000"/>
              <w:bottom w:val="single" w:sz="14" w:space="0" w:color="000000"/>
              <w:right w:val="single" w:sz="13" w:space="0" w:color="000000"/>
            </w:tcBorders>
            <w:shd w:val="clear" w:color="auto" w:fill="BFBFBF"/>
          </w:tcPr>
          <w:p w:rsidR="00FF384B" w:rsidRDefault="003E3BA9">
            <w:pPr>
              <w:spacing w:after="0"/>
              <w:ind w:left="8"/>
              <w:jc w:val="center"/>
            </w:pPr>
            <w:r>
              <w:rPr>
                <w:rFonts w:ascii="Arial" w:eastAsia="Arial" w:hAnsi="Arial" w:cs="Arial"/>
                <w:b/>
                <w:sz w:val="18"/>
              </w:rPr>
              <w:t>COMPONENTE</w:t>
            </w:r>
          </w:p>
        </w:tc>
        <w:tc>
          <w:tcPr>
            <w:tcW w:w="2332" w:type="dxa"/>
            <w:tcBorders>
              <w:top w:val="single" w:sz="13" w:space="0" w:color="000000"/>
              <w:left w:val="single" w:sz="13" w:space="0" w:color="000000"/>
              <w:bottom w:val="single" w:sz="14" w:space="0" w:color="000000"/>
              <w:right w:val="single" w:sz="9" w:space="0" w:color="000000"/>
            </w:tcBorders>
            <w:shd w:val="clear" w:color="auto" w:fill="BFBFBF"/>
          </w:tcPr>
          <w:p w:rsidR="00FF384B" w:rsidRDefault="003E3BA9">
            <w:pPr>
              <w:spacing w:after="0"/>
              <w:ind w:left="11"/>
              <w:jc w:val="center"/>
            </w:pPr>
            <w:r>
              <w:rPr>
                <w:rFonts w:ascii="Arial" w:eastAsia="Arial" w:hAnsi="Arial" w:cs="Arial"/>
                <w:b/>
                <w:sz w:val="18"/>
              </w:rPr>
              <w:t>(%) SOBRE TOTAL</w:t>
            </w:r>
          </w:p>
        </w:tc>
      </w:tr>
      <w:tr w:rsidR="00FF384B">
        <w:trPr>
          <w:trHeight w:val="255"/>
        </w:trPr>
        <w:tc>
          <w:tcPr>
            <w:tcW w:w="564" w:type="dxa"/>
            <w:tcBorders>
              <w:top w:val="single" w:sz="14"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1</w:t>
            </w:r>
          </w:p>
        </w:tc>
        <w:tc>
          <w:tcPr>
            <w:tcW w:w="5591" w:type="dxa"/>
            <w:tcBorders>
              <w:top w:val="single" w:sz="14"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Gastos de personal</w:t>
            </w:r>
          </w:p>
        </w:tc>
        <w:tc>
          <w:tcPr>
            <w:tcW w:w="2332" w:type="dxa"/>
            <w:tcBorders>
              <w:top w:val="single" w:sz="14"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72,87%</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Gastos de bienes corrientes y servicios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16,91%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Costes variables maquinaria y equipos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10,88%</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2.1.1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Carburantes y lubricantes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5,70%</w:t>
            </w:r>
          </w:p>
        </w:tc>
      </w:tr>
      <w:tr w:rsidR="00FF384B">
        <w:trPr>
          <w:trHeight w:val="250"/>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2.1.2</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Mantenimiento y reparaciones de maquinaria y equipos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5,19%</w:t>
            </w:r>
          </w:p>
        </w:tc>
      </w:tr>
      <w:tr w:rsidR="00FF384B">
        <w:trPr>
          <w:trHeight w:val="233"/>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2.2</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Costes fijos de maquinaria y equipos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3"/>
        </w:trPr>
        <w:tc>
          <w:tcPr>
            <w:tcW w:w="564" w:type="dxa"/>
            <w:tcBorders>
              <w:top w:val="single" w:sz="7"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sz w:val="18"/>
              </w:rPr>
              <w:t>2.2.1</w:t>
            </w:r>
          </w:p>
        </w:tc>
        <w:tc>
          <w:tcPr>
            <w:tcW w:w="5591" w:type="dxa"/>
            <w:tcBorders>
              <w:top w:val="single" w:sz="7" w:space="0" w:color="000000"/>
              <w:left w:val="single" w:sz="6" w:space="0" w:color="000000"/>
              <w:bottom w:val="single" w:sz="6" w:space="0" w:color="000000"/>
              <w:right w:val="single" w:sz="13" w:space="0" w:color="000000"/>
            </w:tcBorders>
          </w:tcPr>
          <w:p w:rsidR="00FF384B" w:rsidRDefault="003E3BA9">
            <w:pPr>
              <w:spacing w:after="0"/>
              <w:ind w:left="2"/>
            </w:pPr>
            <w:r>
              <w:rPr>
                <w:rFonts w:ascii="Arial" w:eastAsia="Arial" w:hAnsi="Arial" w:cs="Arial"/>
                <w:sz w:val="18"/>
              </w:rPr>
              <w:t>Seguros, tasa e impuestos</w:t>
            </w:r>
          </w:p>
        </w:tc>
        <w:tc>
          <w:tcPr>
            <w:tcW w:w="2332" w:type="dxa"/>
            <w:tcBorders>
              <w:top w:val="single" w:sz="7" w:space="0" w:color="000000"/>
              <w:left w:val="single" w:sz="13" w:space="0" w:color="000000"/>
              <w:bottom w:val="single" w:sz="6" w:space="0" w:color="000000"/>
              <w:right w:val="single" w:sz="9" w:space="0" w:color="000000"/>
            </w:tcBorders>
          </w:tcPr>
          <w:p w:rsidR="00FF384B" w:rsidRDefault="003E3BA9">
            <w:pPr>
              <w:spacing w:after="0"/>
              <w:jc w:val="right"/>
            </w:pPr>
            <w:r>
              <w:rPr>
                <w:rFonts w:ascii="Arial" w:eastAsia="Arial" w:hAnsi="Arial" w:cs="Arial"/>
                <w:sz w:val="18"/>
              </w:rPr>
              <w:t>0,77%</w:t>
            </w:r>
          </w:p>
        </w:tc>
      </w:tr>
      <w:tr w:rsidR="00FF384B">
        <w:trPr>
          <w:trHeight w:val="234"/>
        </w:trPr>
        <w:tc>
          <w:tcPr>
            <w:tcW w:w="564" w:type="dxa"/>
            <w:tcBorders>
              <w:top w:val="single" w:sz="6"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 xml:space="preserve">2.3 </w:t>
            </w:r>
          </w:p>
        </w:tc>
        <w:tc>
          <w:tcPr>
            <w:tcW w:w="5591" w:type="dxa"/>
            <w:tcBorders>
              <w:top w:val="single" w:sz="6"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Otros costes</w:t>
            </w:r>
          </w:p>
        </w:tc>
        <w:tc>
          <w:tcPr>
            <w:tcW w:w="2332" w:type="dxa"/>
            <w:tcBorders>
              <w:top w:val="single" w:sz="6"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5,46%</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2.3.1</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Suministros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0,95%</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2.3.2</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Mantenimiento instalaciones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1,79%</w:t>
            </w:r>
          </w:p>
        </w:tc>
      </w:tr>
      <w:tr w:rsidR="00FF384B">
        <w:trPr>
          <w:trHeight w:val="234"/>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2.3.3</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Vestuarios y EPIS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0,61%</w:t>
            </w:r>
          </w:p>
        </w:tc>
      </w:tr>
      <w:tr w:rsidR="00FF384B">
        <w:trPr>
          <w:trHeight w:val="233"/>
        </w:trPr>
        <w:tc>
          <w:tcPr>
            <w:tcW w:w="564" w:type="dxa"/>
            <w:tcBorders>
              <w:top w:val="single" w:sz="7" w:space="0" w:color="000000"/>
              <w:left w:val="single" w:sz="6" w:space="0" w:color="000000"/>
              <w:bottom w:val="single" w:sz="7" w:space="0" w:color="000000"/>
              <w:right w:val="single" w:sz="6" w:space="0" w:color="000000"/>
            </w:tcBorders>
          </w:tcPr>
          <w:p w:rsidR="00FF384B" w:rsidRDefault="003E3BA9">
            <w:pPr>
              <w:spacing w:after="0"/>
            </w:pPr>
            <w:r>
              <w:rPr>
                <w:rFonts w:ascii="Arial" w:eastAsia="Arial" w:hAnsi="Arial" w:cs="Arial"/>
                <w:sz w:val="18"/>
              </w:rPr>
              <w:t>2.3.4</w:t>
            </w:r>
          </w:p>
        </w:tc>
        <w:tc>
          <w:tcPr>
            <w:tcW w:w="5591" w:type="dxa"/>
            <w:tcBorders>
              <w:top w:val="single" w:sz="7" w:space="0" w:color="000000"/>
              <w:left w:val="single" w:sz="6" w:space="0" w:color="000000"/>
              <w:bottom w:val="single" w:sz="7" w:space="0" w:color="000000"/>
              <w:right w:val="single" w:sz="13" w:space="0" w:color="000000"/>
            </w:tcBorders>
          </w:tcPr>
          <w:p w:rsidR="00FF384B" w:rsidRDefault="003E3BA9">
            <w:pPr>
              <w:spacing w:after="0"/>
              <w:ind w:left="2"/>
            </w:pPr>
            <w:r>
              <w:rPr>
                <w:rFonts w:ascii="Arial" w:eastAsia="Arial" w:hAnsi="Arial" w:cs="Arial"/>
                <w:sz w:val="18"/>
              </w:rPr>
              <w:t>Equipamiento informático y aplicaciones</w:t>
            </w:r>
          </w:p>
        </w:tc>
        <w:tc>
          <w:tcPr>
            <w:tcW w:w="2332" w:type="dxa"/>
            <w:tcBorders>
              <w:top w:val="single" w:sz="7" w:space="0" w:color="000000"/>
              <w:left w:val="single" w:sz="13" w:space="0" w:color="000000"/>
              <w:bottom w:val="single" w:sz="7" w:space="0" w:color="000000"/>
              <w:right w:val="single" w:sz="9" w:space="0" w:color="000000"/>
            </w:tcBorders>
          </w:tcPr>
          <w:p w:rsidR="00FF384B" w:rsidRDefault="003E3BA9">
            <w:pPr>
              <w:spacing w:after="0"/>
              <w:jc w:val="right"/>
            </w:pPr>
            <w:r>
              <w:rPr>
                <w:rFonts w:ascii="Arial" w:eastAsia="Arial" w:hAnsi="Arial" w:cs="Arial"/>
                <w:sz w:val="18"/>
              </w:rPr>
              <w:t>0,93%</w:t>
            </w:r>
          </w:p>
        </w:tc>
      </w:tr>
      <w:tr w:rsidR="00FF384B">
        <w:trPr>
          <w:trHeight w:val="242"/>
        </w:trPr>
        <w:tc>
          <w:tcPr>
            <w:tcW w:w="564" w:type="dxa"/>
            <w:tcBorders>
              <w:top w:val="single" w:sz="7" w:space="0" w:color="000000"/>
              <w:left w:val="single" w:sz="6" w:space="0" w:color="000000"/>
              <w:bottom w:val="single" w:sz="14" w:space="0" w:color="000000"/>
              <w:right w:val="single" w:sz="6" w:space="0" w:color="000000"/>
            </w:tcBorders>
          </w:tcPr>
          <w:p w:rsidR="00FF384B" w:rsidRDefault="003E3BA9">
            <w:pPr>
              <w:spacing w:after="0"/>
            </w:pPr>
            <w:r>
              <w:rPr>
                <w:rFonts w:ascii="Arial" w:eastAsia="Arial" w:hAnsi="Arial" w:cs="Arial"/>
                <w:sz w:val="18"/>
              </w:rPr>
              <w:t>3</w:t>
            </w:r>
          </w:p>
        </w:tc>
        <w:tc>
          <w:tcPr>
            <w:tcW w:w="5591" w:type="dxa"/>
            <w:tcBorders>
              <w:top w:val="single" w:sz="7" w:space="0" w:color="000000"/>
              <w:left w:val="single" w:sz="6" w:space="0" w:color="000000"/>
              <w:bottom w:val="single" w:sz="14" w:space="0" w:color="000000"/>
              <w:right w:val="single" w:sz="13" w:space="0" w:color="000000"/>
            </w:tcBorders>
          </w:tcPr>
          <w:p w:rsidR="00FF384B" w:rsidRDefault="003E3BA9">
            <w:pPr>
              <w:spacing w:after="0"/>
              <w:ind w:left="2"/>
            </w:pPr>
            <w:r>
              <w:rPr>
                <w:rFonts w:ascii="Arial" w:eastAsia="Arial" w:hAnsi="Arial" w:cs="Arial"/>
                <w:sz w:val="18"/>
              </w:rPr>
              <w:t>Amortizaciones</w:t>
            </w:r>
          </w:p>
        </w:tc>
        <w:tc>
          <w:tcPr>
            <w:tcW w:w="2332" w:type="dxa"/>
            <w:tcBorders>
              <w:top w:val="single" w:sz="7" w:space="0" w:color="000000"/>
              <w:left w:val="single" w:sz="13" w:space="0" w:color="000000"/>
              <w:bottom w:val="single" w:sz="14" w:space="0" w:color="000000"/>
              <w:right w:val="single" w:sz="9" w:space="0" w:color="000000"/>
            </w:tcBorders>
          </w:tcPr>
          <w:p w:rsidR="00FF384B" w:rsidRDefault="003E3BA9">
            <w:pPr>
              <w:spacing w:after="0"/>
              <w:jc w:val="right"/>
            </w:pPr>
            <w:r>
              <w:rPr>
                <w:rFonts w:ascii="Arial" w:eastAsia="Arial" w:hAnsi="Arial" w:cs="Arial"/>
                <w:sz w:val="18"/>
              </w:rPr>
              <w:t>10,22%</w:t>
            </w:r>
          </w:p>
        </w:tc>
      </w:tr>
      <w:tr w:rsidR="00FF384B">
        <w:trPr>
          <w:trHeight w:val="254"/>
        </w:trPr>
        <w:tc>
          <w:tcPr>
            <w:tcW w:w="6156" w:type="dxa"/>
            <w:gridSpan w:val="2"/>
            <w:tcBorders>
              <w:top w:val="single" w:sz="14" w:space="0" w:color="000000"/>
              <w:left w:val="single" w:sz="6" w:space="0" w:color="000000"/>
              <w:bottom w:val="single" w:sz="13" w:space="0" w:color="000000"/>
              <w:right w:val="single" w:sz="13" w:space="0" w:color="000000"/>
            </w:tcBorders>
            <w:shd w:val="clear" w:color="auto" w:fill="BFBFBF"/>
          </w:tcPr>
          <w:p w:rsidR="00FF384B" w:rsidRDefault="003E3BA9">
            <w:pPr>
              <w:spacing w:after="0"/>
            </w:pPr>
            <w:r>
              <w:rPr>
                <w:rFonts w:ascii="Arial" w:eastAsia="Arial" w:hAnsi="Arial" w:cs="Arial"/>
                <w:b/>
                <w:sz w:val="18"/>
              </w:rPr>
              <w:t>TOTAL DE COSTE DIRECTO</w:t>
            </w:r>
          </w:p>
        </w:tc>
        <w:tc>
          <w:tcPr>
            <w:tcW w:w="2332" w:type="dxa"/>
            <w:tcBorders>
              <w:top w:val="single" w:sz="14" w:space="0" w:color="000000"/>
              <w:left w:val="single" w:sz="13" w:space="0" w:color="000000"/>
              <w:bottom w:val="single" w:sz="13" w:space="0" w:color="000000"/>
              <w:right w:val="single" w:sz="9" w:space="0" w:color="000000"/>
            </w:tcBorders>
            <w:shd w:val="clear" w:color="auto" w:fill="BFBFBF"/>
          </w:tcPr>
          <w:p w:rsidR="00FF384B" w:rsidRDefault="003E3BA9">
            <w:pPr>
              <w:spacing w:after="0"/>
              <w:jc w:val="right"/>
            </w:pPr>
            <w:r>
              <w:rPr>
                <w:rFonts w:ascii="Arial" w:eastAsia="Arial" w:hAnsi="Arial" w:cs="Arial"/>
                <w:b/>
                <w:sz w:val="18"/>
              </w:rPr>
              <w:t>100,00%</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Destaca el porcentaje mayoritario que corresponde a la partida de </w:t>
      </w:r>
      <w:r>
        <w:rPr>
          <w:rFonts w:ascii="Arial" w:eastAsia="Arial" w:hAnsi="Arial" w:cs="Arial"/>
          <w:i/>
        </w:rPr>
        <w:t xml:space="preserve">costes de personal, incluidos todos los conceptos para la empresa en función de los establecidos en el convenio colectivo.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Se confirma que estamos en un sector intensivo en mano de obra, con un peso relativo sobre el total de costes del servicio superio</w:t>
      </w:r>
      <w:r>
        <w:rPr>
          <w:rFonts w:ascii="Arial" w:eastAsia="Arial" w:hAnsi="Arial" w:cs="Arial"/>
          <w:i/>
        </w:rPr>
        <w:t xml:space="preserve">r al 72%.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Dentro de los gastos en bienes corrientes y servicios, realizada la desagregación de esta tipología de gasto, observamos que los costes relativos al funcionamiento de la maquinaria y equipos se sitúan en segundo lugar de importancia, dado el c</w:t>
      </w:r>
      <w:r>
        <w:rPr>
          <w:rFonts w:ascii="Arial" w:eastAsia="Arial" w:hAnsi="Arial" w:cs="Arial"/>
          <w:i/>
        </w:rPr>
        <w:t xml:space="preserve">ada vez mayor uso de maquinaria en este tipo de servicios con el objetivo de mejorar la eficiencia y eficacia de la prestación.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Destaca además, el importante esfuerzo inversor en medios técnicos que se va a llevar a cabo en este contrato, lo cual se traduce en una partida de amortizaciones (sin intereses) de la inversión total en cuanto a vehículos, maquinaria, y utillaje etc. que </w:t>
      </w:r>
      <w:r>
        <w:rPr>
          <w:rFonts w:ascii="Arial" w:eastAsia="Arial" w:hAnsi="Arial" w:cs="Arial"/>
          <w:i/>
        </w:rPr>
        <w:t xml:space="preserve">constituye el tercer capítulo más importante de esta estructura de costes.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Finalmente el apartado de otros costes, que agrupa Seguros, tasas e impuestos, Suministros, Mantenimiento de instalaciones, Vestuario de personal y Aplicaciones informáticas es a</w:t>
      </w:r>
      <w:r>
        <w:rPr>
          <w:rFonts w:ascii="Arial" w:eastAsia="Arial" w:hAnsi="Arial" w:cs="Arial"/>
          <w:i/>
        </w:rPr>
        <w:t xml:space="preserve">mpliamente minoritario.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Los componentes de esta estructura evolucionan con el tiempo, de modo que sus costes deberán variar en consecuencia, y es fundamental disponer de un determinado grado de certidumbre respecto a que la evolución de los costes relev</w:t>
      </w:r>
      <w:r>
        <w:rPr>
          <w:rFonts w:ascii="Arial" w:eastAsia="Arial" w:hAnsi="Arial" w:cs="Arial"/>
          <w:i/>
        </w:rPr>
        <w:t xml:space="preserve">antes de las actuaciones necesarias para desarrollar el servicio va a ser tenido en cuenta.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3267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8458" name="Group 49845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440" name="Picture 50440"/>
                          <pic:cNvPicPr/>
                        </pic:nvPicPr>
                        <pic:blipFill>
                          <a:blip r:embed="rId62"/>
                          <a:stretch>
                            <a:fillRect/>
                          </a:stretch>
                        </pic:blipFill>
                        <pic:spPr>
                          <a:xfrm rot="-5399999">
                            <a:off x="-1720849" y="1720849"/>
                            <a:ext cx="3797300" cy="355601"/>
                          </a:xfrm>
                          <a:prstGeom prst="rect">
                            <a:avLst/>
                          </a:prstGeom>
                        </pic:spPr>
                      </pic:pic>
                      <wps:wsp>
                        <wps:cNvPr id="50441" name="Rectangle 50441"/>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0442" name="Rectangle 50442"/>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267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8458" style="width:41.2715pt;height:299pt;position:absolute;mso-position-horizontal-relative:page;mso-position-horizontal:absolute;margin-left:653.71pt;mso-position-vertical-relative:page;margin-top:512.92pt;" coordsize="5241,37973">
                <v:shape id="Picture 50440" style="position:absolute;width:37973;height:3556;left:-17208;top:17208;rotation:-89;" filled="f">
                  <v:imagedata r:id="rId63"/>
                </v:shape>
                <v:rect id="Rectangle 5044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44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267 de 353 </w:t>
                        </w:r>
                      </w:p>
                    </w:txbxContent>
                  </v:textbox>
                </v:rect>
                <w10:wrap type="square"/>
              </v:group>
            </w:pict>
          </mc:Fallback>
        </mc:AlternateContent>
      </w:r>
      <w:r>
        <w:rPr>
          <w:rFonts w:ascii="Arial" w:eastAsia="Arial" w:hAnsi="Arial" w:cs="Arial"/>
          <w:i/>
        </w:rPr>
        <w:t>Sin embargo, algunas de las partidas se encuentran bajo la influencia de desviaciones derivadas de circunstancias ajenas a la voluntad del contratista, o de su c</w:t>
      </w:r>
      <w:r>
        <w:rPr>
          <w:rFonts w:ascii="Arial" w:eastAsia="Arial" w:hAnsi="Arial" w:cs="Arial"/>
          <w:i/>
        </w:rPr>
        <w:t xml:space="preserve">apacidad de gestión, además de a la propia evolución del mercado.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Todo ello lleva consigo una variación recurrente e impredecible en el tiempo de algunas componentes de coste, que en ocasiones se encuentra supeditada a la coyuntura</w:t>
      </w:r>
      <w:r>
        <w:rPr>
          <w:rFonts w:ascii="Times New Roman" w:eastAsia="Times New Roman" w:hAnsi="Times New Roman" w:cs="Times New Roman"/>
          <w:i/>
          <w:sz w:val="24"/>
        </w:rPr>
        <w:t xml:space="preserve"> </w:t>
      </w:r>
      <w:r>
        <w:rPr>
          <w:rFonts w:ascii="Arial" w:eastAsia="Arial" w:hAnsi="Arial" w:cs="Arial"/>
          <w:i/>
        </w:rPr>
        <w:t>económica del momento</w:t>
      </w:r>
      <w:r>
        <w:rPr>
          <w:rFonts w:ascii="Arial" w:eastAsia="Arial" w:hAnsi="Arial" w:cs="Arial"/>
          <w:i/>
        </w:rPr>
        <w:t>.</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5" w:line="249" w:lineRule="auto"/>
        <w:ind w:left="10" w:hanging="10"/>
      </w:pPr>
      <w:r>
        <w:rPr>
          <w:rFonts w:ascii="Arial" w:eastAsia="Arial" w:hAnsi="Arial" w:cs="Arial"/>
          <w:b/>
          <w:i/>
          <w:u w:val="single" w:color="000000"/>
        </w:rPr>
        <w:t>COSTES PARA LA DETERMINACIÓN DE LA ESTRUCTURA DE LA FORMULA DE</w:t>
      </w:r>
      <w:r>
        <w:rPr>
          <w:rFonts w:ascii="Arial" w:eastAsia="Arial" w:hAnsi="Arial" w:cs="Arial"/>
          <w:b/>
          <w:i/>
        </w:rPr>
        <w:t xml:space="preserve"> </w:t>
      </w:r>
      <w:r>
        <w:rPr>
          <w:rFonts w:ascii="Arial" w:eastAsia="Arial" w:hAnsi="Arial" w:cs="Arial"/>
          <w:b/>
          <w:i/>
          <w:u w:val="single" w:color="000000"/>
        </w:rPr>
        <w:t>REVISIÓN.</w:t>
      </w:r>
      <w:r>
        <w:rPr>
          <w:rFonts w:ascii="Arial" w:eastAsia="Arial" w:hAnsi="Arial" w:cs="Arial"/>
          <w:b/>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Según lo dispuesto en el Real Decreto 55/2017, de 3 de febrero, la revisión se ha de realizar únicamente teniendo en cuenta los costes directos, indispensables y significativo</w:t>
      </w:r>
      <w:r>
        <w:rPr>
          <w:rFonts w:ascii="Arial" w:eastAsia="Arial" w:hAnsi="Arial" w:cs="Arial"/>
          <w:i/>
        </w:rPr>
        <w:t xml:space="preserve">s para el cumplimiento del objeto del contrato.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Una vez efectuada la máxima desagregación posible y razonable, deben resultar compatibles con las normas establecidas en este Real Decreto, de manera que: </w:t>
      </w:r>
    </w:p>
    <w:p w:rsidR="00FF384B" w:rsidRDefault="003E3BA9">
      <w:pPr>
        <w:spacing w:after="0"/>
      </w:pPr>
      <w:r>
        <w:rPr>
          <w:rFonts w:ascii="Arial" w:eastAsia="Arial" w:hAnsi="Arial" w:cs="Arial"/>
          <w:i/>
        </w:rPr>
        <w:t xml:space="preserve"> </w:t>
      </w:r>
    </w:p>
    <w:p w:rsidR="00FF384B" w:rsidRDefault="003E3BA9">
      <w:pPr>
        <w:numPr>
          <w:ilvl w:val="0"/>
          <w:numId w:val="308"/>
        </w:numPr>
        <w:spacing w:after="4" w:line="247" w:lineRule="auto"/>
        <w:ind w:right="244" w:hanging="360"/>
        <w:jc w:val="both"/>
      </w:pPr>
      <w:r>
        <w:rPr>
          <w:rFonts w:ascii="Arial" w:eastAsia="Arial" w:hAnsi="Arial" w:cs="Arial"/>
          <w:i/>
        </w:rPr>
        <w:t>Sólo podrán ser revisados los componentes que s</w:t>
      </w:r>
      <w:r>
        <w:rPr>
          <w:rFonts w:ascii="Arial" w:eastAsia="Arial" w:hAnsi="Arial" w:cs="Arial"/>
          <w:i/>
        </w:rPr>
        <w:t xml:space="preserve">upongan, al menos, el 1 por 100 de valor íntegro de la actividad y no estar sometidos al control del contratista. </w:t>
      </w:r>
    </w:p>
    <w:p w:rsidR="00FF384B" w:rsidRDefault="003E3BA9">
      <w:pPr>
        <w:numPr>
          <w:ilvl w:val="0"/>
          <w:numId w:val="308"/>
        </w:numPr>
        <w:spacing w:after="4" w:line="247" w:lineRule="auto"/>
        <w:ind w:right="244" w:hanging="360"/>
        <w:jc w:val="both"/>
      </w:pPr>
      <w:r>
        <w:rPr>
          <w:rFonts w:ascii="Arial" w:eastAsia="Arial" w:hAnsi="Arial" w:cs="Arial"/>
          <w:i/>
        </w:rPr>
        <w:t>No son revisables los costes asociados a las amortizaciones, los costes financieros, los gastos generales o de estructura, ni el beneficio in</w:t>
      </w:r>
      <w:r>
        <w:rPr>
          <w:rFonts w:ascii="Arial" w:eastAsia="Arial" w:hAnsi="Arial" w:cs="Arial"/>
          <w:i/>
        </w:rPr>
        <w:t xml:space="preserve">dustrial. </w:t>
      </w:r>
    </w:p>
    <w:p w:rsidR="00FF384B" w:rsidRDefault="003E3BA9">
      <w:pPr>
        <w:numPr>
          <w:ilvl w:val="0"/>
          <w:numId w:val="308"/>
        </w:numPr>
        <w:spacing w:after="4" w:line="247" w:lineRule="auto"/>
        <w:ind w:right="244" w:hanging="360"/>
        <w:jc w:val="both"/>
      </w:pPr>
      <w:r>
        <w:rPr>
          <w:rFonts w:ascii="Arial" w:eastAsia="Arial" w:hAnsi="Arial" w:cs="Arial"/>
          <w:i/>
        </w:rPr>
        <w:t xml:space="preserve">Cada componente de coste a incorporar en la fórmula tendrá un precio individual o índice específico que permita reflejar su evolución.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De este modo se proponen, por su carácter indispensable para la realización del servicio y por poder sufrir</w:t>
      </w:r>
      <w:r>
        <w:rPr>
          <w:rFonts w:ascii="Arial" w:eastAsia="Arial" w:hAnsi="Arial" w:cs="Arial"/>
          <w:i/>
        </w:rPr>
        <w:t xml:space="preserve"> desviaciones significativas, los siguientes: </w:t>
      </w:r>
    </w:p>
    <w:p w:rsidR="00FF384B" w:rsidRDefault="003E3BA9">
      <w:pPr>
        <w:spacing w:after="0"/>
      </w:pPr>
      <w:r>
        <w:rPr>
          <w:rFonts w:ascii="Times New Roman" w:eastAsia="Times New Roman" w:hAnsi="Times New Roman" w:cs="Times New Roman"/>
          <w:i/>
          <w:sz w:val="24"/>
        </w:rPr>
        <w:t xml:space="preserve"> </w:t>
      </w:r>
    </w:p>
    <w:tbl>
      <w:tblPr>
        <w:tblStyle w:val="TableGrid"/>
        <w:tblW w:w="5869" w:type="dxa"/>
        <w:tblInd w:w="1314" w:type="dxa"/>
        <w:tblCellMar>
          <w:top w:w="24" w:type="dxa"/>
          <w:left w:w="32" w:type="dxa"/>
          <w:bottom w:w="0" w:type="dxa"/>
          <w:right w:w="69" w:type="dxa"/>
        </w:tblCellMar>
        <w:tblLook w:val="04A0" w:firstRow="1" w:lastRow="0" w:firstColumn="1" w:lastColumn="0" w:noHBand="0" w:noVBand="1"/>
      </w:tblPr>
      <w:tblGrid>
        <w:gridCol w:w="542"/>
        <w:gridCol w:w="5326"/>
      </w:tblGrid>
      <w:tr w:rsidR="00FF384B">
        <w:trPr>
          <w:trHeight w:val="279"/>
        </w:trPr>
        <w:tc>
          <w:tcPr>
            <w:tcW w:w="5869" w:type="dxa"/>
            <w:gridSpan w:val="2"/>
            <w:tcBorders>
              <w:top w:val="single" w:sz="5" w:space="0" w:color="000000"/>
              <w:left w:val="single" w:sz="5" w:space="0" w:color="000000"/>
              <w:bottom w:val="single" w:sz="11" w:space="0" w:color="000000"/>
              <w:right w:val="single" w:sz="11" w:space="0" w:color="000000"/>
            </w:tcBorders>
            <w:shd w:val="clear" w:color="auto" w:fill="990033"/>
          </w:tcPr>
          <w:p w:rsidR="00FF384B" w:rsidRDefault="003E3BA9">
            <w:pPr>
              <w:spacing w:after="0"/>
              <w:ind w:left="25"/>
              <w:jc w:val="center"/>
            </w:pPr>
            <w:r>
              <w:rPr>
                <w:rFonts w:ascii="Arial" w:eastAsia="Arial" w:hAnsi="Arial" w:cs="Arial"/>
                <w:b/>
                <w:color w:val="FFFFFF"/>
                <w:sz w:val="20"/>
              </w:rPr>
              <w:t>COMPONENTE</w:t>
            </w:r>
          </w:p>
        </w:tc>
      </w:tr>
      <w:tr w:rsidR="00FF384B">
        <w:trPr>
          <w:trHeight w:val="262"/>
        </w:trPr>
        <w:tc>
          <w:tcPr>
            <w:tcW w:w="542" w:type="dxa"/>
            <w:tcBorders>
              <w:top w:val="single" w:sz="11" w:space="0" w:color="000000"/>
              <w:left w:val="single" w:sz="5" w:space="0" w:color="000000"/>
              <w:bottom w:val="single" w:sz="6" w:space="0" w:color="000000"/>
              <w:right w:val="single" w:sz="5" w:space="0" w:color="000000"/>
            </w:tcBorders>
            <w:shd w:val="clear" w:color="auto" w:fill="BFBFBF"/>
          </w:tcPr>
          <w:p w:rsidR="00FF384B" w:rsidRDefault="003E3BA9">
            <w:pPr>
              <w:spacing w:after="0"/>
            </w:pPr>
            <w:r>
              <w:rPr>
                <w:rFonts w:ascii="Arial" w:eastAsia="Arial" w:hAnsi="Arial" w:cs="Arial"/>
                <w:sz w:val="20"/>
              </w:rPr>
              <w:t>1</w:t>
            </w:r>
          </w:p>
        </w:tc>
        <w:tc>
          <w:tcPr>
            <w:tcW w:w="5326" w:type="dxa"/>
            <w:tcBorders>
              <w:top w:val="single" w:sz="11" w:space="0" w:color="000000"/>
              <w:left w:val="single" w:sz="5" w:space="0" w:color="000000"/>
              <w:bottom w:val="single" w:sz="6"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Gastos de personal</w:t>
            </w:r>
          </w:p>
        </w:tc>
      </w:tr>
      <w:tr w:rsidR="00FF384B">
        <w:trPr>
          <w:trHeight w:val="255"/>
        </w:trPr>
        <w:tc>
          <w:tcPr>
            <w:tcW w:w="542" w:type="dxa"/>
            <w:tcBorders>
              <w:top w:val="single" w:sz="6" w:space="0" w:color="000000"/>
              <w:left w:val="single" w:sz="5" w:space="0" w:color="000000"/>
              <w:bottom w:val="single" w:sz="6" w:space="0" w:color="000000"/>
              <w:right w:val="single" w:sz="5" w:space="0" w:color="000000"/>
            </w:tcBorders>
          </w:tcPr>
          <w:p w:rsidR="00FF384B" w:rsidRDefault="003E3BA9">
            <w:pPr>
              <w:spacing w:after="0"/>
            </w:pPr>
            <w:r>
              <w:rPr>
                <w:rFonts w:ascii="Arial" w:eastAsia="Arial" w:hAnsi="Arial" w:cs="Arial"/>
                <w:sz w:val="20"/>
              </w:rPr>
              <w:t>2</w:t>
            </w:r>
          </w:p>
        </w:tc>
        <w:tc>
          <w:tcPr>
            <w:tcW w:w="5326" w:type="dxa"/>
            <w:tcBorders>
              <w:top w:val="single" w:sz="6" w:space="0" w:color="000000"/>
              <w:left w:val="single" w:sz="5" w:space="0" w:color="000000"/>
              <w:bottom w:val="single" w:sz="6" w:space="0" w:color="000000"/>
              <w:right w:val="single" w:sz="11" w:space="0" w:color="000000"/>
            </w:tcBorders>
          </w:tcPr>
          <w:p w:rsidR="00FF384B" w:rsidRDefault="003E3BA9">
            <w:pPr>
              <w:spacing w:after="0"/>
              <w:ind w:left="2"/>
            </w:pPr>
            <w:r>
              <w:rPr>
                <w:rFonts w:ascii="Arial" w:eastAsia="Arial" w:hAnsi="Arial" w:cs="Arial"/>
                <w:sz w:val="20"/>
              </w:rPr>
              <w:t>Gastos de bienes corrientes y servicios</w:t>
            </w:r>
          </w:p>
        </w:tc>
      </w:tr>
      <w:tr w:rsidR="00FF384B">
        <w:trPr>
          <w:trHeight w:val="255"/>
        </w:trPr>
        <w:tc>
          <w:tcPr>
            <w:tcW w:w="542" w:type="dxa"/>
            <w:tcBorders>
              <w:top w:val="single" w:sz="6" w:space="0" w:color="000000"/>
              <w:left w:val="single" w:sz="5" w:space="0" w:color="000000"/>
              <w:bottom w:val="single" w:sz="5" w:space="0" w:color="000000"/>
              <w:right w:val="single" w:sz="5" w:space="0" w:color="000000"/>
            </w:tcBorders>
          </w:tcPr>
          <w:p w:rsidR="00FF384B" w:rsidRDefault="003E3BA9">
            <w:pPr>
              <w:spacing w:after="0"/>
            </w:pPr>
            <w:r>
              <w:rPr>
                <w:rFonts w:ascii="Arial" w:eastAsia="Arial" w:hAnsi="Arial" w:cs="Arial"/>
                <w:sz w:val="20"/>
              </w:rPr>
              <w:t>2.1</w:t>
            </w:r>
          </w:p>
        </w:tc>
        <w:tc>
          <w:tcPr>
            <w:tcW w:w="5326" w:type="dxa"/>
            <w:tcBorders>
              <w:top w:val="single" w:sz="6" w:space="0" w:color="000000"/>
              <w:left w:val="single" w:sz="5" w:space="0" w:color="000000"/>
              <w:bottom w:val="single" w:sz="5" w:space="0" w:color="000000"/>
              <w:right w:val="single" w:sz="11" w:space="0" w:color="000000"/>
            </w:tcBorders>
          </w:tcPr>
          <w:p w:rsidR="00FF384B" w:rsidRDefault="003E3BA9">
            <w:pPr>
              <w:spacing w:after="0"/>
              <w:ind w:left="2"/>
            </w:pPr>
            <w:r>
              <w:rPr>
                <w:rFonts w:ascii="Arial" w:eastAsia="Arial" w:hAnsi="Arial" w:cs="Arial"/>
                <w:sz w:val="20"/>
              </w:rPr>
              <w:t>Costes variables maquinaria y equipos</w:t>
            </w:r>
          </w:p>
        </w:tc>
      </w:tr>
      <w:tr w:rsidR="00FF384B">
        <w:trPr>
          <w:trHeight w:val="259"/>
        </w:trPr>
        <w:tc>
          <w:tcPr>
            <w:tcW w:w="542" w:type="dxa"/>
            <w:tcBorders>
              <w:top w:val="single" w:sz="5" w:space="0" w:color="000000"/>
              <w:left w:val="single" w:sz="5" w:space="0" w:color="000000"/>
              <w:bottom w:val="single" w:sz="5"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2.1.1</w:t>
            </w:r>
          </w:p>
        </w:tc>
        <w:tc>
          <w:tcPr>
            <w:tcW w:w="5326" w:type="dxa"/>
            <w:tcBorders>
              <w:top w:val="single" w:sz="5" w:space="0" w:color="000000"/>
              <w:left w:val="single" w:sz="5" w:space="0" w:color="000000"/>
              <w:bottom w:val="single" w:sz="5"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Carburantes y lubricantes</w:t>
            </w:r>
          </w:p>
        </w:tc>
      </w:tr>
      <w:tr w:rsidR="00FF384B">
        <w:trPr>
          <w:trHeight w:val="267"/>
        </w:trPr>
        <w:tc>
          <w:tcPr>
            <w:tcW w:w="542" w:type="dxa"/>
            <w:tcBorders>
              <w:top w:val="single" w:sz="5" w:space="0" w:color="000000"/>
              <w:left w:val="single" w:sz="5" w:space="0" w:color="000000"/>
              <w:bottom w:val="single" w:sz="11" w:space="0" w:color="000000"/>
              <w:right w:val="single" w:sz="5" w:space="0" w:color="000000"/>
            </w:tcBorders>
            <w:shd w:val="clear" w:color="auto" w:fill="BFBFBF"/>
          </w:tcPr>
          <w:p w:rsidR="00FF384B" w:rsidRDefault="003E3BA9">
            <w:pPr>
              <w:spacing w:after="0"/>
              <w:jc w:val="both"/>
            </w:pPr>
            <w:r>
              <w:rPr>
                <w:rFonts w:ascii="Arial" w:eastAsia="Arial" w:hAnsi="Arial" w:cs="Arial"/>
                <w:sz w:val="20"/>
              </w:rPr>
              <w:t>2.1.2</w:t>
            </w:r>
          </w:p>
        </w:tc>
        <w:tc>
          <w:tcPr>
            <w:tcW w:w="5326" w:type="dxa"/>
            <w:tcBorders>
              <w:top w:val="single" w:sz="5" w:space="0" w:color="000000"/>
              <w:left w:val="single" w:sz="5" w:space="0" w:color="000000"/>
              <w:bottom w:val="single" w:sz="11" w:space="0" w:color="000000"/>
              <w:right w:val="single" w:sz="11" w:space="0" w:color="000000"/>
            </w:tcBorders>
            <w:shd w:val="clear" w:color="auto" w:fill="BFBFBF"/>
          </w:tcPr>
          <w:p w:rsidR="00FF384B" w:rsidRDefault="003E3BA9">
            <w:pPr>
              <w:spacing w:after="0"/>
              <w:ind w:left="2"/>
            </w:pPr>
            <w:r>
              <w:rPr>
                <w:rFonts w:ascii="Arial" w:eastAsia="Arial" w:hAnsi="Arial" w:cs="Arial"/>
                <w:sz w:val="20"/>
              </w:rPr>
              <w:t>Mantenimiento y reparaciones de maquinaria y equipos</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Por tanto, los costes de amortización y financiación de la inversión no son revisables. </w:t>
      </w:r>
      <w:r>
        <w:rPr>
          <w:rFonts w:ascii="Arial" w:eastAsia="Arial" w:hAnsi="Arial" w:cs="Arial"/>
          <w:i/>
        </w:rPr>
        <w:t xml:space="preserve">Tampoco son revisables aquellos costes que componen la partida de otros costes directos, pues incorporan gastos generales o de estructura.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Por tanto, los costes a incorporar en la fórmula de revisión de precios cumplen con lo definido en el artículo 3 d</w:t>
      </w:r>
      <w:r>
        <w:rPr>
          <w:rFonts w:ascii="Arial" w:eastAsia="Arial" w:hAnsi="Arial" w:cs="Arial"/>
          <w:i/>
        </w:rPr>
        <w:t xml:space="preserve">el Real Decreto 55/2017, que observa el principio de referenciación a costes, según el cual la revisión del precio que remunera una actividad reflejará la evolución de los costes incurridos para realizar dicha actividad.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 la vez, cumple con las dos reg</w:t>
      </w:r>
      <w:r>
        <w:rPr>
          <w:rFonts w:ascii="Arial" w:eastAsia="Arial" w:hAnsi="Arial" w:cs="Arial"/>
          <w:i/>
        </w:rPr>
        <w:t xml:space="preserve">las que se establecen para admitir la inclusión de costes en los regímenes de revisión: </w:t>
      </w:r>
    </w:p>
    <w:p w:rsidR="00FF384B" w:rsidRDefault="003E3BA9">
      <w:pPr>
        <w:spacing w:after="0"/>
      </w:pPr>
      <w:r>
        <w:rPr>
          <w:rFonts w:ascii="Arial" w:eastAsia="Arial" w:hAnsi="Arial" w:cs="Arial"/>
          <w:i/>
        </w:rPr>
        <w:t xml:space="preserve"> </w:t>
      </w:r>
    </w:p>
    <w:p w:rsidR="00FF384B" w:rsidRDefault="003E3BA9">
      <w:pPr>
        <w:spacing w:after="4" w:line="247" w:lineRule="auto"/>
        <w:ind w:left="720" w:right="244" w:hanging="360"/>
        <w:jc w:val="both"/>
      </w:pPr>
      <w:r>
        <w:rPr>
          <w:rFonts w:ascii="Arial" w:eastAsia="Arial" w:hAnsi="Arial" w:cs="Arial"/>
          <w:i/>
        </w:rPr>
        <w:t xml:space="preserve">d) En primer lugar, la regla de la relación directa. Sólo se han tenido en cuenta los costes directamente asociados a la actividad. </w:t>
      </w:r>
    </w:p>
    <w:p w:rsidR="00FF384B" w:rsidRDefault="003E3BA9">
      <w:pPr>
        <w:spacing w:after="0"/>
        <w:ind w:left="720"/>
      </w:pPr>
      <w:r>
        <w:rPr>
          <w:rFonts w:ascii="Arial" w:eastAsia="Arial" w:hAnsi="Arial" w:cs="Arial"/>
          <w:i/>
        </w:rPr>
        <w:t xml:space="preserve"> </w:t>
      </w:r>
    </w:p>
    <w:p w:rsidR="00FF384B" w:rsidRDefault="003E3BA9">
      <w:pPr>
        <w:spacing w:after="4" w:line="247" w:lineRule="auto"/>
        <w:ind w:left="370" w:right="244" w:hanging="10"/>
        <w:jc w:val="both"/>
      </w:pPr>
      <w:r>
        <w:rPr>
          <w:rFonts w:ascii="Arial" w:eastAsia="Arial" w:hAnsi="Arial" w:cs="Arial"/>
          <w:i/>
        </w:rPr>
        <w:t xml:space="preserve">b) En segundo lugar, la regla de la indispensabilidad. Sólo se han tenido en cuenta los costes indispensables para la realización de la actividad. </w:t>
      </w:r>
    </w:p>
    <w:p w:rsidR="00FF384B" w:rsidRDefault="003E3BA9">
      <w:pPr>
        <w:spacing w:after="0"/>
      </w:pPr>
      <w:r>
        <w:rPr>
          <w:noProof/>
        </w:rPr>
        <mc:AlternateContent>
          <mc:Choice Requires="wpg">
            <w:drawing>
              <wp:anchor distT="0" distB="0" distL="114300" distR="114300" simplePos="0" relativeHeight="25193369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0324" name="Group 5203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561" name="Picture 50561"/>
                          <pic:cNvPicPr/>
                        </pic:nvPicPr>
                        <pic:blipFill>
                          <a:blip r:embed="rId62"/>
                          <a:stretch>
                            <a:fillRect/>
                          </a:stretch>
                        </pic:blipFill>
                        <pic:spPr>
                          <a:xfrm rot="-5399999">
                            <a:off x="-1720849" y="1720849"/>
                            <a:ext cx="3797300" cy="355601"/>
                          </a:xfrm>
                          <a:prstGeom prst="rect">
                            <a:avLst/>
                          </a:prstGeom>
                        </pic:spPr>
                      </pic:pic>
                      <wps:wsp>
                        <wps:cNvPr id="50562" name="Rectangle 5056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0563" name="Rectangle 5056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Docum</w:t>
                              </w:r>
                              <w:r>
                                <w:rPr>
                                  <w:rFonts w:ascii="Arial" w:eastAsia="Arial" w:hAnsi="Arial" w:cs="Arial"/>
                                  <w:sz w:val="12"/>
                                </w:rPr>
                                <w:t xml:space="preserve">ento firmado electrónicamente desde la plataforma esPublico Gestiona | Página 268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0324" style="width:41.2715pt;height:299pt;position:absolute;mso-position-horizontal-relative:page;mso-position-horizontal:absolute;margin-left:653.71pt;mso-position-vertical-relative:page;margin-top:512.92pt;" coordsize="5241,37973">
                <v:shape id="Picture 50561" style="position:absolute;width:37973;height:3556;left:-17208;top:17208;rotation:-89;" filled="f">
                  <v:imagedata r:id="rId63"/>
                </v:shape>
                <v:rect id="Rectangle 5056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56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268 de 353 </w:t>
                        </w:r>
                      </w:p>
                    </w:txbxContent>
                  </v:textbox>
                </v:rect>
                <w10:wrap type="square"/>
              </v:group>
            </w:pict>
          </mc:Fallback>
        </mc:AlternateContent>
      </w: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hd w:val="clear" w:color="auto" w:fill="E0E0E0"/>
        <w:spacing w:after="225" w:line="250" w:lineRule="auto"/>
        <w:ind w:left="10" w:right="259" w:hanging="10"/>
        <w:jc w:val="center"/>
      </w:pPr>
      <w:r>
        <w:rPr>
          <w:rFonts w:ascii="Arial" w:eastAsia="Arial" w:hAnsi="Arial" w:cs="Arial"/>
          <w:b/>
          <w:i/>
        </w:rPr>
        <w:t xml:space="preserve">JUSTIFICACIÓN DE LOS COSTES REVISABLES ELEGIDOS. </w:t>
      </w:r>
    </w:p>
    <w:p w:rsidR="00FF384B" w:rsidRDefault="003E3BA9">
      <w:pPr>
        <w:spacing w:after="4" w:line="247" w:lineRule="auto"/>
        <w:ind w:left="10" w:right="244" w:hanging="10"/>
        <w:jc w:val="both"/>
      </w:pPr>
      <w:r>
        <w:rPr>
          <w:rFonts w:ascii="Arial" w:eastAsia="Arial" w:hAnsi="Arial" w:cs="Arial"/>
          <w:i/>
        </w:rPr>
        <w:t>Tal y como se ha indicado, los costes a incorporar para la determinación de la fórmula de revisión de precios se</w:t>
      </w:r>
      <w:r>
        <w:rPr>
          <w:rFonts w:ascii="Arial" w:eastAsia="Arial" w:hAnsi="Arial" w:cs="Arial"/>
          <w:i/>
        </w:rPr>
        <w:t xml:space="preserve"> corresponden con los costes de mano de obra, de carburante y lubricantes y de servicios de mantenimiento y reparación.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5" w:line="249" w:lineRule="auto"/>
        <w:ind w:left="10" w:hanging="10"/>
      </w:pPr>
      <w:r>
        <w:rPr>
          <w:rFonts w:ascii="Arial" w:eastAsia="Arial" w:hAnsi="Arial" w:cs="Arial"/>
          <w:b/>
          <w:i/>
          <w:u w:val="single" w:color="000000"/>
        </w:rPr>
        <w:t>JUSTIFICACIÓN DE LA EVOLUCIÓN DE LOS COSTES DE MANO DE OBRA</w:t>
      </w:r>
      <w:r>
        <w:rPr>
          <w:rFonts w:ascii="Arial" w:eastAsia="Arial" w:hAnsi="Arial" w:cs="Arial"/>
          <w:b/>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coste de personal es el componente más relevante de la estructura de costes para esta actividad, tal y como se ha podido comprobar anteriormente.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Incorpora el coste total de un trabajador, tanto sus retribuciones (salario base, antigüedad, diferentes</w:t>
      </w:r>
      <w:r>
        <w:rPr>
          <w:rFonts w:ascii="Arial" w:eastAsia="Arial" w:hAnsi="Arial" w:cs="Arial"/>
          <w:i/>
        </w:rPr>
        <w:t xml:space="preserve"> pluses, complementos, etc.), y todas aquellas cotizaciones a la Seguridad Social por los conceptos de contingencias comunes, contingencias profesionales, desempleo, formación profesional, plus transporte y Fondo de Garantía Salarial.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Todos estos elementos se encuentran claramente especificados en los correspondientes convenios colectivos, pero cuya evolución a nivel global no es siempre inmediata de calcular al depender de la composición de la plantilla según categorías profesionales, </w:t>
      </w:r>
      <w:r>
        <w:rPr>
          <w:rFonts w:ascii="Arial" w:eastAsia="Arial" w:hAnsi="Arial" w:cs="Arial"/>
          <w:i/>
        </w:rPr>
        <w:t xml:space="preserve">antigüedad, tipologías contractuales, número de empleados, etc. en cada momento del contrato. </w:t>
      </w:r>
    </w:p>
    <w:p w:rsidR="00FF384B" w:rsidRDefault="003E3BA9">
      <w:pPr>
        <w:spacing w:after="4" w:line="247" w:lineRule="auto"/>
        <w:ind w:left="10" w:right="244" w:hanging="10"/>
        <w:jc w:val="both"/>
      </w:pPr>
      <w:r>
        <w:rPr>
          <w:rFonts w:ascii="Arial" w:eastAsia="Arial" w:hAnsi="Arial" w:cs="Arial"/>
          <w:i/>
        </w:rPr>
        <w:t xml:space="preserve">El coste salarial viene determinado por el Convenio Colectivo del de la empresa Urbaser, </w:t>
      </w:r>
    </w:p>
    <w:p w:rsidR="00FF384B" w:rsidRDefault="003E3BA9">
      <w:pPr>
        <w:spacing w:after="4" w:line="247" w:lineRule="auto"/>
        <w:ind w:left="10" w:right="244" w:hanging="10"/>
        <w:jc w:val="both"/>
      </w:pPr>
      <w:r>
        <w:rPr>
          <w:rFonts w:ascii="Arial" w:eastAsia="Arial" w:hAnsi="Arial" w:cs="Arial"/>
          <w:i/>
        </w:rPr>
        <w:t xml:space="preserve">S.A. con código 385004451012008, publicado en el Boletín oficial de la </w:t>
      </w:r>
      <w:r>
        <w:rPr>
          <w:rFonts w:ascii="Arial" w:eastAsia="Arial" w:hAnsi="Arial" w:cs="Arial"/>
          <w:i/>
        </w:rPr>
        <w:t xml:space="preserve">Provincia de Santa Cruz de Tenerife núm. 96, 9 de agosto de 2019 y se establece igualmente la subrogación del personal cuando se efectúe un cambio de entidad prestataria del servicio.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Mediante la negociación colectiva, las organizaciones empresariales y</w:t>
      </w:r>
      <w:r>
        <w:rPr>
          <w:rFonts w:ascii="Arial" w:eastAsia="Arial" w:hAnsi="Arial" w:cs="Arial"/>
          <w:i/>
        </w:rPr>
        <w:t xml:space="preserve"> sindicales acuerdan las condiciones de trabajo y los modelos de producción para aumentar el empleo, mejorar la eficiencia del trabajo y las condiciones laborales, de forma que los salarios evolucionen de forma paralela a la coyuntura económica y otros con</w:t>
      </w:r>
      <w:r>
        <w:rPr>
          <w:rFonts w:ascii="Arial" w:eastAsia="Arial" w:hAnsi="Arial" w:cs="Arial"/>
          <w:i/>
        </w:rPr>
        <w:t xml:space="preserve">venios del sector.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Esta evolución, dependiente a su vez de circunstancias y factores económicos y políticos sociales, les confiere un alto grado de incertidumbre y del todo fuera del ámbito de influencia de los operadores del sector.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Los costes de la</w:t>
      </w:r>
      <w:r>
        <w:rPr>
          <w:rFonts w:ascii="Arial" w:eastAsia="Arial" w:hAnsi="Arial" w:cs="Arial"/>
          <w:i/>
        </w:rPr>
        <w:t xml:space="preserve"> mano de obra son fundamentales e indispensables, su variación es frecuente y fundamentalmente al alza, y debe ser trasladada a la fórmula de revisión a emplear, si bien, como determina el Real Decreto 55/2017, dicho traslado tendrá como límite máximo el i</w:t>
      </w:r>
      <w:r>
        <w:rPr>
          <w:rFonts w:ascii="Arial" w:eastAsia="Arial" w:hAnsi="Arial" w:cs="Arial"/>
          <w:i/>
        </w:rPr>
        <w:t xml:space="preserve">ncremento experimentado por la retribución del personal al servicio del sector público, conforme a las Leyes de Presupuestos Generales del Estado.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5" w:line="249" w:lineRule="auto"/>
        <w:ind w:left="10" w:hanging="10"/>
      </w:pPr>
      <w:r>
        <w:rPr>
          <w:rFonts w:ascii="Arial" w:eastAsia="Arial" w:hAnsi="Arial" w:cs="Arial"/>
          <w:b/>
          <w:i/>
          <w:u w:val="single" w:color="000000"/>
        </w:rPr>
        <w:t>JUSTIFICACIÓN DE LA EVOLUCIÓN DE LOS COSTES DE FUNCIONAMIENTO DE</w:t>
      </w:r>
      <w:r>
        <w:rPr>
          <w:rFonts w:ascii="Arial" w:eastAsia="Arial" w:hAnsi="Arial" w:cs="Arial"/>
          <w:b/>
          <w:i/>
        </w:rPr>
        <w:t xml:space="preserve"> </w:t>
      </w:r>
    </w:p>
    <w:p w:rsidR="00FF384B" w:rsidRDefault="003E3BA9">
      <w:pPr>
        <w:spacing w:after="5" w:line="249" w:lineRule="auto"/>
        <w:ind w:left="10" w:hanging="10"/>
      </w:pPr>
      <w:r>
        <w:rPr>
          <w:rFonts w:ascii="Arial" w:eastAsia="Arial" w:hAnsi="Arial" w:cs="Arial"/>
          <w:b/>
          <w:i/>
          <w:u w:val="single" w:color="000000"/>
        </w:rPr>
        <w:t>LA MAQUINARIA Y EQUIPOS</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13" w:line="247" w:lineRule="auto"/>
        <w:ind w:right="239"/>
        <w:jc w:val="both"/>
      </w:pPr>
      <w:r>
        <w:rPr>
          <w:noProof/>
        </w:rPr>
        <mc:AlternateContent>
          <mc:Choice Requires="wpg">
            <w:drawing>
              <wp:anchor distT="0" distB="0" distL="114300" distR="114300" simplePos="0" relativeHeight="25193472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9327" name="Group 49932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652" name="Picture 50652"/>
                          <pic:cNvPicPr/>
                        </pic:nvPicPr>
                        <pic:blipFill>
                          <a:blip r:embed="rId62"/>
                          <a:stretch>
                            <a:fillRect/>
                          </a:stretch>
                        </pic:blipFill>
                        <pic:spPr>
                          <a:xfrm rot="-5399999">
                            <a:off x="-1720849" y="1720849"/>
                            <a:ext cx="3797300" cy="355601"/>
                          </a:xfrm>
                          <a:prstGeom prst="rect">
                            <a:avLst/>
                          </a:prstGeom>
                        </pic:spPr>
                      </pic:pic>
                      <wps:wsp>
                        <wps:cNvPr id="50653" name="Rectangle 50653"/>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Val</w:t>
                              </w:r>
                              <w:r>
                                <w:rPr>
                                  <w:rFonts w:ascii="Arial" w:eastAsia="Arial" w:hAnsi="Arial" w:cs="Arial"/>
                                  <w:sz w:val="12"/>
                                </w:rPr>
                                <w:t xml:space="preserve">idación: 9792ADAG9QWZ53RMHD5RCHL7K | Verificación: https://candelaria.sedelectronica.es/ </w:t>
                              </w:r>
                            </w:p>
                          </w:txbxContent>
                        </wps:txbx>
                        <wps:bodyPr horzOverflow="overflow" vert="horz" lIns="0" tIns="0" rIns="0" bIns="0" rtlCol="0">
                          <a:noAutofit/>
                        </wps:bodyPr>
                      </wps:wsp>
                      <wps:wsp>
                        <wps:cNvPr id="50654" name="Rectangle 50654"/>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269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9327" style="width:41.2715pt;height:299pt;position:absolute;mso-position-horizontal-relative:page;mso-position-horizontal:absolute;margin-left:653.71pt;mso-position-vertical-relative:page;margin-top:512.92pt;" coordsize="5241,37973">
                <v:shape id="Picture 50652" style="position:absolute;width:37973;height:3556;left:-17208;top:17208;rotation:-89;" filled="f">
                  <v:imagedata r:id="rId63"/>
                </v:shape>
                <v:rect id="Rectangle 5065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65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269 de 353 </w:t>
                        </w:r>
                      </w:p>
                    </w:txbxContent>
                  </v:textbox>
                </v:rect>
                <w10:wrap type="square"/>
              </v:group>
            </w:pict>
          </mc:Fallback>
        </mc:AlternateContent>
      </w:r>
      <w:r>
        <w:rPr>
          <w:rFonts w:ascii="Arial" w:eastAsia="Arial" w:hAnsi="Arial" w:cs="Arial"/>
          <w:b/>
          <w:i/>
        </w:rPr>
        <w:t xml:space="preserve">COSTES DE CARBURANTE Y LUBRICANTES.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Depende de su consumo y de su precio.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Sobre el consumo existe cierta capacidad de influencia por parte del adjudicatario, a través del buen uso y mantenimiento de la maquinaria y de la utilización de tecnologías eficientes.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Sin embargo, el hecho de q</w:t>
      </w:r>
      <w:r>
        <w:rPr>
          <w:rFonts w:ascii="Arial" w:eastAsia="Arial" w:hAnsi="Arial" w:cs="Arial"/>
          <w:i/>
        </w:rPr>
        <w:t>ue en un contrato de servicios las actuaciones a realizar, su frecuencia e incluso el tipo de tecnologías a emplear vengan tasados en los pliegos, hace que, en el grueso de este concepto, la intensidad de uso, el contratista no tenga capacidad de influenci</w:t>
      </w:r>
      <w:r>
        <w:rPr>
          <w:rFonts w:ascii="Arial" w:eastAsia="Arial" w:hAnsi="Arial" w:cs="Arial"/>
          <w:i/>
        </w:rPr>
        <w:t xml:space="preserve">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Respecto al precio, la evolución depende de diferentes factores políticos y económicos que quedan claramente fuera del ámbito de influencia del contratista.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Además del precio del petróleo, hay otros factores clave que influyen en el precio de los carburantes, como la tributación, que puede variar en función de las circunstancias económicas del país, o diferentes aspectos normativos a través de diferentes admin</w:t>
      </w:r>
      <w:r>
        <w:rPr>
          <w:rFonts w:ascii="Arial" w:eastAsia="Arial" w:hAnsi="Arial" w:cs="Arial"/>
          <w:i/>
        </w:rPr>
        <w:t xml:space="preserve">istraciones y en materias varias, como puede ser la legislación medioambiental.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En el gráfico siguiente se muestra la evolución del precio de carburantes y lubricantes.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Puede observarse claramente su gran variabilidad. </w:t>
      </w:r>
    </w:p>
    <w:p w:rsidR="00FF384B" w:rsidRDefault="003E3BA9">
      <w:pPr>
        <w:spacing w:after="0"/>
        <w:ind w:right="197"/>
        <w:jc w:val="center"/>
      </w:pPr>
      <w:r>
        <w:rPr>
          <w:rFonts w:ascii="Times New Roman" w:eastAsia="Times New Roman" w:hAnsi="Times New Roman" w:cs="Times New Roman"/>
          <w:i/>
          <w:sz w:val="24"/>
        </w:rPr>
        <w:t xml:space="preserve"> </w:t>
      </w:r>
    </w:p>
    <w:p w:rsidR="00FF384B" w:rsidRDefault="003E3BA9">
      <w:pPr>
        <w:spacing w:after="107" w:line="216" w:lineRule="auto"/>
        <w:ind w:left="1601" w:hanging="1580"/>
      </w:pPr>
      <w:r>
        <w:rPr>
          <w:noProof/>
        </w:rPr>
        <w:drawing>
          <wp:inline distT="0" distB="0" distL="0" distR="0">
            <wp:extent cx="5372100" cy="2004060"/>
            <wp:effectExtent l="0" t="0" r="0" b="0"/>
            <wp:docPr id="50714" name="Picture 50714"/>
            <wp:cNvGraphicFramePr/>
            <a:graphic xmlns:a="http://schemas.openxmlformats.org/drawingml/2006/main">
              <a:graphicData uri="http://schemas.openxmlformats.org/drawingml/2006/picture">
                <pic:pic xmlns:pic="http://schemas.openxmlformats.org/drawingml/2006/picture">
                  <pic:nvPicPr>
                    <pic:cNvPr id="50714" name="Picture 50714"/>
                    <pic:cNvPicPr/>
                  </pic:nvPicPr>
                  <pic:blipFill>
                    <a:blip r:embed="rId68"/>
                    <a:stretch>
                      <a:fillRect/>
                    </a:stretch>
                  </pic:blipFill>
                  <pic:spPr>
                    <a:xfrm>
                      <a:off x="0" y="0"/>
                      <a:ext cx="5372100" cy="200406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i/>
          <w:sz w:val="14"/>
        </w:rPr>
        <w:t>Evolución IPC carburantes</w:t>
      </w:r>
      <w:r>
        <w:rPr>
          <w:rFonts w:ascii="Times New Roman" w:eastAsia="Times New Roman" w:hAnsi="Times New Roman" w:cs="Times New Roman"/>
          <w:i/>
          <w:sz w:val="14"/>
        </w:rPr>
        <w:t xml:space="preserve"> y lubricantes. Fuente Instituto Nacional de Estadística (INE) 2021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Por lo tanto, se considera que estos costes de carburantes y lubricantes deben ser trasladados a la fórmula de revisión.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COSTES DE MANTENIMIENTO Y REPARACIÓN DE MAQUINARIA Y EQUIPO</w:t>
      </w:r>
      <w:r>
        <w:rPr>
          <w:rFonts w:ascii="Arial" w:eastAsia="Arial" w:hAnsi="Arial" w:cs="Arial"/>
          <w:b/>
          <w:i/>
        </w:rPr>
        <w:t xml:space="preserve">S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Es otro elemento fundamental para la prestación del servicio.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Para la prestación optima del servicio, será necesaria la utilización de maquinaria específica, siendo indispensable la realización de tareas de mantenimiento preventivo y</w:t>
      </w:r>
      <w:r>
        <w:rPr>
          <w:rFonts w:ascii="Times New Roman" w:eastAsia="Times New Roman" w:hAnsi="Times New Roman" w:cs="Times New Roman"/>
          <w:i/>
          <w:sz w:val="24"/>
        </w:rPr>
        <w:t xml:space="preserve"> </w:t>
      </w:r>
      <w:r>
        <w:rPr>
          <w:rFonts w:ascii="Arial" w:eastAsia="Arial" w:hAnsi="Arial" w:cs="Arial"/>
          <w:i/>
        </w:rPr>
        <w:t>correctivo frente averías que generan gastos proporcionales al uso que se realiza de los equipos durante la prestación.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La utilización de vehículos muy específicos y con alta carga tecnológica hace que las averías tengan un importe relevante. </w:t>
      </w:r>
    </w:p>
    <w:p w:rsidR="00FF384B" w:rsidRDefault="003E3BA9">
      <w:pPr>
        <w:spacing w:after="0"/>
      </w:pPr>
      <w:r>
        <w:rPr>
          <w:rFonts w:ascii="Arial" w:eastAsia="Arial" w:hAnsi="Arial" w:cs="Arial"/>
          <w:i/>
        </w:rPr>
        <w:t xml:space="preserve"> </w:t>
      </w:r>
    </w:p>
    <w:p w:rsidR="00FF384B" w:rsidRDefault="003E3BA9">
      <w:pPr>
        <w:spacing w:after="3" w:line="246" w:lineRule="auto"/>
        <w:ind w:left="10" w:right="222" w:hanging="10"/>
      </w:pPr>
      <w:r>
        <w:rPr>
          <w:noProof/>
        </w:rPr>
        <mc:AlternateContent>
          <mc:Choice Requires="wpg">
            <w:drawing>
              <wp:anchor distT="0" distB="0" distL="114300" distR="114300" simplePos="0" relativeHeight="25193574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9210" name="Group 49921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718" name="Picture 50718"/>
                          <pic:cNvPicPr/>
                        </pic:nvPicPr>
                        <pic:blipFill>
                          <a:blip r:embed="rId62"/>
                          <a:stretch>
                            <a:fillRect/>
                          </a:stretch>
                        </pic:blipFill>
                        <pic:spPr>
                          <a:xfrm rot="-5399999">
                            <a:off x="-1720849" y="1720849"/>
                            <a:ext cx="3797300" cy="355601"/>
                          </a:xfrm>
                          <a:prstGeom prst="rect">
                            <a:avLst/>
                          </a:prstGeom>
                        </pic:spPr>
                      </pic:pic>
                      <wps:wsp>
                        <wps:cNvPr id="50719" name="Rectangle 50719"/>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w:t>
                              </w:r>
                              <w:r>
                                <w:rPr>
                                  <w:rFonts w:ascii="Arial" w:eastAsia="Arial" w:hAnsi="Arial" w:cs="Arial"/>
                                  <w:sz w:val="12"/>
                                </w:rPr>
                                <w:t xml:space="preserve"> Validación: 9792ADAG9QWZ53RMHD5RCHL7K | Verificación: https://candelaria.sedelectronica.es/ </w:t>
                              </w:r>
                            </w:p>
                          </w:txbxContent>
                        </wps:txbx>
                        <wps:bodyPr horzOverflow="overflow" vert="horz" lIns="0" tIns="0" rIns="0" bIns="0" rtlCol="0">
                          <a:noAutofit/>
                        </wps:bodyPr>
                      </wps:wsp>
                      <wps:wsp>
                        <wps:cNvPr id="50720" name="Rectangle 50720"/>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270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9210" style="width:41.2715pt;height:299pt;position:absolute;mso-position-horizontal-relative:page;mso-position-horizontal:absolute;margin-left:653.71pt;mso-position-vertical-relative:page;margin-top:512.92pt;" coordsize="5241,37973">
                <v:shape id="Picture 50718" style="position:absolute;width:37973;height:3556;left:-17208;top:17208;rotation:-89;" filled="f">
                  <v:imagedata r:id="rId63"/>
                </v:shape>
                <v:rect id="Rectangle 5071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72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270 de 353 </w:t>
                        </w:r>
                      </w:p>
                    </w:txbxContent>
                  </v:textbox>
                </v:rect>
                <w10:wrap type="square"/>
              </v:group>
            </w:pict>
          </mc:Fallback>
        </mc:AlternateContent>
      </w:r>
      <w:r>
        <w:rPr>
          <w:rFonts w:ascii="Arial" w:eastAsia="Arial" w:hAnsi="Arial" w:cs="Arial"/>
          <w:i/>
        </w:rPr>
        <w:t>Aunque los factores de escala pueden hacer que los contratistas o</w:t>
      </w:r>
      <w:r>
        <w:rPr>
          <w:rFonts w:ascii="Arial" w:eastAsia="Arial" w:hAnsi="Arial" w:cs="Arial"/>
          <w:i/>
        </w:rPr>
        <w:t xml:space="preserve">btengan precios más ventajosos, éstos siempre van a enmarcarse en los de un sector externo a él y en cuyo comportamiento no va a poder influir.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siguiente gráfico muestra su evolución: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93" w:line="216" w:lineRule="auto"/>
        <w:jc w:val="right"/>
      </w:pPr>
      <w:r>
        <w:rPr>
          <w:noProof/>
        </w:rPr>
        <w:drawing>
          <wp:inline distT="0" distB="0" distL="0" distR="0">
            <wp:extent cx="5515356" cy="1897380"/>
            <wp:effectExtent l="0" t="0" r="0" b="0"/>
            <wp:docPr id="50716" name="Picture 50716"/>
            <wp:cNvGraphicFramePr/>
            <a:graphic xmlns:a="http://schemas.openxmlformats.org/drawingml/2006/main">
              <a:graphicData uri="http://schemas.openxmlformats.org/drawingml/2006/picture">
                <pic:pic xmlns:pic="http://schemas.openxmlformats.org/drawingml/2006/picture">
                  <pic:nvPicPr>
                    <pic:cNvPr id="50716" name="Picture 50716"/>
                    <pic:cNvPicPr/>
                  </pic:nvPicPr>
                  <pic:blipFill>
                    <a:blip r:embed="rId69"/>
                    <a:stretch>
                      <a:fillRect/>
                    </a:stretch>
                  </pic:blipFill>
                  <pic:spPr>
                    <a:xfrm>
                      <a:off x="0" y="0"/>
                      <a:ext cx="5515356" cy="189738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i/>
          <w:sz w:val="14"/>
        </w:rPr>
        <w:t>Evolución IPC mantenimiento y reparación de vehículos. Fuente</w:t>
      </w:r>
      <w:r>
        <w:rPr>
          <w:rFonts w:ascii="Times New Roman" w:eastAsia="Times New Roman" w:hAnsi="Times New Roman" w:cs="Times New Roman"/>
          <w:i/>
          <w:sz w:val="14"/>
        </w:rPr>
        <w:t xml:space="preserve"> Instituto Nacional de Estadística (INE) 2021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Por tanto, estos costes son también imprescindibles y presentan una variación recurrente determinada por factores exógenos a las empresas. Se considera que debe ser trasladada la fórmula de revisión. </w:t>
      </w:r>
    </w:p>
    <w:p w:rsidR="00FF384B" w:rsidRDefault="003E3BA9">
      <w:pPr>
        <w:shd w:val="clear" w:color="auto" w:fill="E0E0E0"/>
        <w:spacing w:after="225" w:line="250" w:lineRule="auto"/>
        <w:ind w:left="10" w:right="104" w:hanging="10"/>
        <w:jc w:val="center"/>
      </w:pPr>
      <w:r>
        <w:rPr>
          <w:rFonts w:ascii="Arial" w:eastAsia="Arial" w:hAnsi="Arial" w:cs="Arial"/>
          <w:b/>
          <w:i/>
        </w:rPr>
        <w:t xml:space="preserve">IDENTIFICACIÓN Y DESCRIPCIÓN DE LOS ÍNDICES DE REVISIÓN ELEGIDOS PARA LOS COSTES INCLUIDOS EN LA FÓRMULA DE REVISIÓN. </w:t>
      </w:r>
    </w:p>
    <w:p w:rsidR="00FF384B" w:rsidRDefault="003E3BA9">
      <w:pPr>
        <w:spacing w:after="4" w:line="247" w:lineRule="auto"/>
        <w:ind w:left="10" w:right="244" w:hanging="10"/>
        <w:jc w:val="both"/>
      </w:pPr>
      <w:r>
        <w:rPr>
          <w:rFonts w:ascii="Arial" w:eastAsia="Arial" w:hAnsi="Arial" w:cs="Arial"/>
          <w:i/>
        </w:rPr>
        <w:t xml:space="preserve">El artículo 7 del El Real Decreto 55/2017 determina los principios para el establecimiento de fórmulas en las revisiones periódicas y predeterminadas, indicados anteriormente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En cumplimiento de dicho artículo, se han seleccionado índices procedentes de </w:t>
      </w:r>
      <w:r>
        <w:rPr>
          <w:rFonts w:ascii="Arial" w:eastAsia="Arial" w:hAnsi="Arial" w:cs="Arial"/>
          <w:i/>
        </w:rPr>
        <w:t>organismos especializados, en especial los del Instituto Nacional de Estadística y el Ministerio de Empleo y Seguridad Social, Subdirección General de Estadística, los cuales son de consulta pública y gratuita, y, por supuesto, no modificables por un opera</w:t>
      </w:r>
      <w:r>
        <w:rPr>
          <w:rFonts w:ascii="Arial" w:eastAsia="Arial" w:hAnsi="Arial" w:cs="Arial"/>
          <w:i/>
        </w:rPr>
        <w:t xml:space="preserve">dor económico.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Se considera una selección adecuada de dichos índices, justificada por desagregarse al máximo los costes a que se refieren, evitando así la indexación genérica a IPC, utilizándose índices específicos que son elaborados por entidades recon</w:t>
      </w:r>
      <w:r>
        <w:rPr>
          <w:rFonts w:ascii="Arial" w:eastAsia="Arial" w:hAnsi="Arial" w:cs="Arial"/>
          <w:i/>
        </w:rPr>
        <w:t xml:space="preserve">ocidas en base a la evolución real del mercado.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En base a estas consideraciones, los índices elegidos para la revisión de cada uno de los costes revisables se expresan en los siguientes puntos.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13" w:line="247" w:lineRule="auto"/>
        <w:ind w:right="239"/>
        <w:jc w:val="both"/>
      </w:pPr>
      <w:r>
        <w:rPr>
          <w:rFonts w:ascii="Arial" w:eastAsia="Arial" w:hAnsi="Arial" w:cs="Arial"/>
          <w:b/>
          <w:i/>
        </w:rPr>
        <w:t xml:space="preserve">INDICE DE REVISIÓN PARA LOS COSTES DE MANO DE OBRA.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Se propone la variación salarial media pactada, a nivel estatal, publicada por el Ministerio de Trabajo, Migraciones y Seguridad Social en apartado Estadísticas – Condiciones de trabajo y relaciones laborales – Convenios Colectivos de trabajo. </w:t>
      </w:r>
    </w:p>
    <w:p w:rsidR="00FF384B" w:rsidRDefault="003E3BA9">
      <w:pPr>
        <w:spacing w:after="0"/>
      </w:pPr>
      <w:r>
        <w:rPr>
          <w:noProof/>
        </w:rPr>
        <mc:AlternateContent>
          <mc:Choice Requires="wpg">
            <w:drawing>
              <wp:anchor distT="0" distB="0" distL="114300" distR="114300" simplePos="0" relativeHeight="251936768"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499705" name="Group 49970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841" name="Picture 50841"/>
                          <pic:cNvPicPr/>
                        </pic:nvPicPr>
                        <pic:blipFill>
                          <a:blip r:embed="rId62"/>
                          <a:stretch>
                            <a:fillRect/>
                          </a:stretch>
                        </pic:blipFill>
                        <pic:spPr>
                          <a:xfrm rot="-5399999">
                            <a:off x="-1720849" y="1720849"/>
                            <a:ext cx="3797300" cy="355601"/>
                          </a:xfrm>
                          <a:prstGeom prst="rect">
                            <a:avLst/>
                          </a:prstGeom>
                        </pic:spPr>
                      </pic:pic>
                      <wps:wsp>
                        <wps:cNvPr id="50842" name="Rectangle 5084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Cód. V</w:t>
                              </w:r>
                              <w:r>
                                <w:rPr>
                                  <w:rFonts w:ascii="Arial" w:eastAsia="Arial" w:hAnsi="Arial" w:cs="Arial"/>
                                  <w:sz w:val="12"/>
                                </w:rPr>
                                <w:t xml:space="preserve">alidación: 9792ADAG9QWZ53RMHD5RCHL7K | Verificación: https://candelaria.sedelectronica.es/ </w:t>
                              </w:r>
                            </w:p>
                          </w:txbxContent>
                        </wps:txbx>
                        <wps:bodyPr horzOverflow="overflow" vert="horz" lIns="0" tIns="0" rIns="0" bIns="0" rtlCol="0">
                          <a:noAutofit/>
                        </wps:bodyPr>
                      </wps:wsp>
                      <wps:wsp>
                        <wps:cNvPr id="50843" name="Rectangle 5084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271 de 353 </w:t>
                              </w:r>
                            </w:p>
                          </w:txbxContent>
                        </wps:txbx>
                        <wps:bodyPr horzOverflow="overflow" vert="horz" lIns="0" tIns="0" rIns="0" bIns="0" rtlCol="0">
                          <a:noAutofit/>
                        </wps:bodyPr>
                      </wps:wsp>
                    </wpg:wgp>
                  </a:graphicData>
                </a:graphic>
              </wp:anchor>
            </w:drawing>
          </mc:Choice>
          <mc:Fallback xmlns:a="http://schemas.openxmlformats.org/drawingml/2006/main">
            <w:pict>
              <v:group id="Group 499705" style="width:41.2715pt;height:299pt;position:absolute;mso-position-horizontal-relative:page;mso-position-horizontal:absolute;margin-left:653.71pt;mso-position-vertical-relative:page;margin-top:512.92pt;" coordsize="5241,37973">
                <v:shape id="Picture 50841" style="position:absolute;width:37973;height:3556;left:-17208;top:17208;rotation:-89;" filled="f">
                  <v:imagedata r:id="rId63"/>
                </v:shape>
                <v:rect id="Rectangle 5084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84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271 de 353 </w:t>
                        </w:r>
                      </w:p>
                    </w:txbxContent>
                  </v:textbox>
                </v:rect>
                <w10:wrap type="square"/>
              </v:group>
            </w:pict>
          </mc:Fallback>
        </mc:AlternateContent>
      </w: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En concreto se propone la división CNAE-2009 38. Recogida, tratam</w:t>
      </w:r>
      <w:r>
        <w:rPr>
          <w:rFonts w:ascii="Arial" w:eastAsia="Arial" w:hAnsi="Arial" w:cs="Arial"/>
          <w:i/>
        </w:rPr>
        <w:t xml:space="preserve">iento y eliminación de residuos; valorización.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origen del dato: </w:t>
      </w:r>
    </w:p>
    <w:p w:rsidR="00FF384B" w:rsidRDefault="003E3BA9">
      <w:pPr>
        <w:spacing w:after="0"/>
      </w:pPr>
      <w:r>
        <w:rPr>
          <w:rFonts w:ascii="Arial" w:eastAsia="Arial" w:hAnsi="Arial" w:cs="Arial"/>
          <w:i/>
        </w:rPr>
        <w:t xml:space="preserve"> </w:t>
      </w:r>
    </w:p>
    <w:p w:rsidR="00FF384B" w:rsidRDefault="003E3BA9">
      <w:pPr>
        <w:spacing w:after="3"/>
        <w:ind w:left="703" w:hanging="10"/>
      </w:pPr>
      <w:r>
        <w:rPr>
          <w:rFonts w:ascii="Arial" w:eastAsia="Arial" w:hAnsi="Arial" w:cs="Arial"/>
          <w:i/>
        </w:rPr>
        <w:t xml:space="preserve">URL: </w:t>
      </w:r>
      <w:r>
        <w:rPr>
          <w:rFonts w:ascii="Arial" w:eastAsia="Arial" w:hAnsi="Arial" w:cs="Arial"/>
          <w:i/>
          <w:color w:val="0000FF"/>
          <w:u w:val="single" w:color="0000FF"/>
        </w:rPr>
        <w:t>https://expinterweb.mitramiss.gob.es/series/</w:t>
      </w:r>
      <w:r>
        <w:rPr>
          <w:rFonts w:ascii="Times New Roman" w:eastAsia="Times New Roman" w:hAnsi="Times New Roman" w:cs="Times New Roman"/>
          <w:sz w:val="24"/>
        </w:rPr>
        <w:t xml:space="preserve"> </w:t>
      </w:r>
    </w:p>
    <w:p w:rsidR="00FF384B" w:rsidRDefault="003E3BA9">
      <w:pPr>
        <w:spacing w:after="0"/>
        <w:ind w:left="708"/>
      </w:pPr>
      <w:r>
        <w:rPr>
          <w:rFonts w:ascii="Arial" w:eastAsia="Arial" w:hAnsi="Arial" w:cs="Arial"/>
          <w:i/>
        </w:rPr>
        <w:t xml:space="preserve"> </w:t>
      </w:r>
    </w:p>
    <w:p w:rsidR="00FF384B" w:rsidRDefault="003E3BA9">
      <w:pPr>
        <w:numPr>
          <w:ilvl w:val="0"/>
          <w:numId w:val="309"/>
        </w:numPr>
        <w:spacing w:after="4" w:line="247" w:lineRule="auto"/>
        <w:ind w:right="244" w:hanging="360"/>
        <w:jc w:val="both"/>
      </w:pPr>
      <w:r>
        <w:rPr>
          <w:rFonts w:ascii="Arial" w:eastAsia="Arial" w:hAnsi="Arial" w:cs="Arial"/>
          <w:i/>
        </w:rPr>
        <w:t xml:space="preserve">Condiciones de trabajo y relaciones laborales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i/>
        </w:rPr>
        <w:t xml:space="preserve">Convenios Colectivos de trabajo. </w:t>
      </w:r>
    </w:p>
    <w:p w:rsidR="00FF384B" w:rsidRDefault="003E3BA9">
      <w:pPr>
        <w:numPr>
          <w:ilvl w:val="0"/>
          <w:numId w:val="309"/>
        </w:numPr>
        <w:spacing w:after="4" w:line="247" w:lineRule="auto"/>
        <w:ind w:right="244" w:hanging="360"/>
        <w:jc w:val="both"/>
      </w:pPr>
      <w:r>
        <w:rPr>
          <w:rFonts w:ascii="Arial" w:eastAsia="Arial" w:hAnsi="Arial" w:cs="Arial"/>
          <w:i/>
        </w:rPr>
        <w:t xml:space="preserve">Variable de análisis: Variación salarial media pactada </w:t>
      </w:r>
    </w:p>
    <w:p w:rsidR="00FF384B" w:rsidRDefault="003E3BA9">
      <w:pPr>
        <w:numPr>
          <w:ilvl w:val="0"/>
          <w:numId w:val="309"/>
        </w:numPr>
        <w:spacing w:after="4" w:line="247" w:lineRule="auto"/>
        <w:ind w:right="244" w:hanging="360"/>
        <w:jc w:val="both"/>
      </w:pPr>
      <w:r>
        <w:rPr>
          <w:rFonts w:ascii="Arial" w:eastAsia="Arial" w:hAnsi="Arial" w:cs="Arial"/>
          <w:i/>
        </w:rPr>
        <w:t xml:space="preserve">Variable de clasificación: Ámbito y división de actividad </w:t>
      </w:r>
    </w:p>
    <w:p w:rsidR="00FF384B" w:rsidRDefault="003E3BA9">
      <w:pPr>
        <w:numPr>
          <w:ilvl w:val="0"/>
          <w:numId w:val="309"/>
        </w:numPr>
        <w:spacing w:after="4" w:line="247" w:lineRule="auto"/>
        <w:ind w:right="244" w:hanging="360"/>
        <w:jc w:val="both"/>
      </w:pPr>
      <w:r>
        <w:rPr>
          <w:rFonts w:ascii="Arial" w:eastAsia="Arial" w:hAnsi="Arial" w:cs="Arial"/>
          <w:i/>
        </w:rPr>
        <w:t xml:space="preserve">Ámbito o áreas. Ámbito superior a la empresa </w:t>
      </w:r>
    </w:p>
    <w:p w:rsidR="00FF384B" w:rsidRDefault="003E3BA9">
      <w:pPr>
        <w:numPr>
          <w:ilvl w:val="0"/>
          <w:numId w:val="309"/>
        </w:numPr>
        <w:spacing w:after="4" w:line="247" w:lineRule="auto"/>
        <w:ind w:right="244" w:hanging="360"/>
        <w:jc w:val="both"/>
      </w:pPr>
      <w:r>
        <w:rPr>
          <w:rFonts w:ascii="Arial" w:eastAsia="Arial" w:hAnsi="Arial" w:cs="Arial"/>
          <w:i/>
        </w:rPr>
        <w:t xml:space="preserve">División CNAE 2009: 38. Recogida, tratamiento y eliminación de residuos; valorización.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IND</w:t>
      </w:r>
      <w:r>
        <w:rPr>
          <w:rFonts w:ascii="Arial" w:eastAsia="Arial" w:hAnsi="Arial" w:cs="Arial"/>
          <w:b/>
          <w:i/>
        </w:rPr>
        <w:t xml:space="preserve">ICE DE REVISIÓN PARA LOS COSTES DE CARBURANTES Y LUBRICANTES. </w:t>
      </w:r>
    </w:p>
    <w:p w:rsidR="00FF384B" w:rsidRDefault="003E3BA9">
      <w:pPr>
        <w:spacing w:after="0"/>
      </w:pPr>
      <w:r>
        <w:rPr>
          <w:rFonts w:ascii="Arial" w:eastAsia="Arial" w:hAnsi="Arial" w:cs="Arial"/>
          <w:b/>
          <w:i/>
        </w:rPr>
        <w:t xml:space="preserve"> </w:t>
      </w:r>
    </w:p>
    <w:p w:rsidR="00FF384B" w:rsidRDefault="003E3BA9">
      <w:pPr>
        <w:spacing w:after="4" w:line="247" w:lineRule="auto"/>
        <w:ind w:left="10" w:right="244" w:hanging="10"/>
        <w:jc w:val="both"/>
      </w:pPr>
      <w:r>
        <w:rPr>
          <w:rFonts w:ascii="Arial" w:eastAsia="Arial" w:hAnsi="Arial" w:cs="Arial"/>
          <w:i/>
        </w:rPr>
        <w:t xml:space="preserve">Se propone la variación anual a nivel estatal del índice nacional de la clase "Carburantes y lubricantes para vehículos personales" publicado por el Instituto Nacional de Estadística (INE).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origen del dato: </w:t>
      </w:r>
    </w:p>
    <w:p w:rsidR="00FF384B" w:rsidRDefault="003E3BA9">
      <w:pPr>
        <w:spacing w:after="0"/>
      </w:pPr>
      <w:r>
        <w:rPr>
          <w:rFonts w:ascii="Arial" w:eastAsia="Arial" w:hAnsi="Arial" w:cs="Arial"/>
          <w:i/>
        </w:rPr>
        <w:t xml:space="preserve"> </w:t>
      </w:r>
    </w:p>
    <w:p w:rsidR="00FF384B" w:rsidRDefault="003E3BA9">
      <w:pPr>
        <w:spacing w:after="3"/>
        <w:ind w:left="703" w:hanging="10"/>
      </w:pPr>
      <w:r>
        <w:rPr>
          <w:rFonts w:ascii="Arial" w:eastAsia="Arial" w:hAnsi="Arial" w:cs="Arial"/>
          <w:i/>
        </w:rPr>
        <w:t xml:space="preserve">URL: </w:t>
      </w:r>
      <w:r>
        <w:rPr>
          <w:rFonts w:ascii="Arial" w:eastAsia="Arial" w:hAnsi="Arial" w:cs="Arial"/>
          <w:i/>
          <w:color w:val="0000FF"/>
          <w:u w:val="single" w:color="0000FF"/>
        </w:rPr>
        <w:t>https://www.ine.es/jaxiT3/Tabla.htm?t=23714</w:t>
      </w:r>
      <w:r>
        <w:rPr>
          <w:rFonts w:ascii="Times New Roman" w:eastAsia="Times New Roman" w:hAnsi="Times New Roman" w:cs="Times New Roman"/>
          <w:sz w:val="24"/>
        </w:rPr>
        <w:t xml:space="preserve"> </w:t>
      </w:r>
    </w:p>
    <w:p w:rsidR="00FF384B" w:rsidRDefault="003E3BA9">
      <w:pPr>
        <w:numPr>
          <w:ilvl w:val="0"/>
          <w:numId w:val="309"/>
        </w:numPr>
        <w:spacing w:after="4" w:line="247" w:lineRule="auto"/>
        <w:ind w:right="244" w:hanging="360"/>
        <w:jc w:val="both"/>
      </w:pPr>
      <w:r>
        <w:rPr>
          <w:rFonts w:ascii="Arial" w:eastAsia="Arial" w:hAnsi="Arial" w:cs="Arial"/>
          <w:i/>
        </w:rPr>
        <w:t xml:space="preserve">Clase 0722. Carburantes y lubricantes para vehículos personales. </w:t>
      </w:r>
    </w:p>
    <w:p w:rsidR="00FF384B" w:rsidRDefault="003E3BA9">
      <w:pPr>
        <w:numPr>
          <w:ilvl w:val="0"/>
          <w:numId w:val="309"/>
        </w:numPr>
        <w:spacing w:after="4" w:line="247" w:lineRule="auto"/>
        <w:ind w:right="244" w:hanging="360"/>
        <w:jc w:val="both"/>
      </w:pPr>
      <w:r>
        <w:rPr>
          <w:rFonts w:ascii="Arial" w:eastAsia="Arial" w:hAnsi="Arial" w:cs="Arial"/>
          <w:i/>
        </w:rPr>
        <w:t xml:space="preserve">Tipo de dato: Variación anual.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INDICE DE REVISIÓN PARA LOS COSTES DE SERVICIOS DE MANTENIEMIENTO Y REPARACIÓN.</w:t>
      </w:r>
      <w:r>
        <w:rPr>
          <w:rFonts w:ascii="Arial" w:eastAsia="Arial" w:hAnsi="Arial" w:cs="Arial"/>
          <w:b/>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Se propone como índice la variación anual a nivel estatal del índice nacional de la clase "Mantenimiento y reparación de vehículos personales", publicado por el Instituto Nacional de Estadística (INE).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origen del dato: </w:t>
      </w:r>
    </w:p>
    <w:p w:rsidR="00FF384B" w:rsidRDefault="003E3BA9">
      <w:pPr>
        <w:spacing w:after="0"/>
      </w:pPr>
      <w:r>
        <w:rPr>
          <w:rFonts w:ascii="Arial" w:eastAsia="Arial" w:hAnsi="Arial" w:cs="Arial"/>
          <w:i/>
        </w:rPr>
        <w:t xml:space="preserve"> </w:t>
      </w:r>
    </w:p>
    <w:p w:rsidR="00FF384B" w:rsidRDefault="003E3BA9">
      <w:pPr>
        <w:spacing w:after="3"/>
        <w:ind w:left="703" w:hanging="10"/>
      </w:pPr>
      <w:r>
        <w:rPr>
          <w:rFonts w:ascii="Arial" w:eastAsia="Arial" w:hAnsi="Arial" w:cs="Arial"/>
          <w:i/>
        </w:rPr>
        <w:t xml:space="preserve">URL: </w:t>
      </w:r>
      <w:r>
        <w:rPr>
          <w:rFonts w:ascii="Arial" w:eastAsia="Arial" w:hAnsi="Arial" w:cs="Arial"/>
          <w:i/>
          <w:color w:val="0000FF"/>
          <w:u w:val="single" w:color="0000FF"/>
        </w:rPr>
        <w:t>https://www.ine.es/</w:t>
      </w:r>
      <w:r>
        <w:rPr>
          <w:rFonts w:ascii="Arial" w:eastAsia="Arial" w:hAnsi="Arial" w:cs="Arial"/>
          <w:i/>
          <w:color w:val="0000FF"/>
          <w:u w:val="single" w:color="0000FF"/>
        </w:rPr>
        <w:t>jaxiT3/Tabla.htm?t=23714</w:t>
      </w:r>
      <w:r>
        <w:rPr>
          <w:rFonts w:ascii="Times New Roman" w:eastAsia="Times New Roman" w:hAnsi="Times New Roman" w:cs="Times New Roman"/>
          <w:sz w:val="24"/>
        </w:rPr>
        <w:t xml:space="preserve"> </w:t>
      </w:r>
    </w:p>
    <w:p w:rsidR="00FF384B" w:rsidRDefault="003E3BA9">
      <w:pPr>
        <w:spacing w:after="0"/>
        <w:ind w:left="708"/>
      </w:pPr>
      <w:r>
        <w:rPr>
          <w:rFonts w:ascii="Times New Roman" w:eastAsia="Times New Roman" w:hAnsi="Times New Roman" w:cs="Times New Roman"/>
          <w:i/>
          <w:sz w:val="24"/>
        </w:rPr>
        <w:t xml:space="preserve"> </w:t>
      </w:r>
    </w:p>
    <w:p w:rsidR="00FF384B" w:rsidRDefault="003E3BA9">
      <w:pPr>
        <w:numPr>
          <w:ilvl w:val="0"/>
          <w:numId w:val="309"/>
        </w:numPr>
        <w:spacing w:after="4" w:line="247" w:lineRule="auto"/>
        <w:ind w:right="244" w:hanging="360"/>
        <w:jc w:val="both"/>
      </w:pPr>
      <w:r>
        <w:rPr>
          <w:rFonts w:ascii="Arial" w:eastAsia="Arial" w:hAnsi="Arial" w:cs="Arial"/>
          <w:i/>
        </w:rPr>
        <w:t xml:space="preserve">Clase 0723. Mantenimiento y reparación para vehículos personales.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i/>
        </w:rPr>
        <w:t xml:space="preserve">Tipo de dato: Variación anual.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hd w:val="clear" w:color="auto" w:fill="E0E0E0"/>
        <w:spacing w:after="225" w:line="250" w:lineRule="auto"/>
        <w:ind w:left="10" w:right="257" w:hanging="10"/>
        <w:jc w:val="center"/>
      </w:pPr>
      <w:r>
        <w:rPr>
          <w:rFonts w:ascii="Arial" w:eastAsia="Arial" w:hAnsi="Arial" w:cs="Arial"/>
          <w:b/>
          <w:i/>
        </w:rPr>
        <w:t xml:space="preserve">PROPUESTA DE FÓRMULA DE REVISIÓN DE PRECIOS. </w:t>
      </w:r>
    </w:p>
    <w:p w:rsidR="00FF384B" w:rsidRDefault="003E3BA9">
      <w:pPr>
        <w:spacing w:after="4" w:line="247" w:lineRule="auto"/>
        <w:ind w:left="10" w:right="244" w:hanging="10"/>
        <w:jc w:val="both"/>
      </w:pPr>
      <w:r>
        <w:rPr>
          <w:rFonts w:ascii="Arial" w:eastAsia="Arial" w:hAnsi="Arial" w:cs="Arial"/>
          <w:i/>
        </w:rPr>
        <w:t xml:space="preserve">La fórmula de revisión de precios, que a continuación se propone será aplicable exclusivamente bajo los requisitos establecidos en el artículo 8 del Real Decreto 55/2017: </w:t>
      </w:r>
    </w:p>
    <w:p w:rsidR="00FF384B" w:rsidRDefault="003E3BA9">
      <w:pPr>
        <w:spacing w:after="0"/>
      </w:pPr>
      <w:r>
        <w:rPr>
          <w:rFonts w:ascii="Arial" w:eastAsia="Arial" w:hAnsi="Arial" w:cs="Arial"/>
          <w:i/>
        </w:rPr>
        <w:t xml:space="preserve"> </w:t>
      </w:r>
    </w:p>
    <w:p w:rsidR="00FF384B" w:rsidRDefault="003E3BA9">
      <w:pPr>
        <w:numPr>
          <w:ilvl w:val="0"/>
          <w:numId w:val="310"/>
        </w:numPr>
        <w:spacing w:after="4" w:line="247" w:lineRule="auto"/>
        <w:ind w:right="244" w:hanging="360"/>
        <w:jc w:val="both"/>
      </w:pPr>
      <w:r>
        <w:rPr>
          <w:rFonts w:ascii="Arial" w:eastAsia="Arial" w:hAnsi="Arial" w:cs="Arial"/>
          <w:i/>
        </w:rPr>
        <w:t xml:space="preserve">Deben haber transcurrido dos años desde la formalización del contrato. </w:t>
      </w:r>
    </w:p>
    <w:p w:rsidR="00FF384B" w:rsidRDefault="003E3BA9">
      <w:pPr>
        <w:numPr>
          <w:ilvl w:val="0"/>
          <w:numId w:val="310"/>
        </w:numPr>
        <w:spacing w:after="4" w:line="247" w:lineRule="auto"/>
        <w:ind w:right="244" w:hanging="360"/>
        <w:jc w:val="both"/>
      </w:pPr>
      <w:r>
        <w:rPr>
          <w:noProof/>
        </w:rPr>
        <mc:AlternateContent>
          <mc:Choice Requires="wpg">
            <w:drawing>
              <wp:anchor distT="0" distB="0" distL="114300" distR="114300" simplePos="0" relativeHeight="251937792"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0816" name="Group 52081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0979" name="Picture 50979"/>
                          <pic:cNvPicPr/>
                        </pic:nvPicPr>
                        <pic:blipFill>
                          <a:blip r:embed="rId62"/>
                          <a:stretch>
                            <a:fillRect/>
                          </a:stretch>
                        </pic:blipFill>
                        <pic:spPr>
                          <a:xfrm rot="-5399999">
                            <a:off x="-1720849" y="1720849"/>
                            <a:ext cx="3797300" cy="355601"/>
                          </a:xfrm>
                          <a:prstGeom prst="rect">
                            <a:avLst/>
                          </a:prstGeom>
                        </pic:spPr>
                      </pic:pic>
                      <wps:wsp>
                        <wps:cNvPr id="50980" name="Rectangle 50980"/>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0981" name="Rectangle 50981"/>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0816" style="width:41.2715pt;height:299pt;position:absolute;mso-position-horizontal-relative:page;mso-position-horizontal:absolute;margin-left:653.71pt;mso-position-vertical-relative:page;margin-top:512.92pt;" coordsize="5241,37973">
                <v:shape id="Picture 50979" style="position:absolute;width:37973;height:3556;left:-17208;top:17208;rotation:-89;" filled="f">
                  <v:imagedata r:id="rId63"/>
                </v:shape>
                <v:rect id="Rectangle 5098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098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272 de 353 </w:t>
                        </w:r>
                      </w:p>
                    </w:txbxContent>
                  </v:textbox>
                </v:rect>
                <w10:wrap type="square"/>
              </v:group>
            </w:pict>
          </mc:Fallback>
        </mc:AlternateContent>
      </w:r>
      <w:r>
        <w:rPr>
          <w:rFonts w:ascii="Arial" w:eastAsia="Arial" w:hAnsi="Arial" w:cs="Arial"/>
          <w:i/>
        </w:rPr>
        <w:t xml:space="preserve">Debe haberse ejecutado al menos el 20% de su importe. </w:t>
      </w:r>
    </w:p>
    <w:p w:rsidR="00FF384B" w:rsidRDefault="003E3BA9">
      <w:pPr>
        <w:numPr>
          <w:ilvl w:val="0"/>
          <w:numId w:val="310"/>
        </w:numPr>
        <w:spacing w:after="4" w:line="247" w:lineRule="auto"/>
        <w:ind w:right="244" w:hanging="360"/>
        <w:jc w:val="both"/>
      </w:pPr>
      <w:r>
        <w:rPr>
          <w:rFonts w:ascii="Arial" w:eastAsia="Arial" w:hAnsi="Arial" w:cs="Arial"/>
          <w:i/>
        </w:rPr>
        <w:t>La rev</w:t>
      </w:r>
      <w:r>
        <w:rPr>
          <w:rFonts w:ascii="Arial" w:eastAsia="Arial" w:hAnsi="Arial" w:cs="Arial"/>
          <w:i/>
        </w:rPr>
        <w:t xml:space="preserve">isión no podrá tener lugar transcurrido el período de recuperación de la inversión del contrato.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La fórmula que se propone incorpora exclusivamente los componentes identificados y justificados anteriormente, que son: </w:t>
      </w:r>
    </w:p>
    <w:p w:rsidR="00FF384B" w:rsidRDefault="003E3BA9">
      <w:pPr>
        <w:spacing w:after="0"/>
      </w:pPr>
      <w:r>
        <w:rPr>
          <w:rFonts w:ascii="Times New Roman" w:eastAsia="Times New Roman" w:hAnsi="Times New Roman" w:cs="Times New Roman"/>
          <w:i/>
          <w:sz w:val="24"/>
        </w:rPr>
        <w:t xml:space="preserve"> </w:t>
      </w:r>
    </w:p>
    <w:tbl>
      <w:tblPr>
        <w:tblStyle w:val="TableGrid"/>
        <w:tblW w:w="6481" w:type="dxa"/>
        <w:tblInd w:w="1005" w:type="dxa"/>
        <w:tblCellMar>
          <w:top w:w="27" w:type="dxa"/>
          <w:left w:w="36" w:type="dxa"/>
          <w:bottom w:w="0" w:type="dxa"/>
          <w:right w:w="77" w:type="dxa"/>
        </w:tblCellMar>
        <w:tblLook w:val="04A0" w:firstRow="1" w:lastRow="0" w:firstColumn="1" w:lastColumn="0" w:noHBand="0" w:noVBand="1"/>
      </w:tblPr>
      <w:tblGrid>
        <w:gridCol w:w="599"/>
        <w:gridCol w:w="5882"/>
      </w:tblGrid>
      <w:tr w:rsidR="00FF384B">
        <w:trPr>
          <w:trHeight w:val="309"/>
        </w:trPr>
        <w:tc>
          <w:tcPr>
            <w:tcW w:w="6481" w:type="dxa"/>
            <w:gridSpan w:val="2"/>
            <w:tcBorders>
              <w:top w:val="single" w:sz="6" w:space="0" w:color="000000"/>
              <w:left w:val="single" w:sz="6" w:space="0" w:color="000000"/>
              <w:bottom w:val="single" w:sz="12" w:space="0" w:color="000000"/>
              <w:right w:val="single" w:sz="12" w:space="0" w:color="000000"/>
            </w:tcBorders>
            <w:shd w:val="clear" w:color="auto" w:fill="990033"/>
          </w:tcPr>
          <w:p w:rsidR="00FF384B" w:rsidRDefault="003E3BA9">
            <w:pPr>
              <w:spacing w:after="0"/>
              <w:ind w:left="28"/>
              <w:jc w:val="center"/>
            </w:pPr>
            <w:r>
              <w:rPr>
                <w:rFonts w:ascii="Arial" w:eastAsia="Arial" w:hAnsi="Arial" w:cs="Arial"/>
                <w:b/>
                <w:color w:val="FFFFFF"/>
              </w:rPr>
              <w:t>COMPONENTE</w:t>
            </w:r>
          </w:p>
        </w:tc>
      </w:tr>
      <w:tr w:rsidR="00FF384B">
        <w:trPr>
          <w:trHeight w:val="290"/>
        </w:trPr>
        <w:tc>
          <w:tcPr>
            <w:tcW w:w="599" w:type="dxa"/>
            <w:tcBorders>
              <w:top w:val="single" w:sz="12" w:space="0" w:color="000000"/>
              <w:left w:val="single" w:sz="6" w:space="0" w:color="000000"/>
              <w:bottom w:val="single" w:sz="6" w:space="0" w:color="000000"/>
              <w:right w:val="single" w:sz="6" w:space="0" w:color="000000"/>
            </w:tcBorders>
            <w:shd w:val="clear" w:color="auto" w:fill="BFBFBF"/>
          </w:tcPr>
          <w:p w:rsidR="00FF384B" w:rsidRDefault="003E3BA9">
            <w:pPr>
              <w:spacing w:after="0"/>
            </w:pPr>
            <w:r>
              <w:rPr>
                <w:rFonts w:ascii="Arial" w:eastAsia="Arial" w:hAnsi="Arial" w:cs="Arial"/>
              </w:rPr>
              <w:t>1</w:t>
            </w:r>
          </w:p>
        </w:tc>
        <w:tc>
          <w:tcPr>
            <w:tcW w:w="5882" w:type="dxa"/>
            <w:tcBorders>
              <w:top w:val="single" w:sz="12"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Gastos de personal</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Gastos de bienes corrientes y servicios</w:t>
            </w:r>
          </w:p>
        </w:tc>
      </w:tr>
      <w:tr w:rsidR="00FF384B">
        <w:trPr>
          <w:trHeight w:val="282"/>
        </w:trPr>
        <w:tc>
          <w:tcPr>
            <w:tcW w:w="599" w:type="dxa"/>
            <w:tcBorders>
              <w:top w:val="single" w:sz="6" w:space="0" w:color="000000"/>
              <w:left w:val="single" w:sz="6" w:space="0" w:color="000000"/>
              <w:bottom w:val="single" w:sz="6" w:space="0" w:color="000000"/>
              <w:right w:val="single" w:sz="6" w:space="0" w:color="000000"/>
            </w:tcBorders>
          </w:tcPr>
          <w:p w:rsidR="00FF384B" w:rsidRDefault="003E3BA9">
            <w:pPr>
              <w:spacing w:after="0"/>
            </w:pPr>
            <w:r>
              <w:rPr>
                <w:rFonts w:ascii="Arial" w:eastAsia="Arial" w:hAnsi="Arial" w:cs="Arial"/>
              </w:rPr>
              <w:t>2.1</w:t>
            </w:r>
          </w:p>
        </w:tc>
        <w:tc>
          <w:tcPr>
            <w:tcW w:w="5882" w:type="dxa"/>
            <w:tcBorders>
              <w:top w:val="single" w:sz="6" w:space="0" w:color="000000"/>
              <w:left w:val="single" w:sz="6" w:space="0" w:color="000000"/>
              <w:bottom w:val="single" w:sz="6" w:space="0" w:color="000000"/>
              <w:right w:val="single" w:sz="12" w:space="0" w:color="000000"/>
            </w:tcBorders>
          </w:tcPr>
          <w:p w:rsidR="00FF384B" w:rsidRDefault="003E3BA9">
            <w:pPr>
              <w:spacing w:after="0"/>
              <w:ind w:left="2"/>
            </w:pPr>
            <w:r>
              <w:rPr>
                <w:rFonts w:ascii="Arial" w:eastAsia="Arial" w:hAnsi="Arial" w:cs="Arial"/>
              </w:rPr>
              <w:t>Costes variables maquinaria y equipos</w:t>
            </w:r>
          </w:p>
        </w:tc>
      </w:tr>
      <w:tr w:rsidR="00FF384B">
        <w:trPr>
          <w:trHeight w:val="286"/>
        </w:trPr>
        <w:tc>
          <w:tcPr>
            <w:tcW w:w="599" w:type="dxa"/>
            <w:tcBorders>
              <w:top w:val="single" w:sz="6" w:space="0" w:color="000000"/>
              <w:left w:val="single" w:sz="6" w:space="0" w:color="000000"/>
              <w:bottom w:val="single" w:sz="6" w:space="0" w:color="000000"/>
              <w:right w:val="single" w:sz="6" w:space="0" w:color="000000"/>
            </w:tcBorders>
            <w:shd w:val="clear" w:color="auto" w:fill="BFBFBF"/>
          </w:tcPr>
          <w:p w:rsidR="00FF384B" w:rsidRDefault="003E3BA9">
            <w:pPr>
              <w:spacing w:after="0"/>
              <w:jc w:val="both"/>
            </w:pPr>
            <w:r>
              <w:rPr>
                <w:rFonts w:ascii="Arial" w:eastAsia="Arial" w:hAnsi="Arial" w:cs="Arial"/>
              </w:rPr>
              <w:t>2.1.1</w:t>
            </w:r>
          </w:p>
        </w:tc>
        <w:tc>
          <w:tcPr>
            <w:tcW w:w="5882" w:type="dxa"/>
            <w:tcBorders>
              <w:top w:val="single" w:sz="6" w:space="0" w:color="000000"/>
              <w:left w:val="single" w:sz="6" w:space="0" w:color="000000"/>
              <w:bottom w:val="single" w:sz="6" w:space="0" w:color="000000"/>
              <w:right w:val="single" w:sz="12" w:space="0" w:color="000000"/>
            </w:tcBorders>
            <w:shd w:val="clear" w:color="auto" w:fill="BFBFBF"/>
          </w:tcPr>
          <w:p w:rsidR="00FF384B" w:rsidRDefault="003E3BA9">
            <w:pPr>
              <w:spacing w:after="0"/>
              <w:ind w:left="2"/>
            </w:pPr>
            <w:r>
              <w:rPr>
                <w:rFonts w:ascii="Arial" w:eastAsia="Arial" w:hAnsi="Arial" w:cs="Arial"/>
              </w:rPr>
              <w:t>Carburantes y lubricantes</w:t>
            </w:r>
          </w:p>
        </w:tc>
      </w:tr>
      <w:tr w:rsidR="00FF384B">
        <w:trPr>
          <w:trHeight w:val="295"/>
        </w:trPr>
        <w:tc>
          <w:tcPr>
            <w:tcW w:w="599" w:type="dxa"/>
            <w:tcBorders>
              <w:top w:val="single" w:sz="6" w:space="0" w:color="000000"/>
              <w:left w:val="single" w:sz="6" w:space="0" w:color="000000"/>
              <w:bottom w:val="single" w:sz="12" w:space="0" w:color="000000"/>
              <w:right w:val="single" w:sz="6" w:space="0" w:color="000000"/>
            </w:tcBorders>
            <w:shd w:val="clear" w:color="auto" w:fill="BFBFBF"/>
          </w:tcPr>
          <w:p w:rsidR="00FF384B" w:rsidRDefault="003E3BA9">
            <w:pPr>
              <w:spacing w:after="0"/>
              <w:jc w:val="both"/>
            </w:pPr>
            <w:r>
              <w:rPr>
                <w:rFonts w:ascii="Arial" w:eastAsia="Arial" w:hAnsi="Arial" w:cs="Arial"/>
              </w:rPr>
              <w:t>2.1.2</w:t>
            </w:r>
          </w:p>
        </w:tc>
        <w:tc>
          <w:tcPr>
            <w:tcW w:w="5882" w:type="dxa"/>
            <w:tcBorders>
              <w:top w:val="single" w:sz="6" w:space="0" w:color="000000"/>
              <w:left w:val="single" w:sz="6" w:space="0" w:color="000000"/>
              <w:bottom w:val="single" w:sz="12" w:space="0" w:color="000000"/>
              <w:right w:val="single" w:sz="12" w:space="0" w:color="000000"/>
            </w:tcBorders>
            <w:shd w:val="clear" w:color="auto" w:fill="BFBFBF"/>
          </w:tcPr>
          <w:p w:rsidR="00FF384B" w:rsidRDefault="003E3BA9">
            <w:pPr>
              <w:spacing w:after="0"/>
              <w:ind w:left="2"/>
            </w:pPr>
            <w:r>
              <w:rPr>
                <w:rFonts w:ascii="Arial" w:eastAsia="Arial" w:hAnsi="Arial" w:cs="Arial"/>
              </w:rPr>
              <w:t>Mantenimiento y reparaciones de maquinaria y equipos</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Para cada uno de estos componentes se representa con el subíndice t los valores de los índices de precios en la fecha de aplicación de la revisión del precio del contrato, y con el subíndice 0 los valores de dichos índices en la fecha de origen a considera</w:t>
      </w:r>
      <w:r>
        <w:rPr>
          <w:rFonts w:ascii="Arial" w:eastAsia="Arial" w:hAnsi="Arial" w:cs="Arial"/>
          <w:i/>
        </w:rPr>
        <w:t xml:space="preserve">r para la revisión de precios del contrato.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Así, el valor del K</w:t>
      </w:r>
      <w:r>
        <w:rPr>
          <w:rFonts w:ascii="Arial" w:eastAsia="Arial" w:hAnsi="Arial" w:cs="Arial"/>
          <w:i/>
          <w:vertAlign w:val="subscript"/>
        </w:rPr>
        <w:t>t</w:t>
      </w:r>
      <w:r>
        <w:rPr>
          <w:rFonts w:ascii="Arial" w:eastAsia="Arial" w:hAnsi="Arial" w:cs="Arial"/>
          <w:i/>
        </w:rPr>
        <w:t xml:space="preserve"> es el coeficiente de revisión resultante de la aplicación de la fórmula entre el momento de revisión y el momento considerado origen a efectos de revisión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Por tanto, la fórmula de revisión de precios toma la siguiente forma:</w:t>
      </w:r>
      <w:r>
        <w:rPr>
          <w:rFonts w:ascii="Times New Roman" w:eastAsia="Times New Roman" w:hAnsi="Times New Roman" w:cs="Times New Roman"/>
          <w:sz w:val="24"/>
        </w:rPr>
        <w:t xml:space="preserve"> </w:t>
      </w:r>
    </w:p>
    <w:p w:rsidR="00FF384B" w:rsidRDefault="003E3BA9">
      <w:pPr>
        <w:spacing w:after="0"/>
        <w:ind w:left="-29"/>
      </w:pPr>
      <w:r>
        <w:rPr>
          <w:noProof/>
        </w:rPr>
        <mc:AlternateContent>
          <mc:Choice Requires="wpg">
            <w:drawing>
              <wp:inline distT="0" distB="0" distL="0" distR="0">
                <wp:extent cx="5436997" cy="394371"/>
                <wp:effectExtent l="0" t="0" r="0" b="0"/>
                <wp:docPr id="500779" name="Group 500779"/>
                <wp:cNvGraphicFramePr/>
                <a:graphic xmlns:a="http://schemas.openxmlformats.org/drawingml/2006/main">
                  <a:graphicData uri="http://schemas.microsoft.com/office/word/2010/wordprocessingGroup">
                    <wpg:wgp>
                      <wpg:cNvGrpSpPr/>
                      <wpg:grpSpPr>
                        <a:xfrm>
                          <a:off x="0" y="0"/>
                          <a:ext cx="5436997" cy="394371"/>
                          <a:chOff x="0" y="0"/>
                          <a:chExt cx="5436997" cy="394371"/>
                        </a:xfrm>
                      </wpg:grpSpPr>
                      <wps:wsp>
                        <wps:cNvPr id="567226" name="Shape 567226"/>
                        <wps:cNvSpPr/>
                        <wps:spPr>
                          <a:xfrm>
                            <a:off x="0" y="0"/>
                            <a:ext cx="5436997" cy="374904"/>
                          </a:xfrm>
                          <a:custGeom>
                            <a:avLst/>
                            <a:gdLst/>
                            <a:ahLst/>
                            <a:cxnLst/>
                            <a:rect l="0" t="0" r="0" b="0"/>
                            <a:pathLst>
                              <a:path w="5436997" h="374904">
                                <a:moveTo>
                                  <a:pt x="0" y="0"/>
                                </a:moveTo>
                                <a:lnTo>
                                  <a:pt x="5436997" y="0"/>
                                </a:lnTo>
                                <a:lnTo>
                                  <a:pt x="5436997" y="374904"/>
                                </a:lnTo>
                                <a:lnTo>
                                  <a:pt x="0" y="3749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0994" name="Rectangle 50994"/>
                        <wps:cNvSpPr/>
                        <wps:spPr>
                          <a:xfrm>
                            <a:off x="1366977" y="119202"/>
                            <a:ext cx="155465" cy="202692"/>
                          </a:xfrm>
                          <a:prstGeom prst="rect">
                            <a:avLst/>
                          </a:prstGeom>
                          <a:ln>
                            <a:noFill/>
                          </a:ln>
                        </wps:spPr>
                        <wps:txbx>
                          <w:txbxContent>
                            <w:p w:rsidR="00FF384B" w:rsidRDefault="003E3BA9">
                              <w:r>
                                <w:rPr>
                                  <w:rFonts w:ascii="Cambria Math" w:eastAsia="Cambria Math" w:hAnsi="Cambria Math" w:cs="Cambria Math"/>
                                  <w:sz w:val="24"/>
                                </w:rPr>
                                <w:t>𝑲</w:t>
                              </w:r>
                            </w:p>
                          </w:txbxContent>
                        </wps:txbx>
                        <wps:bodyPr horzOverflow="overflow" vert="horz" lIns="0" tIns="0" rIns="0" bIns="0" rtlCol="0">
                          <a:noAutofit/>
                        </wps:bodyPr>
                      </wps:wsp>
                      <wps:wsp>
                        <wps:cNvPr id="50995" name="Rectangle 50995"/>
                        <wps:cNvSpPr/>
                        <wps:spPr>
                          <a:xfrm>
                            <a:off x="1484706" y="184059"/>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0996" name="Rectangle 50996"/>
                        <wps:cNvSpPr/>
                        <wps:spPr>
                          <a:xfrm>
                            <a:off x="1579194" y="119202"/>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0997" name="Rectangle 50997"/>
                        <wps:cNvSpPr/>
                        <wps:spPr>
                          <a:xfrm>
                            <a:off x="1734642" y="119202"/>
                            <a:ext cx="134182" cy="202692"/>
                          </a:xfrm>
                          <a:prstGeom prst="rect">
                            <a:avLst/>
                          </a:prstGeom>
                          <a:ln>
                            <a:noFill/>
                          </a:ln>
                        </wps:spPr>
                        <wps:txbx>
                          <w:txbxContent>
                            <w:p w:rsidR="00FF384B" w:rsidRDefault="003E3BA9">
                              <w:r>
                                <w:rPr>
                                  <w:rFonts w:ascii="Cambria Math" w:eastAsia="Cambria Math" w:hAnsi="Cambria Math" w:cs="Cambria Math"/>
                                  <w:sz w:val="24"/>
                                </w:rPr>
                                <w:t>𝑨</w:t>
                              </w:r>
                            </w:p>
                          </w:txbxContent>
                        </wps:txbx>
                        <wps:bodyPr horzOverflow="overflow" vert="horz" lIns="0" tIns="0" rIns="0" bIns="0" rtlCol="0">
                          <a:noAutofit/>
                        </wps:bodyPr>
                      </wps:wsp>
                      <wps:wsp>
                        <wps:cNvPr id="50998" name="Rectangle 50998"/>
                        <wps:cNvSpPr/>
                        <wps:spPr>
                          <a:xfrm>
                            <a:off x="1870278" y="119202"/>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0999" name="Rectangle 50999"/>
                        <wps:cNvSpPr/>
                        <wps:spPr>
                          <a:xfrm>
                            <a:off x="1976958"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00" name="Rectangle 51000"/>
                        <wps:cNvSpPr/>
                        <wps:spPr>
                          <a:xfrm>
                            <a:off x="2060778" y="3378"/>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51001" name="Rectangle 51001"/>
                        <wps:cNvSpPr/>
                        <wps:spPr>
                          <a:xfrm>
                            <a:off x="2181174"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1002" name="Rectangle 51002"/>
                        <wps:cNvSpPr/>
                        <wps:spPr>
                          <a:xfrm>
                            <a:off x="2053158" y="221311"/>
                            <a:ext cx="159721" cy="202692"/>
                          </a:xfrm>
                          <a:prstGeom prst="rect">
                            <a:avLst/>
                          </a:prstGeom>
                          <a:ln>
                            <a:noFill/>
                          </a:ln>
                        </wps:spPr>
                        <wps:txbx>
                          <w:txbxContent>
                            <w:p w:rsidR="00FF384B" w:rsidRDefault="003E3BA9">
                              <w:r>
                                <w:rPr>
                                  <w:rFonts w:ascii="Cambria Math" w:eastAsia="Cambria Math" w:hAnsi="Cambria Math" w:cs="Cambria Math"/>
                                  <w:sz w:val="24"/>
                                </w:rPr>
                                <w:t>𝑯</w:t>
                              </w:r>
                            </w:p>
                          </w:txbxContent>
                        </wps:txbx>
                        <wps:bodyPr horzOverflow="overflow" vert="horz" lIns="0" tIns="0" rIns="0" bIns="0" rtlCol="0">
                          <a:noAutofit/>
                        </wps:bodyPr>
                      </wps:wsp>
                      <wps:wsp>
                        <wps:cNvPr id="51003" name="Rectangle 51003"/>
                        <wps:cNvSpPr/>
                        <wps:spPr>
                          <a:xfrm>
                            <a:off x="2173554" y="286167"/>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227" name="Shape 567227"/>
                        <wps:cNvSpPr/>
                        <wps:spPr>
                          <a:xfrm>
                            <a:off x="2053158" y="188975"/>
                            <a:ext cx="188976" cy="10668"/>
                          </a:xfrm>
                          <a:custGeom>
                            <a:avLst/>
                            <a:gdLst/>
                            <a:ahLst/>
                            <a:cxnLst/>
                            <a:rect l="0" t="0" r="0" b="0"/>
                            <a:pathLst>
                              <a:path w="188976" h="10668">
                                <a:moveTo>
                                  <a:pt x="0" y="0"/>
                                </a:moveTo>
                                <a:lnTo>
                                  <a:pt x="188976" y="0"/>
                                </a:lnTo>
                                <a:lnTo>
                                  <a:pt x="1889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05" name="Rectangle 51005"/>
                        <wps:cNvSpPr/>
                        <wps:spPr>
                          <a:xfrm>
                            <a:off x="2242134"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06" name="Rectangle 51006"/>
                        <wps:cNvSpPr/>
                        <wps:spPr>
                          <a:xfrm>
                            <a:off x="2350338" y="119202"/>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07" name="Rectangle 51007"/>
                        <wps:cNvSpPr/>
                        <wps:spPr>
                          <a:xfrm>
                            <a:off x="2498166" y="119202"/>
                            <a:ext cx="146546" cy="202692"/>
                          </a:xfrm>
                          <a:prstGeom prst="rect">
                            <a:avLst/>
                          </a:prstGeom>
                          <a:ln>
                            <a:noFill/>
                          </a:ln>
                        </wps:spPr>
                        <wps:txbx>
                          <w:txbxContent>
                            <w:p w:rsidR="00FF384B" w:rsidRDefault="003E3BA9">
                              <w:r>
                                <w:rPr>
                                  <w:rFonts w:ascii="Cambria Math" w:eastAsia="Cambria Math" w:hAnsi="Cambria Math" w:cs="Cambria Math"/>
                                  <w:sz w:val="24"/>
                                </w:rPr>
                                <w:t>𝑩</w:t>
                              </w:r>
                            </w:p>
                          </w:txbxContent>
                        </wps:txbx>
                        <wps:bodyPr horzOverflow="overflow" vert="horz" lIns="0" tIns="0" rIns="0" bIns="0" rtlCol="0">
                          <a:noAutofit/>
                        </wps:bodyPr>
                      </wps:wsp>
                      <wps:wsp>
                        <wps:cNvPr id="51008" name="Rectangle 51008"/>
                        <wps:cNvSpPr/>
                        <wps:spPr>
                          <a:xfrm>
                            <a:off x="2642946" y="119202"/>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09" name="Rectangle 51009"/>
                        <wps:cNvSpPr/>
                        <wps:spPr>
                          <a:xfrm>
                            <a:off x="2749626"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10" name="Rectangle 51010"/>
                        <wps:cNvSpPr/>
                        <wps:spPr>
                          <a:xfrm>
                            <a:off x="2833446" y="3378"/>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51011" name="Rectangle 51011"/>
                        <wps:cNvSpPr/>
                        <wps:spPr>
                          <a:xfrm>
                            <a:off x="2934030"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1012" name="Rectangle 51012"/>
                        <wps:cNvSpPr/>
                        <wps:spPr>
                          <a:xfrm>
                            <a:off x="2824302" y="221311"/>
                            <a:ext cx="132966" cy="202692"/>
                          </a:xfrm>
                          <a:prstGeom prst="rect">
                            <a:avLst/>
                          </a:prstGeom>
                          <a:ln>
                            <a:noFill/>
                          </a:ln>
                        </wps:spPr>
                        <wps:txbx>
                          <w:txbxContent>
                            <w:p w:rsidR="00FF384B" w:rsidRDefault="003E3BA9">
                              <w:r>
                                <w:rPr>
                                  <w:rFonts w:ascii="Cambria Math" w:eastAsia="Cambria Math" w:hAnsi="Cambria Math" w:cs="Cambria Math"/>
                                  <w:sz w:val="24"/>
                                </w:rPr>
                                <w:t>𝑬</w:t>
                              </w:r>
                            </w:p>
                          </w:txbxContent>
                        </wps:txbx>
                        <wps:bodyPr horzOverflow="overflow" vert="horz" lIns="0" tIns="0" rIns="0" bIns="0" rtlCol="0">
                          <a:noAutofit/>
                        </wps:bodyPr>
                      </wps:wsp>
                      <wps:wsp>
                        <wps:cNvPr id="51013" name="Rectangle 51013"/>
                        <wps:cNvSpPr/>
                        <wps:spPr>
                          <a:xfrm>
                            <a:off x="2924886" y="286167"/>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228" name="Shape 567228"/>
                        <wps:cNvSpPr/>
                        <wps:spPr>
                          <a:xfrm>
                            <a:off x="2824302" y="188975"/>
                            <a:ext cx="169164" cy="10668"/>
                          </a:xfrm>
                          <a:custGeom>
                            <a:avLst/>
                            <a:gdLst/>
                            <a:ahLst/>
                            <a:cxnLst/>
                            <a:rect l="0" t="0" r="0" b="0"/>
                            <a:pathLst>
                              <a:path w="169164" h="10668">
                                <a:moveTo>
                                  <a:pt x="0" y="0"/>
                                </a:moveTo>
                                <a:lnTo>
                                  <a:pt x="169164" y="0"/>
                                </a:lnTo>
                                <a:lnTo>
                                  <a:pt x="16916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15" name="Rectangle 51015"/>
                        <wps:cNvSpPr/>
                        <wps:spPr>
                          <a:xfrm>
                            <a:off x="2993466"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16" name="Rectangle 51016"/>
                        <wps:cNvSpPr/>
                        <wps:spPr>
                          <a:xfrm>
                            <a:off x="3103194" y="119202"/>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17" name="Rectangle 51017"/>
                        <wps:cNvSpPr/>
                        <wps:spPr>
                          <a:xfrm>
                            <a:off x="3251276" y="119202"/>
                            <a:ext cx="127088" cy="202692"/>
                          </a:xfrm>
                          <a:prstGeom prst="rect">
                            <a:avLst/>
                          </a:prstGeom>
                          <a:ln>
                            <a:noFill/>
                          </a:ln>
                        </wps:spPr>
                        <wps:txbx>
                          <w:txbxContent>
                            <w:p w:rsidR="00FF384B" w:rsidRDefault="003E3BA9">
                              <w:r>
                                <w:rPr>
                                  <w:rFonts w:ascii="Cambria Math" w:eastAsia="Cambria Math" w:hAnsi="Cambria Math" w:cs="Cambria Math"/>
                                  <w:sz w:val="24"/>
                                </w:rPr>
                                <w:t>𝑪</w:t>
                              </w:r>
                            </w:p>
                          </w:txbxContent>
                        </wps:txbx>
                        <wps:bodyPr horzOverflow="overflow" vert="horz" lIns="0" tIns="0" rIns="0" bIns="0" rtlCol="0">
                          <a:noAutofit/>
                        </wps:bodyPr>
                      </wps:wsp>
                      <wps:wsp>
                        <wps:cNvPr id="51018" name="Rectangle 51018"/>
                        <wps:cNvSpPr/>
                        <wps:spPr>
                          <a:xfrm>
                            <a:off x="3380816" y="119202"/>
                            <a:ext cx="9790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19" name="Rectangle 51019"/>
                        <wps:cNvSpPr/>
                        <wps:spPr>
                          <a:xfrm>
                            <a:off x="3487496"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20" name="Rectangle 51020"/>
                        <wps:cNvSpPr/>
                        <wps:spPr>
                          <a:xfrm>
                            <a:off x="3572840" y="3378"/>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51021" name="Rectangle 51021"/>
                        <wps:cNvSpPr/>
                        <wps:spPr>
                          <a:xfrm>
                            <a:off x="3639896" y="68235"/>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1022" name="Rectangle 51022"/>
                        <wps:cNvSpPr/>
                        <wps:spPr>
                          <a:xfrm>
                            <a:off x="3563696" y="221311"/>
                            <a:ext cx="88374" cy="202692"/>
                          </a:xfrm>
                          <a:prstGeom prst="rect">
                            <a:avLst/>
                          </a:prstGeom>
                          <a:ln>
                            <a:noFill/>
                          </a:ln>
                        </wps:spPr>
                        <wps:txbx>
                          <w:txbxContent>
                            <w:p w:rsidR="00FF384B" w:rsidRDefault="003E3BA9">
                              <w:r>
                                <w:rPr>
                                  <w:rFonts w:ascii="Cambria Math" w:eastAsia="Cambria Math" w:hAnsi="Cambria Math" w:cs="Cambria Math"/>
                                  <w:sz w:val="24"/>
                                </w:rPr>
                                <w:t>𝑰</w:t>
                              </w:r>
                            </w:p>
                          </w:txbxContent>
                        </wps:txbx>
                        <wps:bodyPr horzOverflow="overflow" vert="horz" lIns="0" tIns="0" rIns="0" bIns="0" rtlCol="0">
                          <a:noAutofit/>
                        </wps:bodyPr>
                      </wps:wsp>
                      <wps:wsp>
                        <wps:cNvPr id="51023" name="Rectangle 51023"/>
                        <wps:cNvSpPr/>
                        <wps:spPr>
                          <a:xfrm>
                            <a:off x="3630752" y="286167"/>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67229" name="Shape 567229"/>
                        <wps:cNvSpPr/>
                        <wps:spPr>
                          <a:xfrm>
                            <a:off x="3563696" y="188975"/>
                            <a:ext cx="135636" cy="10668"/>
                          </a:xfrm>
                          <a:custGeom>
                            <a:avLst/>
                            <a:gdLst/>
                            <a:ahLst/>
                            <a:cxnLst/>
                            <a:rect l="0" t="0" r="0" b="0"/>
                            <a:pathLst>
                              <a:path w="135636" h="10668">
                                <a:moveTo>
                                  <a:pt x="0" y="0"/>
                                </a:moveTo>
                                <a:lnTo>
                                  <a:pt x="135636" y="0"/>
                                </a:lnTo>
                                <a:lnTo>
                                  <a:pt x="1356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25" name="Rectangle 51025"/>
                        <wps:cNvSpPr/>
                        <wps:spPr>
                          <a:xfrm>
                            <a:off x="3699332" y="119202"/>
                            <a:ext cx="100130"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26" name="Rectangle 51026"/>
                        <wps:cNvSpPr/>
                        <wps:spPr>
                          <a:xfrm>
                            <a:off x="3807536" y="119202"/>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027" name="Rectangle 51027"/>
                        <wps:cNvSpPr/>
                        <wps:spPr>
                          <a:xfrm>
                            <a:off x="3955364" y="119202"/>
                            <a:ext cx="152019" cy="202692"/>
                          </a:xfrm>
                          <a:prstGeom prst="rect">
                            <a:avLst/>
                          </a:prstGeom>
                          <a:ln>
                            <a:noFill/>
                          </a:ln>
                        </wps:spPr>
                        <wps:txbx>
                          <w:txbxContent>
                            <w:p w:rsidR="00FF384B" w:rsidRDefault="003E3BA9">
                              <w:r>
                                <w:rPr>
                                  <w:rFonts w:ascii="Cambria Math" w:eastAsia="Cambria Math" w:hAnsi="Cambria Math" w:cs="Cambria Math"/>
                                  <w:sz w:val="24"/>
                                </w:rPr>
                                <w:t>𝑫</w:t>
                              </w:r>
                            </w:p>
                          </w:txbxContent>
                        </wps:txbx>
                        <wps:bodyPr horzOverflow="overflow" vert="horz" lIns="0" tIns="0" rIns="0" bIns="0" rtlCol="0">
                          <a:noAutofit/>
                        </wps:bodyPr>
                      </wps:wsp>
                      <wps:wsp>
                        <wps:cNvPr id="51028" name="Rectangle 51028"/>
                        <wps:cNvSpPr/>
                        <wps:spPr>
                          <a:xfrm>
                            <a:off x="4069664" y="101955"/>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0779" style="width:428.11pt;height:31.0529pt;mso-position-horizontal-relative:char;mso-position-vertical-relative:line" coordsize="54369,3943">
                <v:shape id="Shape 567230" style="position:absolute;width:54369;height:3749;left:0;top:0;" coordsize="5436997,374904" path="m0,0l5436997,0l5436997,374904l0,374904l0,0">
                  <v:stroke weight="0pt" endcap="flat" joinstyle="miter" miterlimit="10" on="false" color="#000000" opacity="0"/>
                  <v:fill on="true" color="#f2f2f2"/>
                </v:shape>
                <v:rect id="Rectangle 50994" style="position:absolute;width:1554;height:2026;left:13669;top:1192;" filled="f" stroked="f">
                  <v:textbox inset="0,0,0,0">
                    <w:txbxContent>
                      <w:p>
                        <w:pPr>
                          <w:spacing w:before="0" w:after="160" w:line="259" w:lineRule="auto"/>
                        </w:pPr>
                        <w:r>
                          <w:rPr>
                            <w:rFonts w:cs="Cambria Math" w:hAnsi="Cambria Math" w:eastAsia="Cambria Math" w:ascii="Cambria Math"/>
                            <w:sz w:val="24"/>
                          </w:rPr>
                          <w:t xml:space="preserve">𝑲</w:t>
                        </w:r>
                      </w:p>
                    </w:txbxContent>
                  </v:textbox>
                </v:rect>
                <v:rect id="Rectangle 50995" style="position:absolute;width:602;height:1439;left:14847;top:1840;"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0996" style="position:absolute;width:1514;height:2026;left:1579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0997" style="position:absolute;width:1341;height:2026;left:17346;top:1192;" filled="f" stroked="f">
                  <v:textbox inset="0,0,0,0">
                    <w:txbxContent>
                      <w:p>
                        <w:pPr>
                          <w:spacing w:before="0" w:after="160" w:line="259" w:lineRule="auto"/>
                        </w:pPr>
                        <w:r>
                          <w:rPr>
                            <w:rFonts w:cs="Cambria Math" w:hAnsi="Cambria Math" w:eastAsia="Cambria Math" w:ascii="Cambria Math"/>
                            <w:sz w:val="24"/>
                          </w:rPr>
                          <w:t xml:space="preserve">𝑨</w:t>
                        </w:r>
                      </w:p>
                    </w:txbxContent>
                  </v:textbox>
                </v:rect>
                <v:rect id="Rectangle 50998" style="position:absolute;width:979;height:2026;left:18702;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0999" style="position:absolute;width:1001;height:2026;left:1976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00" style="position:absolute;width:1597;height:2026;left:20607;top:3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51001" style="position:absolute;width:602;height:1439;left:21811;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1002" style="position:absolute;width:1597;height:2026;left:20531;top:2213;" filled="f" stroked="f">
                  <v:textbox inset="0,0,0,0">
                    <w:txbxContent>
                      <w:p>
                        <w:pPr>
                          <w:spacing w:before="0" w:after="160" w:line="259" w:lineRule="auto"/>
                        </w:pPr>
                        <w:r>
                          <w:rPr>
                            <w:rFonts w:cs="Cambria Math" w:hAnsi="Cambria Math" w:eastAsia="Cambria Math" w:ascii="Cambria Math"/>
                            <w:sz w:val="24"/>
                          </w:rPr>
                          <w:t xml:space="preserve">𝑯</w:t>
                        </w:r>
                      </w:p>
                    </w:txbxContent>
                  </v:textbox>
                </v:rect>
                <v:rect id="Rectangle 51003" style="position:absolute;width:833;height:1439;left:21735;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231" style="position:absolute;width:1889;height:106;left:20531;top:1889;" coordsize="188976,10668" path="m0,0l188976,0l188976,10668l0,10668l0,0">
                  <v:stroke weight="0pt" endcap="flat" joinstyle="miter" miterlimit="10" on="false" color="#000000" opacity="0"/>
                  <v:fill on="true" color="#000000"/>
                </v:shape>
                <v:rect id="Rectangle 51005" style="position:absolute;width:1001;height:2026;left:2242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06" style="position:absolute;width:1514;height:2026;left:2350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07" style="position:absolute;width:1465;height:2026;left:24981;top:1192;" filled="f" stroked="f">
                  <v:textbox inset="0,0,0,0">
                    <w:txbxContent>
                      <w:p>
                        <w:pPr>
                          <w:spacing w:before="0" w:after="160" w:line="259" w:lineRule="auto"/>
                        </w:pPr>
                        <w:r>
                          <w:rPr>
                            <w:rFonts w:cs="Cambria Math" w:hAnsi="Cambria Math" w:eastAsia="Cambria Math" w:ascii="Cambria Math"/>
                            <w:sz w:val="24"/>
                          </w:rPr>
                          <w:t xml:space="preserve">𝑩</w:t>
                        </w:r>
                      </w:p>
                    </w:txbxContent>
                  </v:textbox>
                </v:rect>
                <v:rect id="Rectangle 51008" style="position:absolute;width:979;height:2026;left:26429;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09" style="position:absolute;width:1001;height:2026;left:27496;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10" style="position:absolute;width:1329;height:2026;left:28334;top:3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51011" style="position:absolute;width:602;height:1439;left:29340;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1012" style="position:absolute;width:1329;height:2026;left:28243;top:2213;" filled="f" stroked="f">
                  <v:textbox inset="0,0,0,0">
                    <w:txbxContent>
                      <w:p>
                        <w:pPr>
                          <w:spacing w:before="0" w:after="160" w:line="259" w:lineRule="auto"/>
                        </w:pPr>
                        <w:r>
                          <w:rPr>
                            <w:rFonts w:cs="Cambria Math" w:hAnsi="Cambria Math" w:eastAsia="Cambria Math" w:ascii="Cambria Math"/>
                            <w:sz w:val="24"/>
                          </w:rPr>
                          <w:t xml:space="preserve">𝑬</w:t>
                        </w:r>
                      </w:p>
                    </w:txbxContent>
                  </v:textbox>
                </v:rect>
                <v:rect id="Rectangle 51013" style="position:absolute;width:833;height:1439;left:29248;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232" style="position:absolute;width:1691;height:106;left:28243;top:1889;" coordsize="169164,10668" path="m0,0l169164,0l169164,10668l0,10668l0,0">
                  <v:stroke weight="0pt" endcap="flat" joinstyle="miter" miterlimit="10" on="false" color="#000000" opacity="0"/>
                  <v:fill on="true" color="#000000"/>
                </v:shape>
                <v:rect id="Rectangle 51015" style="position:absolute;width:1001;height:2026;left:2993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16" style="position:absolute;width:1514;height:2026;left:31031;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17" style="position:absolute;width:1270;height:2026;left:32512;top:1192;" filled="f" stroked="f">
                  <v:textbox inset="0,0,0,0">
                    <w:txbxContent>
                      <w:p>
                        <w:pPr>
                          <w:spacing w:before="0" w:after="160" w:line="259" w:lineRule="auto"/>
                        </w:pPr>
                        <w:r>
                          <w:rPr>
                            <w:rFonts w:cs="Cambria Math" w:hAnsi="Cambria Math" w:eastAsia="Cambria Math" w:ascii="Cambria Math"/>
                            <w:sz w:val="24"/>
                          </w:rPr>
                          <w:t xml:space="preserve">𝑪</w:t>
                        </w:r>
                      </w:p>
                    </w:txbxContent>
                  </v:textbox>
                </v:rect>
                <v:rect id="Rectangle 51018" style="position:absolute;width:979;height:2026;left:33808;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19" style="position:absolute;width:1001;height:2026;left:34874;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20" style="position:absolute;width:883;height:2026;left:35728;top:3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51021" style="position:absolute;width:602;height:1439;left:36398;top:682;"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1022" style="position:absolute;width:883;height:2026;left:35636;top:2213;" filled="f" stroked="f">
                  <v:textbox inset="0,0,0,0">
                    <w:txbxContent>
                      <w:p>
                        <w:pPr>
                          <w:spacing w:before="0" w:after="160" w:line="259" w:lineRule="auto"/>
                        </w:pPr>
                        <w:r>
                          <w:rPr>
                            <w:rFonts w:cs="Cambria Math" w:hAnsi="Cambria Math" w:eastAsia="Cambria Math" w:ascii="Cambria Math"/>
                            <w:sz w:val="24"/>
                          </w:rPr>
                          <w:t xml:space="preserve">𝑰</w:t>
                        </w:r>
                      </w:p>
                    </w:txbxContent>
                  </v:textbox>
                </v:rect>
                <v:rect id="Rectangle 51023" style="position:absolute;width:833;height:1439;left:36307;top:286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shape id="Shape 567233" style="position:absolute;width:1356;height:106;left:35636;top:1889;" coordsize="135636,10668" path="m0,0l135636,0l135636,10668l0,10668l0,0">
                  <v:stroke weight="0pt" endcap="flat" joinstyle="miter" miterlimit="10" on="false" color="#000000" opacity="0"/>
                  <v:fill on="true" color="#000000"/>
                </v:shape>
                <v:rect id="Rectangle 51025" style="position:absolute;width:1001;height:2026;left:36993;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26" style="position:absolute;width:1514;height:2026;left:38075;top:119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027" style="position:absolute;width:1520;height:2026;left:39553;top:1192;" filled="f" stroked="f">
                  <v:textbox inset="0,0,0,0">
                    <w:txbxContent>
                      <w:p>
                        <w:pPr>
                          <w:spacing w:before="0" w:after="160" w:line="259" w:lineRule="auto"/>
                        </w:pPr>
                        <w:r>
                          <w:rPr>
                            <w:rFonts w:cs="Cambria Math" w:hAnsi="Cambria Math" w:eastAsia="Cambria Math" w:ascii="Cambria Math"/>
                            <w:sz w:val="24"/>
                          </w:rPr>
                          <w:t xml:space="preserve">𝑫</w:t>
                        </w:r>
                      </w:p>
                    </w:txbxContent>
                  </v:textbox>
                </v:rect>
                <v:rect id="Rectangle 51028" style="position:absolute;width:506;height:2243;left:40696;top:10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13" w:line="247" w:lineRule="auto"/>
        <w:ind w:right="239"/>
        <w:jc w:val="both"/>
      </w:pPr>
      <w:r>
        <w:rPr>
          <w:rFonts w:ascii="Arial" w:eastAsia="Arial" w:hAnsi="Arial" w:cs="Arial"/>
          <w:b/>
          <w:i/>
        </w:rPr>
        <w:t xml:space="preserve">A: Peso del coste de la mano de obra en tanto por uno (0,7287) </w:t>
      </w:r>
    </w:p>
    <w:p w:rsidR="00FF384B" w:rsidRDefault="003E3BA9">
      <w:pPr>
        <w:spacing w:after="18"/>
      </w:pPr>
      <w:r>
        <w:rPr>
          <w:rFonts w:ascii="Times New Roman" w:eastAsia="Times New Roman" w:hAnsi="Times New Roman" w:cs="Times New Roman"/>
          <w:i/>
          <w:sz w:val="24"/>
        </w:rPr>
        <w:t xml:space="preserve"> </w:t>
      </w:r>
    </w:p>
    <w:p w:rsidR="00FF384B" w:rsidRDefault="003E3BA9">
      <w:pPr>
        <w:numPr>
          <w:ilvl w:val="0"/>
          <w:numId w:val="311"/>
        </w:numPr>
        <w:spacing w:after="4" w:line="247" w:lineRule="auto"/>
        <w:ind w:right="244" w:hanging="360"/>
        <w:jc w:val="both"/>
      </w:pPr>
      <w:r>
        <w:rPr>
          <w:rFonts w:ascii="Arial" w:eastAsia="Arial" w:hAnsi="Arial" w:cs="Arial"/>
          <w:b/>
          <w:i/>
        </w:rPr>
        <w:t>H</w:t>
      </w:r>
      <w:r>
        <w:rPr>
          <w:rFonts w:ascii="Arial" w:eastAsia="Arial" w:hAnsi="Arial" w:cs="Arial"/>
          <w:b/>
          <w:i/>
          <w:vertAlign w:val="subscript"/>
        </w:rPr>
        <w:t>t</w:t>
      </w:r>
      <w:r>
        <w:rPr>
          <w:rFonts w:ascii="Arial" w:eastAsia="Arial" w:hAnsi="Arial" w:cs="Arial"/>
          <w:b/>
          <w:i/>
        </w:rPr>
        <w:t>:</w:t>
      </w:r>
      <w:r>
        <w:rPr>
          <w:rFonts w:ascii="Arial" w:eastAsia="Arial" w:hAnsi="Arial" w:cs="Arial"/>
          <w:i/>
        </w:rPr>
        <w:t xml:space="preserve"> Variación salarial media pactada a nivel estatal por el sector, y publicada por el Ministerio de Empleo y Seguridad Social, Subdirección General de Estadística, para la "Actividad 38. Re</w:t>
      </w:r>
      <w:r>
        <w:rPr>
          <w:rFonts w:ascii="Arial" w:eastAsia="Arial" w:hAnsi="Arial" w:cs="Arial"/>
          <w:i/>
        </w:rPr>
        <w:t>cogida, tratamiento y eliminación de residuos; valorización" según la nomenclatura CNAE2009 en el momento de la revisión del precio del contrato.</w:t>
      </w:r>
      <w:r>
        <w:rPr>
          <w:rFonts w:ascii="Times New Roman" w:eastAsia="Times New Roman" w:hAnsi="Times New Roman" w:cs="Times New Roman"/>
          <w:sz w:val="24"/>
        </w:rPr>
        <w:t xml:space="preserve"> </w:t>
      </w:r>
    </w:p>
    <w:p w:rsidR="00FF384B" w:rsidRDefault="003E3BA9">
      <w:pPr>
        <w:spacing w:after="18"/>
      </w:pPr>
      <w:r>
        <w:rPr>
          <w:rFonts w:ascii="Times New Roman" w:eastAsia="Times New Roman" w:hAnsi="Times New Roman" w:cs="Times New Roman"/>
          <w:i/>
          <w:sz w:val="24"/>
        </w:rPr>
        <w:t xml:space="preserve"> </w:t>
      </w:r>
    </w:p>
    <w:p w:rsidR="00FF384B" w:rsidRDefault="003E3BA9">
      <w:pPr>
        <w:numPr>
          <w:ilvl w:val="0"/>
          <w:numId w:val="311"/>
        </w:numPr>
        <w:spacing w:after="4" w:line="247" w:lineRule="auto"/>
        <w:ind w:right="244" w:hanging="360"/>
        <w:jc w:val="both"/>
      </w:pPr>
      <w:r>
        <w:rPr>
          <w:rFonts w:ascii="Arial" w:eastAsia="Arial" w:hAnsi="Arial" w:cs="Arial"/>
          <w:b/>
          <w:i/>
        </w:rPr>
        <w:t>H</w:t>
      </w:r>
      <w:r>
        <w:rPr>
          <w:rFonts w:ascii="Arial" w:eastAsia="Arial" w:hAnsi="Arial" w:cs="Arial"/>
          <w:b/>
          <w:i/>
          <w:vertAlign w:val="subscript"/>
        </w:rPr>
        <w:t>0</w:t>
      </w:r>
      <w:r>
        <w:rPr>
          <w:rFonts w:ascii="Arial" w:eastAsia="Arial" w:hAnsi="Arial" w:cs="Arial"/>
          <w:b/>
          <w:i/>
        </w:rPr>
        <w:t>:</w:t>
      </w:r>
      <w:r>
        <w:rPr>
          <w:rFonts w:ascii="Arial" w:eastAsia="Arial" w:hAnsi="Arial" w:cs="Arial"/>
          <w:i/>
        </w:rPr>
        <w:t xml:space="preserve"> Variación salarial media pactada a nivel estatal por el sector, y publicada por el Ministerio de Empleo</w:t>
      </w:r>
      <w:r>
        <w:rPr>
          <w:rFonts w:ascii="Arial" w:eastAsia="Arial" w:hAnsi="Arial" w:cs="Arial"/>
          <w:i/>
        </w:rPr>
        <w:t xml:space="preserve"> y Seguridad Social, Subdirección General de Estadística, para la "Actividad 38. Recogida, tratamiento y eliminación de residuos; valorización" según la nomenclatura CNAE2009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B: Peso del coste de servici</w:t>
      </w:r>
      <w:r>
        <w:rPr>
          <w:rFonts w:ascii="Arial" w:eastAsia="Arial" w:hAnsi="Arial" w:cs="Arial"/>
          <w:b/>
          <w:i/>
        </w:rPr>
        <w:t xml:space="preserve">os de mantenimiento y reparación en tanto por uno (0,0519) </w:t>
      </w:r>
    </w:p>
    <w:p w:rsidR="00FF384B" w:rsidRDefault="003E3BA9">
      <w:pPr>
        <w:spacing w:after="33"/>
      </w:pPr>
      <w:r>
        <w:rPr>
          <w:rFonts w:ascii="Arial" w:eastAsia="Arial" w:hAnsi="Arial" w:cs="Arial"/>
          <w:i/>
        </w:rPr>
        <w:t xml:space="preserve"> </w:t>
      </w:r>
    </w:p>
    <w:p w:rsidR="00FF384B" w:rsidRDefault="003E3BA9">
      <w:pPr>
        <w:numPr>
          <w:ilvl w:val="0"/>
          <w:numId w:val="311"/>
        </w:numPr>
        <w:spacing w:after="4" w:line="247" w:lineRule="auto"/>
        <w:ind w:right="244" w:hanging="360"/>
        <w:jc w:val="both"/>
      </w:pPr>
      <w:r>
        <w:rPr>
          <w:rFonts w:ascii="Arial" w:eastAsia="Arial" w:hAnsi="Arial" w:cs="Arial"/>
          <w:b/>
          <w:i/>
        </w:rPr>
        <w:t>E</w:t>
      </w:r>
      <w:r>
        <w:rPr>
          <w:rFonts w:ascii="Arial" w:eastAsia="Arial" w:hAnsi="Arial" w:cs="Arial"/>
          <w:b/>
          <w:i/>
          <w:vertAlign w:val="subscript"/>
        </w:rPr>
        <w:t>t</w:t>
      </w:r>
      <w:r>
        <w:rPr>
          <w:rFonts w:ascii="Arial" w:eastAsia="Arial" w:hAnsi="Arial" w:cs="Arial"/>
          <w:i/>
        </w:rPr>
        <w:t>: variación a nivel estatal del índice de precios de consumo (IPC) de la clase "Servicios de Mantenimiento y reparaciones", publicado por el Instituto Nacional de Estadística (INE) en el momen</w:t>
      </w:r>
      <w:r>
        <w:rPr>
          <w:rFonts w:ascii="Arial" w:eastAsia="Arial" w:hAnsi="Arial" w:cs="Arial"/>
          <w:i/>
        </w:rPr>
        <w:t>to de la revisión del precio del contrato.</w:t>
      </w:r>
      <w:r>
        <w:rPr>
          <w:rFonts w:ascii="Times New Roman" w:eastAsia="Times New Roman" w:hAnsi="Times New Roman" w:cs="Times New Roman"/>
          <w:sz w:val="24"/>
        </w:rPr>
        <w:t xml:space="preserve"> </w:t>
      </w:r>
    </w:p>
    <w:p w:rsidR="00FF384B" w:rsidRDefault="003E3BA9">
      <w:pPr>
        <w:spacing w:after="33"/>
        <w:ind w:left="720"/>
      </w:pPr>
      <w:r>
        <w:rPr>
          <w:rFonts w:ascii="Arial" w:eastAsia="Arial" w:hAnsi="Arial" w:cs="Arial"/>
          <w:i/>
        </w:rPr>
        <w:t xml:space="preserve"> </w:t>
      </w:r>
    </w:p>
    <w:p w:rsidR="00FF384B" w:rsidRDefault="003E3BA9">
      <w:pPr>
        <w:numPr>
          <w:ilvl w:val="0"/>
          <w:numId w:val="311"/>
        </w:numPr>
        <w:spacing w:after="4" w:line="247" w:lineRule="auto"/>
        <w:ind w:right="244" w:hanging="360"/>
        <w:jc w:val="both"/>
      </w:pPr>
      <w:r>
        <w:rPr>
          <w:noProof/>
        </w:rPr>
        <mc:AlternateContent>
          <mc:Choice Requires="wpg">
            <w:drawing>
              <wp:anchor distT="0" distB="0" distL="114300" distR="114300" simplePos="0" relativeHeight="251938816"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00780" name="Group 50078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1141" name="Picture 51141"/>
                          <pic:cNvPicPr/>
                        </pic:nvPicPr>
                        <pic:blipFill>
                          <a:blip r:embed="rId62"/>
                          <a:stretch>
                            <a:fillRect/>
                          </a:stretch>
                        </pic:blipFill>
                        <pic:spPr>
                          <a:xfrm rot="-5399999">
                            <a:off x="-1720849" y="1720849"/>
                            <a:ext cx="3797300" cy="355601"/>
                          </a:xfrm>
                          <a:prstGeom prst="rect">
                            <a:avLst/>
                          </a:prstGeom>
                        </pic:spPr>
                      </pic:pic>
                      <wps:wsp>
                        <wps:cNvPr id="51142" name="Rectangle 51142"/>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1143" name="Rectangle 51143"/>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0780" style="width:41.2715pt;height:299pt;position:absolute;mso-position-horizontal-relative:page;mso-position-horizontal:absolute;margin-left:653.71pt;mso-position-vertical-relative:page;margin-top:512.92pt;" coordsize="5241,37973">
                <v:shape id="Picture 51141" style="position:absolute;width:37973;height:3556;left:-17208;top:17208;rotation:-89;" filled="f">
                  <v:imagedata r:id="rId63"/>
                </v:shape>
                <v:rect id="Rectangle 5114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114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273 de 353 </w:t>
                        </w:r>
                      </w:p>
                    </w:txbxContent>
                  </v:textbox>
                </v:rect>
                <w10:wrap type="square"/>
              </v:group>
            </w:pict>
          </mc:Fallback>
        </mc:AlternateContent>
      </w:r>
      <w:r>
        <w:rPr>
          <w:rFonts w:ascii="Arial" w:eastAsia="Arial" w:hAnsi="Arial" w:cs="Arial"/>
          <w:b/>
          <w:i/>
        </w:rPr>
        <w:t>E</w:t>
      </w:r>
      <w:r>
        <w:rPr>
          <w:rFonts w:ascii="Arial" w:eastAsia="Arial" w:hAnsi="Arial" w:cs="Arial"/>
          <w:b/>
          <w:i/>
          <w:vertAlign w:val="subscript"/>
        </w:rPr>
        <w:t>o</w:t>
      </w:r>
      <w:r>
        <w:rPr>
          <w:rFonts w:ascii="Arial" w:eastAsia="Arial" w:hAnsi="Arial" w:cs="Arial"/>
          <w:i/>
        </w:rPr>
        <w:t>: variación a nivel estatal del índice de precios de consumo (IPC) de la clase "Servicios de Mantenimiento y reparaciones", publicado por el Instituto Nacional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 xml:space="preserve">C: Peso del coste del </w:t>
      </w:r>
      <w:r>
        <w:rPr>
          <w:rFonts w:ascii="Arial" w:eastAsia="Arial" w:hAnsi="Arial" w:cs="Arial"/>
          <w:b/>
          <w:i/>
        </w:rPr>
        <w:t xml:space="preserve">combustible/lubricantes en tanto por uno (0,0570) </w:t>
      </w:r>
    </w:p>
    <w:p w:rsidR="00FF384B" w:rsidRDefault="003E3BA9">
      <w:pPr>
        <w:spacing w:after="35"/>
      </w:pPr>
      <w:r>
        <w:rPr>
          <w:rFonts w:ascii="Arial" w:eastAsia="Arial" w:hAnsi="Arial" w:cs="Arial"/>
          <w:b/>
          <w:i/>
        </w:rPr>
        <w:t xml:space="preserve"> </w:t>
      </w:r>
    </w:p>
    <w:p w:rsidR="00FF384B" w:rsidRDefault="003E3BA9">
      <w:pPr>
        <w:numPr>
          <w:ilvl w:val="0"/>
          <w:numId w:val="311"/>
        </w:numPr>
        <w:spacing w:after="30" w:line="247" w:lineRule="auto"/>
        <w:ind w:right="244" w:hanging="360"/>
        <w:jc w:val="both"/>
      </w:pPr>
      <w:r>
        <w:rPr>
          <w:rFonts w:ascii="Arial" w:eastAsia="Arial" w:hAnsi="Arial" w:cs="Arial"/>
          <w:b/>
          <w:i/>
        </w:rPr>
        <w:t>I</w:t>
      </w:r>
      <w:r>
        <w:rPr>
          <w:rFonts w:ascii="Arial" w:eastAsia="Arial" w:hAnsi="Arial" w:cs="Arial"/>
          <w:b/>
          <w:i/>
          <w:vertAlign w:val="subscript"/>
        </w:rPr>
        <w:t>t</w:t>
      </w:r>
      <w:r>
        <w:rPr>
          <w:rFonts w:ascii="Arial" w:eastAsia="Arial" w:hAnsi="Arial" w:cs="Arial"/>
          <w:b/>
          <w:i/>
        </w:rPr>
        <w:t>:</w:t>
      </w:r>
      <w:r>
        <w:rPr>
          <w:rFonts w:ascii="Arial" w:eastAsia="Arial" w:hAnsi="Arial" w:cs="Arial"/>
          <w:i/>
        </w:rPr>
        <w:t xml:space="preserve"> variación a nivel estatal del índice de precios de consumo (IPC) de la clase "Carburantes y lubricantes" publicado por el Instituto Nacional de Estadística (INE) en el momento de la revisión del prec</w:t>
      </w:r>
      <w:r>
        <w:rPr>
          <w:rFonts w:ascii="Arial" w:eastAsia="Arial" w:hAnsi="Arial" w:cs="Arial"/>
          <w:i/>
        </w:rPr>
        <w:t>io del contrato.</w:t>
      </w:r>
      <w:r>
        <w:rPr>
          <w:rFonts w:ascii="Times New Roman" w:eastAsia="Times New Roman" w:hAnsi="Times New Roman" w:cs="Times New Roman"/>
          <w:sz w:val="24"/>
        </w:rPr>
        <w:t xml:space="preserve"> </w:t>
      </w:r>
    </w:p>
    <w:p w:rsidR="00FF384B" w:rsidRDefault="003E3BA9">
      <w:pPr>
        <w:numPr>
          <w:ilvl w:val="0"/>
          <w:numId w:val="311"/>
        </w:numPr>
        <w:spacing w:after="4" w:line="247" w:lineRule="auto"/>
        <w:ind w:right="244" w:hanging="360"/>
        <w:jc w:val="both"/>
      </w:pPr>
      <w:r>
        <w:rPr>
          <w:rFonts w:ascii="Arial" w:eastAsia="Arial" w:hAnsi="Arial" w:cs="Arial"/>
          <w:b/>
          <w:i/>
        </w:rPr>
        <w:t>I</w:t>
      </w:r>
      <w:r>
        <w:rPr>
          <w:rFonts w:ascii="Arial" w:eastAsia="Arial" w:hAnsi="Arial" w:cs="Arial"/>
          <w:b/>
          <w:i/>
          <w:vertAlign w:val="subscript"/>
        </w:rPr>
        <w:t>0</w:t>
      </w:r>
      <w:r>
        <w:rPr>
          <w:rFonts w:ascii="Arial" w:eastAsia="Arial" w:hAnsi="Arial" w:cs="Arial"/>
          <w:i/>
        </w:rPr>
        <w:t>: variación a nivel estatal del índice de precios de consumo (IPC) de la clase "Carburantes y lubricantes" publicado por el Instituto Nacional de Estadística (INE) en el momento de la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b/>
          <w:i/>
        </w:rPr>
        <w:t>D: Amortización/fin</w:t>
      </w:r>
      <w:r>
        <w:rPr>
          <w:rFonts w:ascii="Arial" w:eastAsia="Arial" w:hAnsi="Arial" w:cs="Arial"/>
          <w:b/>
          <w:i/>
        </w:rPr>
        <w:t xml:space="preserve">anciación y otros costes no revisables (0,1625) </w:t>
      </w:r>
    </w:p>
    <w:p w:rsidR="00FF384B" w:rsidRDefault="003E3BA9">
      <w:pPr>
        <w:spacing w:after="0"/>
      </w:pPr>
      <w:r>
        <w:rPr>
          <w:rFonts w:ascii="Arial" w:eastAsia="Arial" w:hAnsi="Arial" w:cs="Arial"/>
          <w:i/>
        </w:rPr>
        <w:t xml:space="preserve"> </w:t>
      </w:r>
    </w:p>
    <w:p w:rsidR="00FF384B" w:rsidRDefault="003E3BA9">
      <w:pPr>
        <w:spacing w:after="13" w:line="247" w:lineRule="auto"/>
        <w:ind w:right="239"/>
        <w:jc w:val="both"/>
      </w:pPr>
      <w:r>
        <w:rPr>
          <w:rFonts w:ascii="Arial" w:eastAsia="Arial" w:hAnsi="Arial" w:cs="Arial"/>
          <w:i/>
        </w:rPr>
        <w:t xml:space="preserve">Por lo tanto, se verifica que: </w:t>
      </w:r>
      <w:r>
        <w:rPr>
          <w:rFonts w:ascii="Arial" w:eastAsia="Arial" w:hAnsi="Arial" w:cs="Arial"/>
          <w:b/>
          <w:i/>
        </w:rPr>
        <w:t>A+B+C+D= 0,7287+0,0519+0,0570+0,1625= 1</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De este modo, la revisión de precios se llevará a cabo a través de este coeficiente K</w:t>
      </w:r>
      <w:r>
        <w:rPr>
          <w:rFonts w:ascii="Arial" w:eastAsia="Arial" w:hAnsi="Arial" w:cs="Arial"/>
          <w:i/>
          <w:vertAlign w:val="subscript"/>
        </w:rPr>
        <w:t>t</w:t>
      </w:r>
      <w:r>
        <w:rPr>
          <w:rFonts w:ascii="Arial" w:eastAsia="Arial" w:hAnsi="Arial" w:cs="Arial"/>
          <w:i/>
        </w:rPr>
        <w:t>, que establecerá la evolución del total de</w:t>
      </w:r>
      <w:r>
        <w:rPr>
          <w:rFonts w:ascii="Arial" w:eastAsia="Arial" w:hAnsi="Arial" w:cs="Arial"/>
          <w:i/>
        </w:rPr>
        <w:t>l presupuesto de ejecución material del servicio a lo largo del periodo revisable, del modo siguiente:</w:t>
      </w:r>
      <w:r>
        <w:rPr>
          <w:rFonts w:ascii="Times New Roman" w:eastAsia="Times New Roman" w:hAnsi="Times New Roman" w:cs="Times New Roman"/>
          <w:sz w:val="24"/>
        </w:rPr>
        <w:t xml:space="preserve"> </w:t>
      </w:r>
    </w:p>
    <w:p w:rsidR="00FF384B" w:rsidRDefault="003E3BA9">
      <w:pPr>
        <w:spacing w:after="83"/>
      </w:pPr>
      <w:r>
        <w:rPr>
          <w:rFonts w:ascii="Arial" w:eastAsia="Arial" w:hAnsi="Arial" w:cs="Arial"/>
          <w:i/>
        </w:rPr>
        <w:t xml:space="preserve"> </w:t>
      </w:r>
    </w:p>
    <w:p w:rsidR="00FF384B" w:rsidRDefault="003E3BA9">
      <w:pPr>
        <w:pStyle w:val="Ttulo2"/>
        <w:shd w:val="clear" w:color="auto" w:fill="F2F2F2"/>
        <w:spacing w:after="3" w:line="259" w:lineRule="auto"/>
        <w:ind w:left="31" w:right="283"/>
      </w:pPr>
      <w:r>
        <w:rPr>
          <w:rFonts w:ascii="Cambria Math" w:eastAsia="Cambria Math" w:hAnsi="Cambria Math" w:cs="Cambria Math"/>
          <w:b w:val="0"/>
          <w:sz w:val="24"/>
        </w:rPr>
        <w:t>𝑪</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𝑲</w:t>
      </w:r>
      <w:r>
        <w:rPr>
          <w:rFonts w:ascii="Cambria Math" w:eastAsia="Cambria Math" w:hAnsi="Cambria Math" w:cs="Cambria Math"/>
          <w:b w:val="0"/>
          <w:sz w:val="24"/>
          <w:vertAlign w:val="subscript"/>
        </w:rPr>
        <w:t>𝒕</w:t>
      </w:r>
      <w:r>
        <w:rPr>
          <w:rFonts w:ascii="Cambria Math" w:eastAsia="Cambria Math" w:hAnsi="Cambria Math" w:cs="Cambria Math"/>
          <w:b w:val="0"/>
          <w:sz w:val="17"/>
        </w:rPr>
        <w:t xml:space="preserve"> </w:t>
      </w:r>
      <w:r>
        <w:rPr>
          <w:rFonts w:ascii="Cambria Math" w:eastAsia="Cambria Math" w:hAnsi="Cambria Math" w:cs="Cambria Math"/>
          <w:b w:val="0"/>
          <w:sz w:val="24"/>
        </w:rPr>
        <w:t>∗</w:t>
      </w:r>
      <w:r>
        <w:rPr>
          <w:rFonts w:ascii="Cambria Math" w:eastAsia="Cambria Math" w:hAnsi="Cambria Math" w:cs="Cambria Math"/>
          <w:b w:val="0"/>
          <w:sz w:val="24"/>
        </w:rPr>
        <w:t>𝑪</w:t>
      </w:r>
      <w:r>
        <w:rPr>
          <w:rFonts w:ascii="Cambria Math" w:eastAsia="Cambria Math" w:hAnsi="Cambria Math" w:cs="Cambria Math"/>
          <w:b w:val="0"/>
          <w:sz w:val="24"/>
          <w:vertAlign w:val="subscript"/>
        </w:rPr>
        <w:t>0</w:t>
      </w:r>
      <w:r>
        <w:rPr>
          <w:rFonts w:ascii="Times New Roman" w:eastAsia="Times New Roman" w:hAnsi="Times New Roman" w:cs="Times New Roman"/>
          <w:b w:val="0"/>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Siendo: </w:t>
      </w:r>
    </w:p>
    <w:p w:rsidR="00FF384B" w:rsidRDefault="003E3BA9">
      <w:pPr>
        <w:spacing w:after="33"/>
      </w:pPr>
      <w:r>
        <w:rPr>
          <w:rFonts w:ascii="Arial" w:eastAsia="Arial" w:hAnsi="Arial" w:cs="Arial"/>
          <w:i/>
        </w:rPr>
        <w:t xml:space="preserve"> </w:t>
      </w:r>
    </w:p>
    <w:p w:rsidR="00FF384B" w:rsidRDefault="003E3BA9">
      <w:pPr>
        <w:numPr>
          <w:ilvl w:val="0"/>
          <w:numId w:val="312"/>
        </w:numPr>
        <w:spacing w:after="32" w:line="247" w:lineRule="auto"/>
        <w:ind w:right="244" w:hanging="360"/>
        <w:jc w:val="both"/>
      </w:pPr>
      <w:r>
        <w:rPr>
          <w:rFonts w:ascii="Arial" w:eastAsia="Arial" w:hAnsi="Arial" w:cs="Arial"/>
          <w:b/>
          <w:i/>
        </w:rPr>
        <w:t>C</w:t>
      </w:r>
      <w:r>
        <w:rPr>
          <w:rFonts w:ascii="Arial" w:eastAsia="Arial" w:hAnsi="Arial" w:cs="Arial"/>
          <w:b/>
          <w:i/>
          <w:vertAlign w:val="subscript"/>
        </w:rPr>
        <w:t>t</w:t>
      </w:r>
      <w:r>
        <w:rPr>
          <w:rFonts w:ascii="Arial" w:eastAsia="Arial" w:hAnsi="Arial" w:cs="Arial"/>
          <w:i/>
        </w:rPr>
        <w:t>: Presupuesto de ejecución material en el momento de la revisión del precio del contrato.</w:t>
      </w:r>
      <w:r>
        <w:rPr>
          <w:rFonts w:ascii="Times New Roman" w:eastAsia="Times New Roman" w:hAnsi="Times New Roman" w:cs="Times New Roman"/>
          <w:sz w:val="24"/>
        </w:rPr>
        <w:t xml:space="preserve"> </w:t>
      </w:r>
    </w:p>
    <w:p w:rsidR="00FF384B" w:rsidRDefault="003E3BA9">
      <w:pPr>
        <w:numPr>
          <w:ilvl w:val="0"/>
          <w:numId w:val="312"/>
        </w:numPr>
        <w:spacing w:after="4" w:line="247" w:lineRule="auto"/>
        <w:ind w:right="244" w:hanging="360"/>
        <w:jc w:val="both"/>
      </w:pPr>
      <w:r>
        <w:rPr>
          <w:rFonts w:ascii="Arial" w:eastAsia="Arial" w:hAnsi="Arial" w:cs="Arial"/>
          <w:b/>
          <w:i/>
        </w:rPr>
        <w:t>C</w:t>
      </w:r>
      <w:r>
        <w:rPr>
          <w:rFonts w:ascii="Arial" w:eastAsia="Arial" w:hAnsi="Arial" w:cs="Arial"/>
          <w:b/>
          <w:i/>
          <w:vertAlign w:val="subscript"/>
        </w:rPr>
        <w:t>0</w:t>
      </w:r>
      <w:r>
        <w:rPr>
          <w:rFonts w:ascii="Arial" w:eastAsia="Arial" w:hAnsi="Arial" w:cs="Arial"/>
          <w:i/>
        </w:rPr>
        <w:t>: Presupuesto de ejecución material en el momento de formalización del contrato.</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0"/>
      </w:pPr>
      <w:r>
        <w:rPr>
          <w:rFonts w:ascii="Arial" w:eastAsia="Arial" w:hAnsi="Arial" w:cs="Arial"/>
          <w:i/>
        </w:rPr>
        <w:t xml:space="preserve"> </w:t>
      </w:r>
    </w:p>
    <w:p w:rsidR="00FF384B" w:rsidRDefault="003E3BA9">
      <w:pPr>
        <w:shd w:val="clear" w:color="auto" w:fill="E0E0E0"/>
        <w:spacing w:after="225" w:line="250" w:lineRule="auto"/>
        <w:ind w:left="10" w:right="259" w:hanging="10"/>
        <w:jc w:val="center"/>
      </w:pPr>
      <w:r>
        <w:rPr>
          <w:rFonts w:ascii="Arial" w:eastAsia="Arial" w:hAnsi="Arial" w:cs="Arial"/>
          <w:b/>
          <w:i/>
        </w:rPr>
        <w:t xml:space="preserve">INVERSIÓN: PERIODO DE RECUPERACIÓN. </w:t>
      </w:r>
    </w:p>
    <w:p w:rsidR="00FF384B" w:rsidRDefault="003E3BA9">
      <w:pPr>
        <w:spacing w:after="4" w:line="247" w:lineRule="auto"/>
        <w:ind w:left="10" w:right="244" w:hanging="10"/>
        <w:jc w:val="both"/>
      </w:pPr>
      <w:r>
        <w:rPr>
          <w:rFonts w:ascii="Arial" w:eastAsia="Arial" w:hAnsi="Arial" w:cs="Arial"/>
          <w:i/>
        </w:rPr>
        <w:t xml:space="preserve">El plazo de duración de los contratos lo establece la normativa vigente, tal como se indica a continuación:  </w:t>
      </w:r>
    </w:p>
    <w:p w:rsidR="00FF384B" w:rsidRDefault="003E3BA9">
      <w:pPr>
        <w:spacing w:after="15"/>
      </w:pPr>
      <w:r>
        <w:rPr>
          <w:rFonts w:ascii="Times New Roman" w:eastAsia="Times New Roman" w:hAnsi="Times New Roman" w:cs="Times New Roman"/>
          <w:i/>
          <w:sz w:val="24"/>
        </w:rPr>
        <w:t xml:space="preserve"> </w:t>
      </w:r>
    </w:p>
    <w:p w:rsidR="00FF384B" w:rsidRDefault="003E3BA9">
      <w:pPr>
        <w:numPr>
          <w:ilvl w:val="0"/>
          <w:numId w:val="312"/>
        </w:numPr>
        <w:spacing w:after="13" w:line="247" w:lineRule="auto"/>
        <w:ind w:right="244" w:hanging="360"/>
        <w:jc w:val="both"/>
      </w:pPr>
      <w:r>
        <w:rPr>
          <w:rFonts w:ascii="Arial" w:eastAsia="Arial" w:hAnsi="Arial" w:cs="Arial"/>
          <w:i/>
        </w:rPr>
        <w:t xml:space="preserve">La </w:t>
      </w:r>
      <w:r>
        <w:rPr>
          <w:rFonts w:ascii="Arial" w:eastAsia="Arial" w:hAnsi="Arial" w:cs="Arial"/>
          <w:b/>
          <w:i/>
        </w:rPr>
        <w:t>Ley 9/2017 de Cont</w:t>
      </w:r>
      <w:r>
        <w:rPr>
          <w:rFonts w:ascii="Arial" w:eastAsia="Arial" w:hAnsi="Arial" w:cs="Arial"/>
          <w:b/>
          <w:i/>
        </w:rPr>
        <w:t xml:space="preserve">ratos del Sector Público </w:t>
      </w:r>
      <w:r>
        <w:rPr>
          <w:rFonts w:ascii="Arial" w:eastAsia="Arial" w:hAnsi="Arial" w:cs="Arial"/>
          <w:i/>
        </w:rPr>
        <w:t xml:space="preserve">en su </w:t>
      </w:r>
      <w:r>
        <w:rPr>
          <w:rFonts w:ascii="Arial" w:eastAsia="Arial" w:hAnsi="Arial" w:cs="Arial"/>
          <w:b/>
          <w:i/>
        </w:rPr>
        <w:t xml:space="preserve">Artículo 29 </w:t>
      </w:r>
      <w:r>
        <w:rPr>
          <w:rFonts w:ascii="Arial" w:eastAsia="Arial" w:hAnsi="Arial" w:cs="Arial"/>
          <w:i/>
        </w:rPr>
        <w:t xml:space="preserve">establece el </w:t>
      </w:r>
      <w:r>
        <w:rPr>
          <w:rFonts w:ascii="Arial" w:eastAsia="Arial" w:hAnsi="Arial" w:cs="Arial"/>
          <w:b/>
          <w:i/>
        </w:rPr>
        <w:t xml:space="preserve">Plazo de duración de los contratos y de ejecución de la prestación. </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El </w:t>
      </w:r>
      <w:r>
        <w:rPr>
          <w:rFonts w:ascii="Arial" w:eastAsia="Arial" w:hAnsi="Arial" w:cs="Arial"/>
          <w:b/>
          <w:i/>
        </w:rPr>
        <w:t xml:space="preserve">Artículo 29.4 </w:t>
      </w:r>
      <w:r>
        <w:rPr>
          <w:rFonts w:ascii="Arial" w:eastAsia="Arial" w:hAnsi="Arial" w:cs="Arial"/>
          <w:i/>
        </w:rPr>
        <w:t xml:space="preserve">establece un plazo máximo de duración de los contratos de </w:t>
      </w:r>
      <w:r>
        <w:rPr>
          <w:rFonts w:ascii="Arial" w:eastAsia="Arial" w:hAnsi="Arial" w:cs="Arial"/>
          <w:b/>
          <w:i/>
        </w:rPr>
        <w:t>cinco años</w:t>
      </w:r>
      <w:r>
        <w:rPr>
          <w:rFonts w:ascii="Arial" w:eastAsia="Arial" w:hAnsi="Arial" w:cs="Arial"/>
          <w:i/>
        </w:rPr>
        <w:t xml:space="preserve">, </w:t>
      </w:r>
      <w:r>
        <w:rPr>
          <w:rFonts w:ascii="Arial" w:eastAsia="Arial" w:hAnsi="Arial" w:cs="Arial"/>
          <w:i/>
        </w:rPr>
        <w:t>a excepción de los contratos de suministros y servicios, en los que se podrá establecer un plazo de duración superior cuando lo exija el período de recuperación de las inversiones directamente relacionadas con el contrato y estas no sean susceptibles de ut</w:t>
      </w:r>
      <w:r>
        <w:rPr>
          <w:rFonts w:ascii="Arial" w:eastAsia="Arial" w:hAnsi="Arial" w:cs="Arial"/>
          <w:i/>
        </w:rPr>
        <w:t>ilizarse en el resto de la actividad productiva del contratista o su utilización fuera antieconómica, siempre que la amortización de dichas inversiones sea un coste relevante en la prestación del suministro o servicio, circunstancias que deberán ser justif</w:t>
      </w:r>
      <w:r>
        <w:rPr>
          <w:rFonts w:ascii="Arial" w:eastAsia="Arial" w:hAnsi="Arial" w:cs="Arial"/>
          <w:i/>
        </w:rPr>
        <w:t>icadas en el expediente de contratación con indicación de las inversiones a las que se refiera y de su período de recuperación.</w:t>
      </w:r>
      <w:r>
        <w:rPr>
          <w:rFonts w:ascii="Times New Roman" w:eastAsia="Times New Roman" w:hAnsi="Times New Roman" w:cs="Times New Roman"/>
          <w:sz w:val="24"/>
        </w:rPr>
        <w:t xml:space="preserve"> </w:t>
      </w:r>
    </w:p>
    <w:p w:rsidR="00FF384B" w:rsidRDefault="003E3BA9">
      <w:pPr>
        <w:spacing w:after="15"/>
      </w:pPr>
      <w:r>
        <w:rPr>
          <w:noProof/>
        </w:rPr>
        <mc:AlternateContent>
          <mc:Choice Requires="wpg">
            <w:drawing>
              <wp:anchor distT="0" distB="0" distL="114300" distR="114300" simplePos="0" relativeHeight="251939840"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00443" name="Group 50044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1296" name="Picture 51296"/>
                          <pic:cNvPicPr/>
                        </pic:nvPicPr>
                        <pic:blipFill>
                          <a:blip r:embed="rId62"/>
                          <a:stretch>
                            <a:fillRect/>
                          </a:stretch>
                        </pic:blipFill>
                        <pic:spPr>
                          <a:xfrm rot="-5399999">
                            <a:off x="-1720849" y="1720849"/>
                            <a:ext cx="3797300" cy="355601"/>
                          </a:xfrm>
                          <a:prstGeom prst="rect">
                            <a:avLst/>
                          </a:prstGeom>
                        </pic:spPr>
                      </pic:pic>
                      <wps:wsp>
                        <wps:cNvPr id="51297" name="Rectangle 51297"/>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1298" name="Rectangle 51298"/>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0443" style="width:41.2715pt;height:299pt;position:absolute;mso-position-horizontal-relative:page;mso-position-horizontal:absolute;margin-left:653.71pt;mso-position-vertical-relative:page;margin-top:512.92pt;" coordsize="5241,37973">
                <v:shape id="Picture 51296" style="position:absolute;width:37973;height:3556;left:-17208;top:17208;rotation:-89;" filled="f">
                  <v:imagedata r:id="rId63"/>
                </v:shape>
                <v:rect id="Rectangle 512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129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274 de 353 </w:t>
                        </w:r>
                      </w:p>
                    </w:txbxContent>
                  </v:textbox>
                </v:rect>
                <w10:wrap type="square"/>
              </v:group>
            </w:pict>
          </mc:Fallback>
        </mc:AlternateContent>
      </w:r>
      <w:r>
        <w:rPr>
          <w:rFonts w:ascii="Times New Roman" w:eastAsia="Times New Roman" w:hAnsi="Times New Roman" w:cs="Times New Roman"/>
          <w:i/>
          <w:sz w:val="24"/>
        </w:rPr>
        <w:t xml:space="preserve"> </w:t>
      </w:r>
    </w:p>
    <w:p w:rsidR="00FF384B" w:rsidRDefault="003E3BA9">
      <w:pPr>
        <w:numPr>
          <w:ilvl w:val="0"/>
          <w:numId w:val="312"/>
        </w:numPr>
        <w:spacing w:after="4" w:line="247" w:lineRule="auto"/>
        <w:ind w:right="244" w:hanging="360"/>
        <w:jc w:val="both"/>
      </w:pPr>
      <w:r>
        <w:rPr>
          <w:rFonts w:ascii="Arial" w:eastAsia="Arial" w:hAnsi="Arial" w:cs="Arial"/>
          <w:i/>
        </w:rPr>
        <w:t xml:space="preserve">El </w:t>
      </w:r>
      <w:r>
        <w:rPr>
          <w:rFonts w:ascii="Arial" w:eastAsia="Arial" w:hAnsi="Arial" w:cs="Arial"/>
          <w:b/>
          <w:i/>
        </w:rPr>
        <w:t>Real Decreto 55/2017</w:t>
      </w:r>
      <w:r>
        <w:rPr>
          <w:rFonts w:ascii="Arial" w:eastAsia="Arial" w:hAnsi="Arial" w:cs="Arial"/>
          <w:i/>
        </w:rPr>
        <w:t xml:space="preserve">, que desarrolla la Ley 2/2015, de 30 de marzo, de desindexación de la economía española, establece en su </w:t>
      </w:r>
      <w:r>
        <w:rPr>
          <w:rFonts w:ascii="Arial" w:eastAsia="Arial" w:hAnsi="Arial" w:cs="Arial"/>
          <w:b/>
          <w:i/>
        </w:rPr>
        <w:t xml:space="preserve">Artículo 10 </w:t>
      </w:r>
      <w:r>
        <w:rPr>
          <w:rFonts w:ascii="Arial" w:eastAsia="Arial" w:hAnsi="Arial" w:cs="Arial"/>
          <w:i/>
        </w:rPr>
        <w:t xml:space="preserve">el </w:t>
      </w:r>
      <w:r>
        <w:rPr>
          <w:rFonts w:ascii="Arial" w:eastAsia="Arial" w:hAnsi="Arial" w:cs="Arial"/>
          <w:b/>
          <w:i/>
        </w:rPr>
        <w:t>Período de recu</w:t>
      </w:r>
      <w:r>
        <w:rPr>
          <w:rFonts w:ascii="Arial" w:eastAsia="Arial" w:hAnsi="Arial" w:cs="Arial"/>
          <w:b/>
          <w:i/>
        </w:rPr>
        <w:t>peración de la inversión de los contratos</w:t>
      </w:r>
      <w:r>
        <w:rPr>
          <w:rFonts w:ascii="Arial" w:eastAsia="Arial" w:hAnsi="Arial" w:cs="Arial"/>
          <w:i/>
        </w:rPr>
        <w:t xml:space="preserve">. </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El </w:t>
      </w:r>
      <w:r>
        <w:rPr>
          <w:rFonts w:ascii="Arial" w:eastAsia="Arial" w:hAnsi="Arial" w:cs="Arial"/>
          <w:b/>
          <w:i/>
        </w:rPr>
        <w:t xml:space="preserve">Artículo 10.1 </w:t>
      </w:r>
      <w:r>
        <w:rPr>
          <w:rFonts w:ascii="Arial" w:eastAsia="Arial" w:hAnsi="Arial" w:cs="Arial"/>
          <w:i/>
        </w:rPr>
        <w:t>define el período de recuperación de la inversión del contrato como aquél en el que previsiblemente puedan recuperarse las inversiones realizadas para la correcta ejecución de las obligaciones</w:t>
      </w:r>
      <w:r>
        <w:rPr>
          <w:rFonts w:ascii="Arial" w:eastAsia="Arial" w:hAnsi="Arial" w:cs="Arial"/>
          <w:i/>
        </w:rPr>
        <w:t xml:space="preserve"> previstas en el contrato y se permita al contratista la obtención de un beneficio sobre el capital invertido en condiciones normales de explotación.</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El </w:t>
      </w:r>
      <w:r>
        <w:rPr>
          <w:rFonts w:ascii="Arial" w:eastAsia="Arial" w:hAnsi="Arial" w:cs="Arial"/>
          <w:b/>
          <w:i/>
        </w:rPr>
        <w:t xml:space="preserve">Artículo 10.2 </w:t>
      </w:r>
      <w:r>
        <w:rPr>
          <w:rFonts w:ascii="Arial" w:eastAsia="Arial" w:hAnsi="Arial" w:cs="Arial"/>
          <w:i/>
        </w:rPr>
        <w:t>establece una fórmula matemática para calcular el plazo de recuperación de las inversi</w:t>
      </w:r>
      <w:r>
        <w:rPr>
          <w:rFonts w:ascii="Arial" w:eastAsia="Arial" w:hAnsi="Arial" w:cs="Arial"/>
          <w:i/>
        </w:rPr>
        <w:t xml:space="preserve">ones que determinará el plazo de duración del contrato. </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 xml:space="preserve">Según la fórmula, el período de recuperación de la inversión del contrato será el mínimo valor de </w:t>
      </w:r>
      <w:r>
        <w:rPr>
          <w:rFonts w:ascii="Arial" w:eastAsia="Arial" w:hAnsi="Arial" w:cs="Arial"/>
          <w:b/>
          <w:i/>
        </w:rPr>
        <w:t xml:space="preserve">n </w:t>
      </w:r>
      <w:r>
        <w:rPr>
          <w:rFonts w:ascii="Arial" w:eastAsia="Arial" w:hAnsi="Arial" w:cs="Arial"/>
          <w:i/>
        </w:rPr>
        <w:t xml:space="preserve">para el que se cumple la siguiente desigualdad, habiéndose realizado todas las inversiones para </w:t>
      </w:r>
      <w:r>
        <w:rPr>
          <w:rFonts w:ascii="Arial" w:eastAsia="Arial" w:hAnsi="Arial" w:cs="Arial"/>
          <w:i/>
        </w:rPr>
        <w:t>la correcta ejecución de las obligaciones previstas en el contrato:</w:t>
      </w:r>
      <w:r>
        <w:rPr>
          <w:rFonts w:ascii="Times New Roman" w:eastAsia="Times New Roman" w:hAnsi="Times New Roman" w:cs="Times New Roman"/>
          <w:sz w:val="24"/>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0"/>
        <w:ind w:left="-29"/>
      </w:pPr>
      <w:r>
        <w:rPr>
          <w:noProof/>
        </w:rPr>
        <mc:AlternateContent>
          <mc:Choice Requires="wpg">
            <w:drawing>
              <wp:inline distT="0" distB="0" distL="0" distR="0">
                <wp:extent cx="5436997" cy="530352"/>
                <wp:effectExtent l="0" t="0" r="0" b="0"/>
                <wp:docPr id="500442" name="Group 500442"/>
                <wp:cNvGraphicFramePr/>
                <a:graphic xmlns:a="http://schemas.openxmlformats.org/drawingml/2006/main">
                  <a:graphicData uri="http://schemas.microsoft.com/office/word/2010/wordprocessingGroup">
                    <wpg:wgp>
                      <wpg:cNvGrpSpPr/>
                      <wpg:grpSpPr>
                        <a:xfrm>
                          <a:off x="0" y="0"/>
                          <a:ext cx="5436997" cy="530352"/>
                          <a:chOff x="0" y="0"/>
                          <a:chExt cx="5436997" cy="530352"/>
                        </a:xfrm>
                      </wpg:grpSpPr>
                      <wps:wsp>
                        <wps:cNvPr id="567234" name="Shape 567234"/>
                        <wps:cNvSpPr/>
                        <wps:spPr>
                          <a:xfrm>
                            <a:off x="0" y="11013"/>
                            <a:ext cx="5436997" cy="496824"/>
                          </a:xfrm>
                          <a:custGeom>
                            <a:avLst/>
                            <a:gdLst/>
                            <a:ahLst/>
                            <a:cxnLst/>
                            <a:rect l="0" t="0" r="0" b="0"/>
                            <a:pathLst>
                              <a:path w="5436997" h="496824">
                                <a:moveTo>
                                  <a:pt x="0" y="0"/>
                                </a:moveTo>
                                <a:lnTo>
                                  <a:pt x="5436997" y="0"/>
                                </a:lnTo>
                                <a:lnTo>
                                  <a:pt x="5436997" y="496824"/>
                                </a:lnTo>
                                <a:lnTo>
                                  <a:pt x="0" y="4968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1261" name="Rectangle 51261"/>
                        <wps:cNvSpPr/>
                        <wps:spPr>
                          <a:xfrm>
                            <a:off x="2194890" y="192699"/>
                            <a:ext cx="268769"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262" name="Rectangle 51262"/>
                        <wps:cNvSpPr/>
                        <wps:spPr>
                          <a:xfrm>
                            <a:off x="2568270" y="76875"/>
                            <a:ext cx="256811" cy="202692"/>
                          </a:xfrm>
                          <a:prstGeom prst="rect">
                            <a:avLst/>
                          </a:prstGeom>
                          <a:ln>
                            <a:noFill/>
                          </a:ln>
                        </wps:spPr>
                        <wps:txbx>
                          <w:txbxContent>
                            <w:p w:rsidR="00FF384B" w:rsidRDefault="003E3BA9">
                              <w:r>
                                <w:rPr>
                                  <w:rFonts w:ascii="Cambria Math" w:eastAsia="Cambria Math" w:hAnsi="Cambria Math" w:cs="Cambria Math"/>
                                  <w:sz w:val="24"/>
                                </w:rPr>
                                <w:t>𝑭𝑪</w:t>
                              </w:r>
                            </w:p>
                          </w:txbxContent>
                        </wps:txbx>
                        <wps:bodyPr horzOverflow="overflow" vert="horz" lIns="0" tIns="0" rIns="0" bIns="0" rtlCol="0">
                          <a:noAutofit/>
                        </wps:bodyPr>
                      </wps:wsp>
                      <wps:wsp>
                        <wps:cNvPr id="51263" name="Rectangle 51263"/>
                        <wps:cNvSpPr/>
                        <wps:spPr>
                          <a:xfrm>
                            <a:off x="2761818" y="141732"/>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1264" name="Rectangle 51264"/>
                        <wps:cNvSpPr/>
                        <wps:spPr>
                          <a:xfrm>
                            <a:off x="2421966"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265" name="Rectangle 51265"/>
                        <wps:cNvSpPr/>
                        <wps:spPr>
                          <a:xfrm>
                            <a:off x="2485974" y="294807"/>
                            <a:ext cx="112292" cy="202692"/>
                          </a:xfrm>
                          <a:prstGeom prst="rect">
                            <a:avLst/>
                          </a:prstGeom>
                          <a:ln>
                            <a:noFill/>
                          </a:ln>
                        </wps:spPr>
                        <wps:txbx>
                          <w:txbxContent>
                            <w:p w:rsidR="00FF384B" w:rsidRDefault="003E3BA9">
                              <w:r>
                                <w:rPr>
                                  <w:rFonts w:ascii="Cambria Math" w:eastAsia="Cambria Math" w:hAnsi="Cambria Math" w:cs="Cambria Math"/>
                                  <w:sz w:val="24"/>
                                </w:rPr>
                                <w:t>1</w:t>
                              </w:r>
                            </w:p>
                          </w:txbxContent>
                        </wps:txbx>
                        <wps:bodyPr horzOverflow="overflow" vert="horz" lIns="0" tIns="0" rIns="0" bIns="0" rtlCol="0">
                          <a:noAutofit/>
                        </wps:bodyPr>
                      </wps:wsp>
                      <wps:wsp>
                        <wps:cNvPr id="51266" name="Rectangle 51266"/>
                        <wps:cNvSpPr/>
                        <wps:spPr>
                          <a:xfrm>
                            <a:off x="2603322" y="294807"/>
                            <a:ext cx="151411"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267" name="Rectangle 51267"/>
                        <wps:cNvSpPr/>
                        <wps:spPr>
                          <a:xfrm>
                            <a:off x="2751150" y="294807"/>
                            <a:ext cx="123034" cy="202692"/>
                          </a:xfrm>
                          <a:prstGeom prst="rect">
                            <a:avLst/>
                          </a:prstGeom>
                          <a:ln>
                            <a:noFill/>
                          </a:ln>
                        </wps:spPr>
                        <wps:txbx>
                          <w:txbxContent>
                            <w:p w:rsidR="00FF384B" w:rsidRDefault="003E3BA9">
                              <w:r>
                                <w:rPr>
                                  <w:rFonts w:ascii="Cambria Math" w:eastAsia="Cambria Math" w:hAnsi="Cambria Math" w:cs="Cambria Math"/>
                                  <w:sz w:val="24"/>
                                </w:rPr>
                                <w:t>𝒃</w:t>
                              </w:r>
                            </w:p>
                          </w:txbxContent>
                        </wps:txbx>
                        <wps:bodyPr horzOverflow="overflow" vert="horz" lIns="0" tIns="0" rIns="0" bIns="0" rtlCol="0">
                          <a:noAutofit/>
                        </wps:bodyPr>
                      </wps:wsp>
                      <wps:wsp>
                        <wps:cNvPr id="51268" name="Rectangle 51268"/>
                        <wps:cNvSpPr/>
                        <wps:spPr>
                          <a:xfrm>
                            <a:off x="2844114" y="288711"/>
                            <a:ext cx="84117"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269" name="Rectangle 51269"/>
                        <wps:cNvSpPr/>
                        <wps:spPr>
                          <a:xfrm>
                            <a:off x="2908122" y="283464"/>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67235" name="Shape 567235"/>
                        <wps:cNvSpPr/>
                        <wps:spPr>
                          <a:xfrm>
                            <a:off x="2421966" y="262472"/>
                            <a:ext cx="536448" cy="10668"/>
                          </a:xfrm>
                          <a:custGeom>
                            <a:avLst/>
                            <a:gdLst/>
                            <a:ahLst/>
                            <a:cxnLst/>
                            <a:rect l="0" t="0" r="0" b="0"/>
                            <a:pathLst>
                              <a:path w="536448" h="10668">
                                <a:moveTo>
                                  <a:pt x="0" y="0"/>
                                </a:moveTo>
                                <a:lnTo>
                                  <a:pt x="536448" y="0"/>
                                </a:lnTo>
                                <a:lnTo>
                                  <a:pt x="53644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1" name="Rectangle 51271"/>
                        <wps:cNvSpPr/>
                        <wps:spPr>
                          <a:xfrm>
                            <a:off x="2260422" y="0"/>
                            <a:ext cx="93111" cy="143912"/>
                          </a:xfrm>
                          <a:prstGeom prst="rect">
                            <a:avLst/>
                          </a:prstGeom>
                          <a:ln>
                            <a:noFill/>
                          </a:ln>
                        </wps:spPr>
                        <wps:txbx>
                          <w:txbxContent>
                            <w:p w:rsidR="00FF384B" w:rsidRDefault="003E3BA9">
                              <w:r>
                                <w:rPr>
                                  <w:rFonts w:ascii="Cambria Math" w:eastAsia="Cambria Math" w:hAnsi="Cambria Math" w:cs="Cambria Math"/>
                                  <w:sz w:val="17"/>
                                </w:rPr>
                                <w:t>𝒏</w:t>
                              </w:r>
                            </w:p>
                          </w:txbxContent>
                        </wps:txbx>
                        <wps:bodyPr horzOverflow="overflow" vert="horz" lIns="0" tIns="0" rIns="0" bIns="0" rtlCol="0">
                          <a:noAutofit/>
                        </wps:bodyPr>
                      </wps:wsp>
                      <wps:wsp>
                        <wps:cNvPr id="51272" name="Rectangle 51272"/>
                        <wps:cNvSpPr/>
                        <wps:spPr>
                          <a:xfrm>
                            <a:off x="2202510" y="422148"/>
                            <a:ext cx="60299" cy="143912"/>
                          </a:xfrm>
                          <a:prstGeom prst="rect">
                            <a:avLst/>
                          </a:prstGeom>
                          <a:ln>
                            <a:noFill/>
                          </a:ln>
                        </wps:spPr>
                        <wps:txbx>
                          <w:txbxContent>
                            <w:p w:rsidR="00FF384B" w:rsidRDefault="003E3BA9">
                              <w:r>
                                <w:rPr>
                                  <w:rFonts w:ascii="Cambria Math" w:eastAsia="Cambria Math" w:hAnsi="Cambria Math" w:cs="Cambria Math"/>
                                  <w:sz w:val="17"/>
                                </w:rPr>
                                <w:t>𝒕</w:t>
                              </w:r>
                            </w:p>
                          </w:txbxContent>
                        </wps:txbx>
                        <wps:bodyPr horzOverflow="overflow" vert="horz" lIns="0" tIns="0" rIns="0" bIns="0" rtlCol="0">
                          <a:noAutofit/>
                        </wps:bodyPr>
                      </wps:wsp>
                      <wps:wsp>
                        <wps:cNvPr id="51273" name="Rectangle 51273"/>
                        <wps:cNvSpPr/>
                        <wps:spPr>
                          <a:xfrm>
                            <a:off x="2248230" y="422148"/>
                            <a:ext cx="104768" cy="143912"/>
                          </a:xfrm>
                          <a:prstGeom prst="rect">
                            <a:avLst/>
                          </a:prstGeom>
                          <a:ln>
                            <a:noFill/>
                          </a:ln>
                        </wps:spPr>
                        <wps:txbx>
                          <w:txbxContent>
                            <w:p w:rsidR="00FF384B" w:rsidRDefault="003E3BA9">
                              <w:r>
                                <w:rPr>
                                  <w:rFonts w:ascii="Cambria Math" w:eastAsia="Cambria Math" w:hAnsi="Cambria Math" w:cs="Cambria Math"/>
                                  <w:sz w:val="17"/>
                                </w:rPr>
                                <w:t>=</w:t>
                              </w:r>
                            </w:p>
                          </w:txbxContent>
                        </wps:txbx>
                        <wps:bodyPr horzOverflow="overflow" vert="horz" lIns="0" tIns="0" rIns="0" bIns="0" rtlCol="0">
                          <a:noAutofit/>
                        </wps:bodyPr>
                      </wps:wsp>
                      <wps:wsp>
                        <wps:cNvPr id="51274" name="Rectangle 51274"/>
                        <wps:cNvSpPr/>
                        <wps:spPr>
                          <a:xfrm>
                            <a:off x="2327478" y="422148"/>
                            <a:ext cx="83325" cy="143912"/>
                          </a:xfrm>
                          <a:prstGeom prst="rect">
                            <a:avLst/>
                          </a:prstGeom>
                          <a:ln>
                            <a:noFill/>
                          </a:ln>
                        </wps:spPr>
                        <wps:txbx>
                          <w:txbxContent>
                            <w:p w:rsidR="00FF384B" w:rsidRDefault="003E3BA9">
                              <w:r>
                                <w:rPr>
                                  <w:rFonts w:ascii="Cambria Math" w:eastAsia="Cambria Math" w:hAnsi="Cambria Math" w:cs="Cambria Math"/>
                                  <w:sz w:val="17"/>
                                </w:rPr>
                                <w:t>0</w:t>
                              </w:r>
                            </w:p>
                          </w:txbxContent>
                        </wps:txbx>
                        <wps:bodyPr horzOverflow="overflow" vert="horz" lIns="0" tIns="0" rIns="0" bIns="0" rtlCol="0">
                          <a:noAutofit/>
                        </wps:bodyPr>
                      </wps:wsp>
                      <wps:wsp>
                        <wps:cNvPr id="51275" name="Rectangle 51275"/>
                        <wps:cNvSpPr/>
                        <wps:spPr>
                          <a:xfrm>
                            <a:off x="3001086" y="192699"/>
                            <a:ext cx="151816" cy="202692"/>
                          </a:xfrm>
                          <a:prstGeom prst="rect">
                            <a:avLst/>
                          </a:prstGeom>
                          <a:ln>
                            <a:noFill/>
                          </a:ln>
                        </wps:spPr>
                        <wps:txbx>
                          <w:txbxContent>
                            <w:p w:rsidR="00FF384B" w:rsidRDefault="003E3BA9">
                              <w:r>
                                <w:rPr>
                                  <w:rFonts w:ascii="Cambria Math" w:eastAsia="Cambria Math" w:hAnsi="Cambria Math" w:cs="Cambria Math"/>
                                  <w:sz w:val="24"/>
                                </w:rPr>
                                <w:t>≥</w:t>
                              </w:r>
                            </w:p>
                          </w:txbxContent>
                        </wps:txbx>
                        <wps:bodyPr horzOverflow="overflow" vert="horz" lIns="0" tIns="0" rIns="0" bIns="0" rtlCol="0">
                          <a:noAutofit/>
                        </wps:bodyPr>
                      </wps:wsp>
                      <wps:wsp>
                        <wps:cNvPr id="51276" name="Rectangle 51276"/>
                        <wps:cNvSpPr/>
                        <wps:spPr>
                          <a:xfrm>
                            <a:off x="3158058" y="192699"/>
                            <a:ext cx="112292" cy="202692"/>
                          </a:xfrm>
                          <a:prstGeom prst="rect">
                            <a:avLst/>
                          </a:prstGeom>
                          <a:ln>
                            <a:noFill/>
                          </a:ln>
                        </wps:spPr>
                        <wps:txbx>
                          <w:txbxContent>
                            <w:p w:rsidR="00FF384B" w:rsidRDefault="003E3BA9">
                              <w:r>
                                <w:rPr>
                                  <w:rFonts w:ascii="Cambria Math" w:eastAsia="Cambria Math" w:hAnsi="Cambria Math" w:cs="Cambria Math"/>
                                  <w:sz w:val="24"/>
                                </w:rPr>
                                <w:t>0</w:t>
                              </w:r>
                            </w:p>
                          </w:txbxContent>
                        </wps:txbx>
                        <wps:bodyPr horzOverflow="overflow" vert="horz" lIns="0" tIns="0" rIns="0" bIns="0" rtlCol="0">
                          <a:noAutofit/>
                        </wps:bodyPr>
                      </wps:wsp>
                      <wps:wsp>
                        <wps:cNvPr id="51277" name="Rectangle 51277"/>
                        <wps:cNvSpPr/>
                        <wps:spPr>
                          <a:xfrm>
                            <a:off x="3242132" y="175453"/>
                            <a:ext cx="50673" cy="224379"/>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0442" style="width:428.11pt;height:41.76pt;mso-position-horizontal-relative:char;mso-position-vertical-relative:line" coordsize="54369,5303">
                <v:shape id="Shape 567236" style="position:absolute;width:54369;height:4968;left:0;top:110;" coordsize="5436997,496824" path="m0,0l5436997,0l5436997,496824l0,496824l0,0">
                  <v:stroke weight="0pt" endcap="flat" joinstyle="miter" miterlimit="10" on="false" color="#000000" opacity="0"/>
                  <v:fill on="true" color="#f2f2f2"/>
                </v:shape>
                <v:rect id="Rectangle 51261" style="position:absolute;width:2687;height:2026;left:21948;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262" style="position:absolute;width:2568;height:2026;left:25682;top:768;" filled="f" stroked="f">
                  <v:textbox inset="0,0,0,0">
                    <w:txbxContent>
                      <w:p>
                        <w:pPr>
                          <w:spacing w:before="0" w:after="160" w:line="259" w:lineRule="auto"/>
                        </w:pPr>
                        <w:r>
                          <w:rPr>
                            <w:rFonts w:cs="Cambria Math" w:hAnsi="Cambria Math" w:eastAsia="Cambria Math" w:ascii="Cambria Math"/>
                            <w:sz w:val="24"/>
                          </w:rPr>
                          <w:t xml:space="preserve">𝑭𝑪</w:t>
                        </w:r>
                      </w:p>
                    </w:txbxContent>
                  </v:textbox>
                </v:rect>
                <v:rect id="Rectangle 51263" style="position:absolute;width:602;height:1439;left:27618;top:1417;"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1264" style="position:absolute;width:841;height:2026;left:24219;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265" style="position:absolute;width:1122;height:2026;left:24859;top:2948;" filled="f" stroked="f">
                  <v:textbox inset="0,0,0,0">
                    <w:txbxContent>
                      <w:p>
                        <w:pPr>
                          <w:spacing w:before="0" w:after="160" w:line="259" w:lineRule="auto"/>
                        </w:pPr>
                        <w:r>
                          <w:rPr>
                            <w:rFonts w:cs="Cambria Math" w:hAnsi="Cambria Math" w:eastAsia="Cambria Math" w:ascii="Cambria Math"/>
                            <w:sz w:val="24"/>
                          </w:rPr>
                          <w:t xml:space="preserve">1</w:t>
                        </w:r>
                      </w:p>
                    </w:txbxContent>
                  </v:textbox>
                </v:rect>
                <v:rect id="Rectangle 51266" style="position:absolute;width:1514;height:2026;left:26033;top:2948;"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267" style="position:absolute;width:1230;height:2026;left:27511;top:2948;" filled="f" stroked="f">
                  <v:textbox inset="0,0,0,0">
                    <w:txbxContent>
                      <w:p>
                        <w:pPr>
                          <w:spacing w:before="0" w:after="160" w:line="259" w:lineRule="auto"/>
                        </w:pPr>
                        <w:r>
                          <w:rPr>
                            <w:rFonts w:cs="Cambria Math" w:hAnsi="Cambria Math" w:eastAsia="Cambria Math" w:ascii="Cambria Math"/>
                            <w:sz w:val="24"/>
                          </w:rPr>
                          <w:t xml:space="preserve">𝒃</w:t>
                        </w:r>
                      </w:p>
                    </w:txbxContent>
                  </v:textbox>
                </v:rect>
                <v:rect id="Rectangle 51268" style="position:absolute;width:841;height:2026;left:28441;top:288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269" style="position:absolute;width:602;height:1439;left:29081;top:2834;"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shape id="Shape 567237" style="position:absolute;width:5364;height:106;left:24219;top:2624;" coordsize="536448,10668" path="m0,0l536448,0l536448,10668l0,10668l0,0">
                  <v:stroke weight="0pt" endcap="flat" joinstyle="miter" miterlimit="10" on="false" color="#000000" opacity="0"/>
                  <v:fill on="true" color="#000000"/>
                </v:shape>
                <v:rect id="Rectangle 51271" style="position:absolute;width:931;height:1439;left:22604;top:0;" filled="f" stroked="f">
                  <v:textbox inset="0,0,0,0">
                    <w:txbxContent>
                      <w:p>
                        <w:pPr>
                          <w:spacing w:before="0" w:after="160" w:line="259" w:lineRule="auto"/>
                        </w:pPr>
                        <w:r>
                          <w:rPr>
                            <w:rFonts w:cs="Cambria Math" w:hAnsi="Cambria Math" w:eastAsia="Cambria Math" w:ascii="Cambria Math"/>
                            <w:sz w:val="17"/>
                          </w:rPr>
                          <w:t xml:space="preserve">𝒏</w:t>
                        </w:r>
                      </w:p>
                    </w:txbxContent>
                  </v:textbox>
                </v:rect>
                <v:rect id="Rectangle 51272" style="position:absolute;width:602;height:1439;left:22025;top:4221;" filled="f" stroked="f">
                  <v:textbox inset="0,0,0,0">
                    <w:txbxContent>
                      <w:p>
                        <w:pPr>
                          <w:spacing w:before="0" w:after="160" w:line="259" w:lineRule="auto"/>
                        </w:pPr>
                        <w:r>
                          <w:rPr>
                            <w:rFonts w:cs="Cambria Math" w:hAnsi="Cambria Math" w:eastAsia="Cambria Math" w:ascii="Cambria Math"/>
                            <w:sz w:val="17"/>
                          </w:rPr>
                          <w:t xml:space="preserve">𝒕</w:t>
                        </w:r>
                      </w:p>
                    </w:txbxContent>
                  </v:textbox>
                </v:rect>
                <v:rect id="Rectangle 51273" style="position:absolute;width:1047;height:1439;left:22482;top:4221;" filled="f" stroked="f">
                  <v:textbox inset="0,0,0,0">
                    <w:txbxContent>
                      <w:p>
                        <w:pPr>
                          <w:spacing w:before="0" w:after="160" w:line="259" w:lineRule="auto"/>
                        </w:pPr>
                        <w:r>
                          <w:rPr>
                            <w:rFonts w:cs="Cambria Math" w:hAnsi="Cambria Math" w:eastAsia="Cambria Math" w:ascii="Cambria Math"/>
                            <w:sz w:val="17"/>
                          </w:rPr>
                          <w:t xml:space="preserve">=</w:t>
                        </w:r>
                      </w:p>
                    </w:txbxContent>
                  </v:textbox>
                </v:rect>
                <v:rect id="Rectangle 51274" style="position:absolute;width:833;height:1439;left:23274;top:4221;" filled="f" stroked="f">
                  <v:textbox inset="0,0,0,0">
                    <w:txbxContent>
                      <w:p>
                        <w:pPr>
                          <w:spacing w:before="0" w:after="160" w:line="259" w:lineRule="auto"/>
                        </w:pPr>
                        <w:r>
                          <w:rPr>
                            <w:rFonts w:cs="Cambria Math" w:hAnsi="Cambria Math" w:eastAsia="Cambria Math" w:ascii="Cambria Math"/>
                            <w:sz w:val="17"/>
                          </w:rPr>
                          <w:t xml:space="preserve">0</w:t>
                        </w:r>
                      </w:p>
                    </w:txbxContent>
                  </v:textbox>
                </v:rect>
                <v:rect id="Rectangle 51275" style="position:absolute;width:1518;height:2026;left:30010;top:1926;"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51276" style="position:absolute;width:1122;height:2026;left:31580;top:1926;" filled="f" stroked="f">
                  <v:textbox inset="0,0,0,0">
                    <w:txbxContent>
                      <w:p>
                        <w:pPr>
                          <w:spacing w:before="0" w:after="160" w:line="259" w:lineRule="auto"/>
                        </w:pPr>
                        <w:r>
                          <w:rPr>
                            <w:rFonts w:cs="Cambria Math" w:hAnsi="Cambria Math" w:eastAsia="Cambria Math" w:ascii="Cambria Math"/>
                            <w:sz w:val="24"/>
                          </w:rPr>
                          <w:t xml:space="preserve">0</w:t>
                        </w:r>
                      </w:p>
                    </w:txbxContent>
                  </v:textbox>
                </v:rect>
                <v:rect id="Rectangle 51277" style="position:absolute;width:506;height:2243;left:32421;top:17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Siendo </w:t>
      </w:r>
    </w:p>
    <w:p w:rsidR="00FF384B" w:rsidRDefault="003E3BA9">
      <w:pPr>
        <w:spacing w:after="29"/>
      </w:pPr>
      <w:r>
        <w:rPr>
          <w:rFonts w:ascii="Arial" w:eastAsia="Arial" w:hAnsi="Arial" w:cs="Arial"/>
          <w:i/>
        </w:rPr>
        <w:t xml:space="preserve"> </w:t>
      </w:r>
    </w:p>
    <w:p w:rsidR="00FF384B" w:rsidRDefault="003E3BA9">
      <w:pPr>
        <w:numPr>
          <w:ilvl w:val="0"/>
          <w:numId w:val="313"/>
        </w:numPr>
        <w:spacing w:after="4" w:line="247" w:lineRule="auto"/>
        <w:ind w:right="244" w:hanging="360"/>
        <w:jc w:val="both"/>
      </w:pPr>
      <w:r>
        <w:rPr>
          <w:rFonts w:ascii="Arial" w:eastAsia="Arial" w:hAnsi="Arial" w:cs="Arial"/>
          <w:b/>
          <w:i/>
        </w:rPr>
        <w:t>t</w:t>
      </w:r>
      <w:r>
        <w:rPr>
          <w:rFonts w:ascii="Arial" w:eastAsia="Arial" w:hAnsi="Arial" w:cs="Arial"/>
          <w:i/>
        </w:rPr>
        <w:t xml:space="preserve"> son los años medidos en números enteros. </w:t>
      </w:r>
      <w:r>
        <w:rPr>
          <w:rFonts w:ascii="Times New Roman" w:eastAsia="Times New Roman" w:hAnsi="Times New Roman" w:cs="Times New Roman"/>
          <w:sz w:val="24"/>
        </w:rPr>
        <w:t xml:space="preserve"> </w:t>
      </w:r>
    </w:p>
    <w:p w:rsidR="00FF384B" w:rsidRDefault="003E3BA9">
      <w:pPr>
        <w:numPr>
          <w:ilvl w:val="0"/>
          <w:numId w:val="313"/>
        </w:numPr>
        <w:spacing w:after="4" w:line="247" w:lineRule="auto"/>
        <w:ind w:right="244" w:hanging="360"/>
        <w:jc w:val="both"/>
      </w:pPr>
      <w:r>
        <w:rPr>
          <w:rFonts w:ascii="Arial" w:eastAsia="Arial" w:hAnsi="Arial" w:cs="Arial"/>
          <w:b/>
          <w:i/>
        </w:rPr>
        <w:t>FC</w:t>
      </w:r>
      <w:r>
        <w:rPr>
          <w:rFonts w:ascii="Arial" w:eastAsia="Arial" w:hAnsi="Arial" w:cs="Arial"/>
          <w:b/>
          <w:i/>
          <w:vertAlign w:val="subscript"/>
        </w:rPr>
        <w:t>t</w:t>
      </w:r>
      <w:r>
        <w:rPr>
          <w:rFonts w:ascii="Arial" w:eastAsia="Arial" w:hAnsi="Arial" w:cs="Arial"/>
          <w:b/>
          <w:i/>
        </w:rPr>
        <w:t xml:space="preserve"> </w:t>
      </w:r>
      <w:r>
        <w:rPr>
          <w:rFonts w:ascii="Arial" w:eastAsia="Arial" w:hAnsi="Arial" w:cs="Arial"/>
          <w:i/>
        </w:rPr>
        <w:t>es el flujo de caja esperado del año t.</w:t>
      </w:r>
      <w:r>
        <w:rPr>
          <w:rFonts w:ascii="Times New Roman" w:eastAsia="Times New Roman" w:hAnsi="Times New Roman" w:cs="Times New Roman"/>
          <w:sz w:val="24"/>
        </w:rPr>
        <w:t xml:space="preserve"> </w:t>
      </w:r>
    </w:p>
    <w:p w:rsidR="00FF384B" w:rsidRDefault="003E3BA9">
      <w:pPr>
        <w:numPr>
          <w:ilvl w:val="0"/>
          <w:numId w:val="313"/>
        </w:numPr>
        <w:spacing w:after="4" w:line="247" w:lineRule="auto"/>
        <w:ind w:right="244" w:hanging="360"/>
        <w:jc w:val="both"/>
      </w:pPr>
      <w:r>
        <w:rPr>
          <w:rFonts w:ascii="Arial" w:eastAsia="Arial" w:hAnsi="Arial" w:cs="Arial"/>
          <w:b/>
          <w:i/>
        </w:rPr>
        <w:t xml:space="preserve">b </w:t>
      </w:r>
      <w:r>
        <w:rPr>
          <w:rFonts w:ascii="Arial" w:eastAsia="Arial" w:hAnsi="Arial" w:cs="Arial"/>
          <w:i/>
        </w:rPr>
        <w:t>es la tasa de descuento, cuyo valor será el rendimiento medio en el mercado secundario de la deuda del Estado a diez años en los últimos seis meses incrementado en un diferencial de 200 puntos básicos.</w:t>
      </w:r>
      <w:r>
        <w:rPr>
          <w:rFonts w:ascii="Times New Roman" w:eastAsia="Times New Roman" w:hAnsi="Times New Roman" w:cs="Times New Roman"/>
          <w:sz w:val="24"/>
        </w:rPr>
        <w:t xml:space="preserve">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rFonts w:ascii="Arial" w:eastAsia="Arial" w:hAnsi="Arial" w:cs="Arial"/>
          <w:i/>
        </w:rPr>
        <w:t>El Flujo de Caja procedente de las actividades de e</w:t>
      </w:r>
      <w:r>
        <w:rPr>
          <w:rFonts w:ascii="Arial" w:eastAsia="Arial" w:hAnsi="Arial" w:cs="Arial"/>
          <w:i/>
        </w:rPr>
        <w:t>xplotación, que es la diferencia entre los cobros y los pagos ocasionados por las actividades que constituyen la principal fuente de ingresos del contrato, teniendo en cuenta tanto las contraprestaciones abonadas por los usuarios como por la Administración</w:t>
      </w:r>
      <w:r>
        <w:rPr>
          <w:rFonts w:ascii="Arial" w:eastAsia="Arial" w:hAnsi="Arial" w:cs="Arial"/>
          <w:i/>
        </w:rPr>
        <w:t xml:space="preserve">, así como por otras actividades que no pueden ser calificadas como de inversión y financiación. </w:t>
      </w:r>
    </w:p>
    <w:p w:rsidR="00FF384B" w:rsidRDefault="003E3BA9">
      <w:pPr>
        <w:spacing w:after="110"/>
        <w:ind w:left="360"/>
      </w:pPr>
      <w:r>
        <w:rPr>
          <w:rFonts w:ascii="Arial" w:eastAsia="Arial" w:hAnsi="Arial" w:cs="Arial"/>
          <w:i/>
        </w:rPr>
        <w:t xml:space="preserve"> </w:t>
      </w:r>
    </w:p>
    <w:p w:rsidR="00FF384B" w:rsidRDefault="003E3BA9">
      <w:pPr>
        <w:spacing w:after="0"/>
      </w:pPr>
      <w:r>
        <w:rPr>
          <w:rFonts w:ascii="Times New Roman" w:eastAsia="Times New Roman" w:hAnsi="Times New Roman" w:cs="Times New Roman"/>
          <w:i/>
          <w:sz w:val="24"/>
        </w:rPr>
        <w:t xml:space="preserve"> </w:t>
      </w:r>
    </w:p>
    <w:p w:rsidR="00FF384B" w:rsidRDefault="003E3BA9">
      <w:pPr>
        <w:pStyle w:val="Ttulo3"/>
        <w:ind w:right="256"/>
      </w:pPr>
      <w:r>
        <w:t xml:space="preserve">PERIODO DE LA RECUPERACIÓN DE LA INVERSIÓN DEL CONTRATO </w:t>
      </w:r>
    </w:p>
    <w:p w:rsidR="00FF384B" w:rsidRDefault="003E3BA9">
      <w:pPr>
        <w:spacing w:after="4" w:line="247" w:lineRule="auto"/>
        <w:ind w:left="10" w:right="244" w:hanging="10"/>
        <w:jc w:val="both"/>
      </w:pPr>
      <w:r>
        <w:rPr>
          <w:rFonts w:ascii="Arial" w:eastAsia="Arial" w:hAnsi="Arial" w:cs="Arial"/>
          <w:i/>
        </w:rPr>
        <w:t xml:space="preserve">A continuación, se procede a determinar el periodo de recuperación de la inversión del contrato de gestión de residuos, limpieza viaria y del litoral del municipio de Candelaria. </w:t>
      </w:r>
    </w:p>
    <w:p w:rsidR="00FF384B" w:rsidRDefault="003E3BA9">
      <w:pPr>
        <w:spacing w:after="0"/>
      </w:pPr>
      <w:r>
        <w:rPr>
          <w:rFonts w:ascii="Arial" w:eastAsia="Arial" w:hAnsi="Arial" w:cs="Arial"/>
          <w:i/>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40864" behindDoc="0" locked="0" layoutInCell="1" allowOverlap="1">
                <wp:simplePos x="0" y="0"/>
                <wp:positionH relativeFrom="page">
                  <wp:posOffset>8302118</wp:posOffset>
                </wp:positionH>
                <wp:positionV relativeFrom="page">
                  <wp:posOffset>6514084</wp:posOffset>
                </wp:positionV>
                <wp:extent cx="524148" cy="3797300"/>
                <wp:effectExtent l="0" t="0" r="0" b="0"/>
                <wp:wrapSquare wrapText="bothSides"/>
                <wp:docPr id="523320" name="Group 52332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1507" name="Picture 51507"/>
                          <pic:cNvPicPr/>
                        </pic:nvPicPr>
                        <pic:blipFill>
                          <a:blip r:embed="rId62"/>
                          <a:stretch>
                            <a:fillRect/>
                          </a:stretch>
                        </pic:blipFill>
                        <pic:spPr>
                          <a:xfrm rot="-5399999">
                            <a:off x="-1720849" y="1720849"/>
                            <a:ext cx="3797300" cy="355601"/>
                          </a:xfrm>
                          <a:prstGeom prst="rect">
                            <a:avLst/>
                          </a:prstGeom>
                        </pic:spPr>
                      </pic:pic>
                      <wps:wsp>
                        <wps:cNvPr id="51508" name="Rectangle 5150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1509" name="Rectangle 5150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3320" style="width:41.2715pt;height:299pt;position:absolute;mso-position-horizontal-relative:page;mso-position-horizontal:absolute;margin-left:653.71pt;mso-position-vertical-relative:page;margin-top:512.92pt;" coordsize="5241,37973">
                <v:shape id="Picture 51507" style="position:absolute;width:37973;height:3556;left:-17208;top:17208;rotation:-89;" filled="f">
                  <v:imagedata r:id="rId63"/>
                </v:shape>
                <v:rect id="Rectangle 5150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150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275 de 353 </w:t>
                        </w:r>
                      </w:p>
                    </w:txbxContent>
                  </v:textbox>
                </v:rect>
                <w10:wrap type="square"/>
              </v:group>
            </w:pict>
          </mc:Fallback>
        </mc:AlternateContent>
      </w:r>
      <w:r>
        <w:rPr>
          <w:rFonts w:ascii="Arial" w:eastAsia="Arial" w:hAnsi="Arial" w:cs="Arial"/>
          <w:i/>
        </w:rPr>
        <w:t>El estudio económico realizado, establece los siguientes cost</w:t>
      </w:r>
      <w:r>
        <w:rPr>
          <w:rFonts w:ascii="Arial" w:eastAsia="Arial" w:hAnsi="Arial" w:cs="Arial"/>
          <w:i/>
        </w:rPr>
        <w:t xml:space="preserve">es del servicio para el año 2021: </w:t>
      </w:r>
    </w:p>
    <w:p w:rsidR="00FF384B" w:rsidRDefault="003E3BA9">
      <w:pPr>
        <w:spacing w:after="0"/>
      </w:pPr>
      <w:r>
        <w:rPr>
          <w:rFonts w:ascii="Times New Roman" w:eastAsia="Times New Roman" w:hAnsi="Times New Roman" w:cs="Times New Roman"/>
          <w:i/>
          <w:sz w:val="24"/>
        </w:rPr>
        <w:t xml:space="preserve"> </w:t>
      </w:r>
    </w:p>
    <w:tbl>
      <w:tblPr>
        <w:tblStyle w:val="TableGrid"/>
        <w:tblW w:w="8469" w:type="dxa"/>
        <w:tblInd w:w="0" w:type="dxa"/>
        <w:tblCellMar>
          <w:top w:w="7" w:type="dxa"/>
          <w:left w:w="106" w:type="dxa"/>
          <w:bottom w:w="0" w:type="dxa"/>
          <w:right w:w="76" w:type="dxa"/>
        </w:tblCellMar>
        <w:tblLook w:val="04A0" w:firstRow="1" w:lastRow="0" w:firstColumn="1" w:lastColumn="0" w:noHBand="0" w:noVBand="1"/>
      </w:tblPr>
      <w:tblGrid>
        <w:gridCol w:w="941"/>
        <w:gridCol w:w="1039"/>
        <w:gridCol w:w="985"/>
        <w:gridCol w:w="828"/>
        <w:gridCol w:w="970"/>
        <w:gridCol w:w="836"/>
        <w:gridCol w:w="1063"/>
        <w:gridCol w:w="876"/>
        <w:gridCol w:w="932"/>
      </w:tblGrid>
      <w:tr w:rsidR="00FF384B">
        <w:trPr>
          <w:trHeight w:val="458"/>
        </w:trPr>
        <w:tc>
          <w:tcPr>
            <w:tcW w:w="941"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left="24"/>
            </w:pPr>
            <w:r>
              <w:rPr>
                <w:rFonts w:ascii="Times New Roman" w:eastAsia="Times New Roman" w:hAnsi="Times New Roman" w:cs="Times New Roman"/>
                <w:b/>
                <w:i/>
                <w:sz w:val="13"/>
              </w:rPr>
              <w:t xml:space="preserve">PERSONAL </w:t>
            </w:r>
          </w:p>
        </w:tc>
        <w:tc>
          <w:tcPr>
            <w:tcW w:w="1039"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b/>
                <w:i/>
                <w:sz w:val="13"/>
              </w:rPr>
              <w:t xml:space="preserve">MEDIOS MATERIALES </w:t>
            </w:r>
          </w:p>
        </w:tc>
        <w:tc>
          <w:tcPr>
            <w:tcW w:w="985"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32"/>
              <w:jc w:val="center"/>
            </w:pPr>
            <w:r>
              <w:rPr>
                <w:rFonts w:ascii="Times New Roman" w:eastAsia="Times New Roman" w:hAnsi="Times New Roman" w:cs="Times New Roman"/>
                <w:b/>
                <w:i/>
                <w:sz w:val="13"/>
              </w:rPr>
              <w:t xml:space="preserve">AMORTIZ. </w:t>
            </w:r>
          </w:p>
        </w:tc>
        <w:tc>
          <w:tcPr>
            <w:tcW w:w="82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b/>
                <w:i/>
                <w:sz w:val="13"/>
              </w:rPr>
              <w:t xml:space="preserve">TASA DISP. </w:t>
            </w:r>
          </w:p>
        </w:tc>
        <w:tc>
          <w:tcPr>
            <w:tcW w:w="970"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b/>
                <w:i/>
                <w:sz w:val="13"/>
              </w:rPr>
              <w:t xml:space="preserve">PAPELERAS - RCD </w:t>
            </w:r>
          </w:p>
        </w:tc>
        <w:tc>
          <w:tcPr>
            <w:tcW w:w="83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b/>
                <w:i/>
                <w:sz w:val="13"/>
              </w:rPr>
              <w:t xml:space="preserve">GG (5%) + BI (6%) </w:t>
            </w:r>
          </w:p>
        </w:tc>
        <w:tc>
          <w:tcPr>
            <w:tcW w:w="1063"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pPr>
            <w:r>
              <w:rPr>
                <w:rFonts w:ascii="Times New Roman" w:eastAsia="Times New Roman" w:hAnsi="Times New Roman" w:cs="Times New Roman"/>
                <w:b/>
                <w:i/>
                <w:sz w:val="13"/>
              </w:rPr>
              <w:t xml:space="preserve">CONCIENCIA. </w:t>
            </w:r>
          </w:p>
        </w:tc>
        <w:tc>
          <w:tcPr>
            <w:tcW w:w="87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7"/>
            </w:pPr>
            <w:r>
              <w:rPr>
                <w:rFonts w:ascii="Times New Roman" w:eastAsia="Times New Roman" w:hAnsi="Times New Roman" w:cs="Times New Roman"/>
                <w:b/>
                <w:i/>
                <w:sz w:val="13"/>
              </w:rPr>
              <w:t xml:space="preserve">INGRESOS </w:t>
            </w:r>
          </w:p>
          <w:p w:rsidR="00FF384B" w:rsidRDefault="003E3BA9">
            <w:pPr>
              <w:spacing w:after="0"/>
              <w:ind w:left="1" w:right="4"/>
              <w:jc w:val="center"/>
            </w:pPr>
            <w:r>
              <w:rPr>
                <w:rFonts w:ascii="Times New Roman" w:eastAsia="Times New Roman" w:hAnsi="Times New Roman" w:cs="Times New Roman"/>
                <w:b/>
                <w:i/>
                <w:sz w:val="13"/>
              </w:rPr>
              <w:t xml:space="preserve">EELL + PyC </w:t>
            </w:r>
          </w:p>
        </w:tc>
        <w:tc>
          <w:tcPr>
            <w:tcW w:w="932" w:type="dxa"/>
            <w:tcBorders>
              <w:top w:val="single" w:sz="4" w:space="0" w:color="000000"/>
              <w:left w:val="single" w:sz="4" w:space="0" w:color="000000"/>
              <w:bottom w:val="single" w:sz="4" w:space="0" w:color="000000"/>
              <w:right w:val="single" w:sz="4" w:space="0" w:color="000000"/>
            </w:tcBorders>
            <w:vAlign w:val="center"/>
          </w:tcPr>
          <w:p w:rsidR="00FF384B" w:rsidRDefault="003E3BA9">
            <w:pPr>
              <w:spacing w:after="0"/>
              <w:ind w:right="37"/>
              <w:jc w:val="center"/>
            </w:pPr>
            <w:r>
              <w:rPr>
                <w:rFonts w:ascii="Times New Roman" w:eastAsia="Times New Roman" w:hAnsi="Times New Roman" w:cs="Times New Roman"/>
                <w:b/>
                <w:i/>
                <w:sz w:val="13"/>
              </w:rPr>
              <w:t xml:space="preserve">SUMA </w:t>
            </w:r>
          </w:p>
        </w:tc>
      </w:tr>
      <w:tr w:rsidR="00FF384B">
        <w:trPr>
          <w:trHeight w:val="307"/>
        </w:trPr>
        <w:tc>
          <w:tcPr>
            <w:tcW w:w="941"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i/>
                <w:sz w:val="13"/>
              </w:rPr>
              <w:t xml:space="preserve">1.870.715,18 € </w:t>
            </w:r>
          </w:p>
        </w:tc>
        <w:tc>
          <w:tcPr>
            <w:tcW w:w="1039"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5"/>
              <w:jc w:val="center"/>
            </w:pPr>
            <w:r>
              <w:rPr>
                <w:rFonts w:ascii="Times New Roman" w:eastAsia="Times New Roman" w:hAnsi="Times New Roman" w:cs="Times New Roman"/>
                <w:i/>
                <w:sz w:val="13"/>
              </w:rPr>
              <w:t xml:space="preserve">278.588,32 € </w:t>
            </w:r>
          </w:p>
        </w:tc>
        <w:tc>
          <w:tcPr>
            <w:tcW w:w="98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1"/>
              <w:jc w:val="center"/>
            </w:pPr>
            <w:r>
              <w:rPr>
                <w:rFonts w:ascii="Times New Roman" w:eastAsia="Times New Roman" w:hAnsi="Times New Roman" w:cs="Times New Roman"/>
                <w:i/>
                <w:sz w:val="13"/>
              </w:rPr>
              <w:t xml:space="preserve">114.1847,23 € </w:t>
            </w:r>
          </w:p>
        </w:tc>
        <w:tc>
          <w:tcPr>
            <w:tcW w:w="828"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i/>
                <w:sz w:val="13"/>
              </w:rPr>
              <w:t xml:space="preserve">407.112,37 € </w:t>
            </w:r>
          </w:p>
        </w:tc>
        <w:tc>
          <w:tcPr>
            <w:tcW w:w="970"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3"/>
              <w:jc w:val="center"/>
            </w:pPr>
            <w:r>
              <w:rPr>
                <w:rFonts w:ascii="Times New Roman" w:eastAsia="Times New Roman" w:hAnsi="Times New Roman" w:cs="Times New Roman"/>
                <w:i/>
                <w:sz w:val="13"/>
              </w:rPr>
              <w:t xml:space="preserve">8.000,00 € </w:t>
            </w:r>
          </w:p>
        </w:tc>
        <w:tc>
          <w:tcPr>
            <w:tcW w:w="83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i/>
                <w:sz w:val="13"/>
              </w:rPr>
              <w:t xml:space="preserve">294.646,01 € </w:t>
            </w:r>
          </w:p>
        </w:tc>
        <w:tc>
          <w:tcPr>
            <w:tcW w:w="1063"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right="33"/>
              <w:jc w:val="center"/>
            </w:pPr>
            <w:r>
              <w:rPr>
                <w:rFonts w:ascii="Times New Roman" w:eastAsia="Times New Roman" w:hAnsi="Times New Roman" w:cs="Times New Roman"/>
                <w:i/>
                <w:sz w:val="13"/>
              </w:rPr>
              <w:t xml:space="preserve">15.000,00 € </w:t>
            </w:r>
          </w:p>
        </w:tc>
        <w:tc>
          <w:tcPr>
            <w:tcW w:w="87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6" w:right="18"/>
              <w:jc w:val="center"/>
            </w:pPr>
            <w:r>
              <w:rPr>
                <w:rFonts w:ascii="Times New Roman" w:eastAsia="Times New Roman" w:hAnsi="Times New Roman" w:cs="Times New Roman"/>
                <w:i/>
                <w:sz w:val="13"/>
              </w:rPr>
              <w:t xml:space="preserve">-80.000,00 € </w:t>
            </w:r>
          </w:p>
        </w:tc>
        <w:tc>
          <w:tcPr>
            <w:tcW w:w="932"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center"/>
            </w:pPr>
            <w:r>
              <w:rPr>
                <w:rFonts w:ascii="Times New Roman" w:eastAsia="Times New Roman" w:hAnsi="Times New Roman" w:cs="Times New Roman"/>
                <w:i/>
                <w:sz w:val="13"/>
              </w:rPr>
              <w:t xml:space="preserve">2.908.246,11 € </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rFonts w:ascii="Arial" w:eastAsia="Arial" w:hAnsi="Arial" w:cs="Arial"/>
          <w:i/>
        </w:rPr>
        <w:t xml:space="preserve">Para el estudio del período de recuperación de la inversión del contrato se han tomado las siguientes consideraciones: </w:t>
      </w:r>
    </w:p>
    <w:p w:rsidR="00FF384B" w:rsidRDefault="003E3BA9">
      <w:pPr>
        <w:spacing w:after="0"/>
      </w:pPr>
      <w:r>
        <w:rPr>
          <w:rFonts w:ascii="Times New Roman" w:eastAsia="Times New Roman" w:hAnsi="Times New Roman" w:cs="Times New Roman"/>
          <w:i/>
          <w:sz w:val="24"/>
        </w:rPr>
        <w:t xml:space="preserve"> </w:t>
      </w:r>
    </w:p>
    <w:p w:rsidR="00FF384B" w:rsidRDefault="003E3BA9">
      <w:pPr>
        <w:numPr>
          <w:ilvl w:val="0"/>
          <w:numId w:val="314"/>
        </w:numPr>
        <w:spacing w:after="4" w:line="247" w:lineRule="auto"/>
        <w:ind w:right="244" w:hanging="360"/>
        <w:jc w:val="both"/>
      </w:pPr>
      <w:r>
        <w:rPr>
          <w:rFonts w:ascii="Arial" w:eastAsia="Arial" w:hAnsi="Arial" w:cs="Arial"/>
          <w:i/>
        </w:rPr>
        <w:t xml:space="preserve">El estudio económico determina los ingresos/costes para el año 2021 (año 1). Para el año 2 y sucesivos, se han considerado los siguientes incrementos: </w:t>
      </w:r>
    </w:p>
    <w:p w:rsidR="00FF384B" w:rsidRDefault="003E3BA9">
      <w:pPr>
        <w:spacing w:after="0"/>
        <w:ind w:left="720"/>
      </w:pPr>
      <w:r>
        <w:rPr>
          <w:rFonts w:ascii="Arial" w:eastAsia="Arial" w:hAnsi="Arial" w:cs="Arial"/>
          <w:i/>
        </w:rPr>
        <w:t xml:space="preserve"> </w:t>
      </w:r>
    </w:p>
    <w:p w:rsidR="00FF384B" w:rsidRDefault="003E3BA9">
      <w:pPr>
        <w:numPr>
          <w:ilvl w:val="1"/>
          <w:numId w:val="314"/>
        </w:numPr>
        <w:spacing w:after="4" w:line="250" w:lineRule="auto"/>
        <w:ind w:right="244" w:hanging="360"/>
        <w:jc w:val="both"/>
      </w:pPr>
      <w:r>
        <w:rPr>
          <w:rFonts w:ascii="Arial" w:eastAsia="Arial" w:hAnsi="Arial" w:cs="Arial"/>
          <w:i/>
        </w:rPr>
        <w:t xml:space="preserve">Incremento anual de costes de personal es de 2.1% (art 34 Convenio 1.25%). </w:t>
      </w:r>
    </w:p>
    <w:p w:rsidR="00FF384B" w:rsidRDefault="003E3BA9">
      <w:pPr>
        <w:numPr>
          <w:ilvl w:val="1"/>
          <w:numId w:val="314"/>
        </w:numPr>
        <w:spacing w:after="4" w:line="247" w:lineRule="auto"/>
        <w:ind w:right="244" w:hanging="360"/>
        <w:jc w:val="both"/>
      </w:pPr>
      <w:r>
        <w:rPr>
          <w:rFonts w:ascii="Arial" w:eastAsia="Arial" w:hAnsi="Arial" w:cs="Arial"/>
          <w:i/>
        </w:rPr>
        <w:t>Incremento anual del resto</w:t>
      </w:r>
      <w:r>
        <w:rPr>
          <w:rFonts w:ascii="Arial" w:eastAsia="Arial" w:hAnsi="Arial" w:cs="Arial"/>
          <w:i/>
        </w:rPr>
        <w:t xml:space="preserve"> de costes es de 1.4%. </w:t>
      </w:r>
    </w:p>
    <w:p w:rsidR="00FF384B" w:rsidRDefault="003E3BA9">
      <w:pPr>
        <w:spacing w:after="0"/>
        <w:ind w:left="1080"/>
      </w:pPr>
      <w:r>
        <w:rPr>
          <w:rFonts w:ascii="Times New Roman" w:eastAsia="Times New Roman" w:hAnsi="Times New Roman" w:cs="Times New Roman"/>
          <w:i/>
          <w:sz w:val="24"/>
        </w:rPr>
        <w:t xml:space="preserve"> </w:t>
      </w:r>
    </w:p>
    <w:p w:rsidR="00FF384B" w:rsidRDefault="003E3BA9">
      <w:pPr>
        <w:numPr>
          <w:ilvl w:val="0"/>
          <w:numId w:val="314"/>
        </w:numPr>
        <w:spacing w:after="4" w:line="247" w:lineRule="auto"/>
        <w:ind w:right="244" w:hanging="360"/>
        <w:jc w:val="both"/>
      </w:pPr>
      <w:r>
        <w:rPr>
          <w:rFonts w:ascii="Arial" w:eastAsia="Arial" w:hAnsi="Arial" w:cs="Arial"/>
          <w:i/>
        </w:rPr>
        <w:t xml:space="preserve">Dada una tasa de descuento del 2,30%. </w:t>
      </w:r>
    </w:p>
    <w:p w:rsidR="00FF384B" w:rsidRDefault="003E3BA9">
      <w:pPr>
        <w:spacing w:after="0"/>
        <w:ind w:left="720"/>
      </w:pPr>
      <w:r>
        <w:rPr>
          <w:rFonts w:ascii="Arial" w:eastAsia="Arial" w:hAnsi="Arial" w:cs="Arial"/>
          <w:i/>
        </w:rPr>
        <w:t xml:space="preserve"> </w:t>
      </w:r>
    </w:p>
    <w:p w:rsidR="00FF384B" w:rsidRDefault="003E3BA9">
      <w:pPr>
        <w:spacing w:after="12"/>
      </w:pPr>
      <w:r>
        <w:rPr>
          <w:noProof/>
        </w:rPr>
        <mc:AlternateContent>
          <mc:Choice Requires="wpg">
            <w:drawing>
              <wp:inline distT="0" distB="0" distL="0" distR="0">
                <wp:extent cx="5448046" cy="3104413"/>
                <wp:effectExtent l="0" t="0" r="0" b="0"/>
                <wp:docPr id="522116" name="Group 522116"/>
                <wp:cNvGraphicFramePr/>
                <a:graphic xmlns:a="http://schemas.openxmlformats.org/drawingml/2006/main">
                  <a:graphicData uri="http://schemas.microsoft.com/office/word/2010/wordprocessingGroup">
                    <wpg:wgp>
                      <wpg:cNvGrpSpPr/>
                      <wpg:grpSpPr>
                        <a:xfrm>
                          <a:off x="0" y="0"/>
                          <a:ext cx="5448046" cy="3104413"/>
                          <a:chOff x="0" y="0"/>
                          <a:chExt cx="5448046" cy="3104413"/>
                        </a:xfrm>
                      </wpg:grpSpPr>
                      <wps:wsp>
                        <wps:cNvPr id="51541" name="Rectangle 51541"/>
                        <wps:cNvSpPr/>
                        <wps:spPr>
                          <a:xfrm>
                            <a:off x="5409946" y="2798547"/>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542" name="Rectangle 51542"/>
                        <wps:cNvSpPr/>
                        <wps:spPr>
                          <a:xfrm>
                            <a:off x="305" y="2935707"/>
                            <a:ext cx="50673" cy="224380"/>
                          </a:xfrm>
                          <a:prstGeom prst="rect">
                            <a:avLst/>
                          </a:prstGeom>
                          <a:ln>
                            <a:noFill/>
                          </a:ln>
                        </wps:spPr>
                        <wps:txbx>
                          <w:txbxContent>
                            <w:p w:rsidR="00FF384B" w:rsidRDefault="003E3BA9">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51548" name="Picture 51548"/>
                          <pic:cNvPicPr/>
                        </pic:nvPicPr>
                        <pic:blipFill>
                          <a:blip r:embed="rId80"/>
                          <a:stretch>
                            <a:fillRect/>
                          </a:stretch>
                        </pic:blipFill>
                        <pic:spPr>
                          <a:xfrm>
                            <a:off x="0" y="0"/>
                            <a:ext cx="5401056" cy="2926080"/>
                          </a:xfrm>
                          <a:prstGeom prst="rect">
                            <a:avLst/>
                          </a:prstGeom>
                        </pic:spPr>
                      </pic:pic>
                      <wps:wsp>
                        <wps:cNvPr id="51625" name="Shape 51625"/>
                        <wps:cNvSpPr/>
                        <wps:spPr>
                          <a:xfrm>
                            <a:off x="5053584" y="2328672"/>
                            <a:ext cx="230124" cy="601980"/>
                          </a:xfrm>
                          <a:custGeom>
                            <a:avLst/>
                            <a:gdLst/>
                            <a:ahLst/>
                            <a:cxnLst/>
                            <a:rect l="0" t="0" r="0" b="0"/>
                            <a:pathLst>
                              <a:path w="230124" h="601980">
                                <a:moveTo>
                                  <a:pt x="0" y="601980"/>
                                </a:moveTo>
                                <a:lnTo>
                                  <a:pt x="230124" y="601980"/>
                                </a:lnTo>
                                <a:lnTo>
                                  <a:pt x="230124" y="0"/>
                                </a:lnTo>
                                <a:lnTo>
                                  <a:pt x="0" y="0"/>
                                </a:ln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116" style="width:428.98pt;height:244.442pt;mso-position-horizontal-relative:char;mso-position-vertical-relative:line" coordsize="54480,31044">
                <v:rect id="Rectangle 51541" style="position:absolute;width:506;height:2243;left:54099;top:2798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542" style="position:absolute;width:506;height:2243;left:3;top:29357;"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shape id="Picture 51548" style="position:absolute;width:54010;height:29260;left:0;top:0;" filled="f">
                  <v:imagedata r:id="rId71"/>
                </v:shape>
                <v:shape id="Shape 51625" style="position:absolute;width:2301;height:6019;left:50535;top:23286;" coordsize="230124,601980" path="m0,601980l230124,601980l230124,0l0,0x">
                  <v:stroke weight="0.96pt" endcap="flat" joinstyle="miter" miterlimit="10" on="true" color="#ff0000"/>
                  <v:fill on="false" color="#000000" opacity="0"/>
                </v:shape>
              </v:group>
            </w:pict>
          </mc:Fallback>
        </mc:AlternateContent>
      </w:r>
    </w:p>
    <w:tbl>
      <w:tblPr>
        <w:tblStyle w:val="TableGrid"/>
        <w:tblW w:w="8497" w:type="dxa"/>
        <w:tblInd w:w="4" w:type="dxa"/>
        <w:tblCellMar>
          <w:top w:w="18" w:type="dxa"/>
          <w:left w:w="22" w:type="dxa"/>
          <w:bottom w:w="1" w:type="dxa"/>
          <w:right w:w="33" w:type="dxa"/>
        </w:tblCellMar>
        <w:tblLook w:val="04A0" w:firstRow="1" w:lastRow="0" w:firstColumn="1" w:lastColumn="0" w:noHBand="0" w:noVBand="1"/>
      </w:tblPr>
      <w:tblGrid>
        <w:gridCol w:w="2946"/>
        <w:gridCol w:w="925"/>
        <w:gridCol w:w="925"/>
        <w:gridCol w:w="925"/>
        <w:gridCol w:w="925"/>
        <w:gridCol w:w="925"/>
        <w:gridCol w:w="926"/>
      </w:tblGrid>
      <w:tr w:rsidR="00FF384B">
        <w:trPr>
          <w:trHeight w:val="179"/>
        </w:trPr>
        <w:tc>
          <w:tcPr>
            <w:tcW w:w="2946" w:type="dxa"/>
            <w:tcBorders>
              <w:top w:val="single" w:sz="4" w:space="0" w:color="D4D4D4"/>
              <w:left w:val="single" w:sz="4" w:space="0" w:color="D4D4D4"/>
              <w:bottom w:val="single" w:sz="4" w:space="0" w:color="000000"/>
              <w:right w:val="single" w:sz="4" w:space="0" w:color="D4D4D4"/>
            </w:tcBorders>
            <w:vAlign w:val="center"/>
          </w:tcPr>
          <w:p w:rsidR="00FF384B" w:rsidRDefault="00FF384B"/>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ago-20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9"/>
              <w:jc w:val="center"/>
            </w:pPr>
            <w:r>
              <w:rPr>
                <w:rFonts w:ascii="Arial" w:eastAsia="Arial" w:hAnsi="Arial" w:cs="Arial"/>
                <w:sz w:val="14"/>
              </w:rPr>
              <w:t>sep-20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oct-20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20"/>
              <w:jc w:val="center"/>
            </w:pPr>
            <w:r>
              <w:rPr>
                <w:rFonts w:ascii="Arial" w:eastAsia="Arial" w:hAnsi="Arial" w:cs="Arial"/>
                <w:sz w:val="14"/>
              </w:rPr>
              <w:t>nov-20</w:t>
            </w:r>
          </w:p>
        </w:tc>
        <w:tc>
          <w:tcPr>
            <w:tcW w:w="925"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0"/>
              <w:jc w:val="center"/>
            </w:pPr>
            <w:r>
              <w:rPr>
                <w:rFonts w:ascii="Arial" w:eastAsia="Arial" w:hAnsi="Arial" w:cs="Arial"/>
                <w:sz w:val="14"/>
              </w:rPr>
              <w:t>dic-20</w:t>
            </w:r>
          </w:p>
        </w:tc>
        <w:tc>
          <w:tcPr>
            <w:tcW w:w="926" w:type="dxa"/>
            <w:tcBorders>
              <w:top w:val="single" w:sz="4" w:space="0" w:color="D4D4D4"/>
              <w:left w:val="single" w:sz="4" w:space="0" w:color="D4D4D4"/>
              <w:bottom w:val="single" w:sz="4" w:space="0" w:color="000000"/>
              <w:right w:val="single" w:sz="4" w:space="0" w:color="D4D4D4"/>
            </w:tcBorders>
          </w:tcPr>
          <w:p w:rsidR="00FF384B" w:rsidRDefault="003E3BA9">
            <w:pPr>
              <w:spacing w:after="0"/>
              <w:ind w:left="18"/>
              <w:jc w:val="center"/>
            </w:pPr>
            <w:r>
              <w:rPr>
                <w:rFonts w:ascii="Arial" w:eastAsia="Arial" w:hAnsi="Arial" w:cs="Arial"/>
                <w:sz w:val="14"/>
              </w:rPr>
              <w:t>ene-21</w:t>
            </w:r>
          </w:p>
        </w:tc>
      </w:tr>
      <w:tr w:rsidR="00FF384B">
        <w:trPr>
          <w:trHeight w:val="188"/>
        </w:trPr>
        <w:tc>
          <w:tcPr>
            <w:tcW w:w="294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1"/>
              <w:jc w:val="center"/>
            </w:pPr>
            <w:r>
              <w:rPr>
                <w:rFonts w:ascii="Arial" w:eastAsia="Arial" w:hAnsi="Arial" w:cs="Arial"/>
                <w:b/>
                <w:sz w:val="14"/>
              </w:rPr>
              <w:t>Rentabilidad obligaciones a 10 años.</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0,29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20"/>
              <w:jc w:val="center"/>
            </w:pPr>
            <w:r>
              <w:rPr>
                <w:rFonts w:ascii="Arial" w:eastAsia="Arial" w:hAnsi="Arial" w:cs="Arial"/>
                <w:sz w:val="14"/>
              </w:rPr>
              <w:t>0,27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0,17</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0,09</w:t>
            </w:r>
          </w:p>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9"/>
              <w:jc w:val="center"/>
            </w:pPr>
            <w:r>
              <w:rPr>
                <w:rFonts w:ascii="Arial" w:eastAsia="Arial" w:hAnsi="Arial" w:cs="Arial"/>
                <w:sz w:val="14"/>
              </w:rPr>
              <w:t>0,04</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18"/>
              <w:jc w:val="center"/>
            </w:pPr>
            <w:r>
              <w:rPr>
                <w:rFonts w:ascii="Arial" w:eastAsia="Arial" w:hAnsi="Arial" w:cs="Arial"/>
                <w:sz w:val="14"/>
              </w:rPr>
              <w:t>0,08</w:t>
            </w:r>
          </w:p>
        </w:tc>
      </w:tr>
      <w:tr w:rsidR="00FF384B">
        <w:trPr>
          <w:trHeight w:val="179"/>
        </w:trPr>
        <w:tc>
          <w:tcPr>
            <w:tcW w:w="4796" w:type="dxa"/>
            <w:gridSpan w:val="3"/>
            <w:vMerge w:val="restart"/>
            <w:tcBorders>
              <w:top w:val="single" w:sz="4" w:space="0" w:color="000000"/>
              <w:left w:val="single" w:sz="4" w:space="0" w:color="D4D4D4"/>
              <w:bottom w:val="single" w:sz="4" w:space="0" w:color="D4D4D4"/>
              <w:right w:val="single" w:sz="4" w:space="0" w:color="000000"/>
            </w:tcBorders>
            <w:vAlign w:val="bottom"/>
          </w:tcPr>
          <w:p w:rsidR="00FF384B" w:rsidRDefault="003E3BA9">
            <w:pPr>
              <w:spacing w:after="0"/>
            </w:pPr>
            <w:r>
              <w:rPr>
                <w:rFonts w:ascii="Arial" w:eastAsia="Arial" w:hAnsi="Arial" w:cs="Arial"/>
                <w:color w:val="808080"/>
                <w:sz w:val="12"/>
              </w:rPr>
              <w:t>Fuente: BANCO DE ESPAÑA/ SÍNTESIS DE INDICADORES 05/03/2021</w:t>
            </w:r>
          </w:p>
        </w:tc>
        <w:tc>
          <w:tcPr>
            <w:tcW w:w="925" w:type="dxa"/>
            <w:tcBorders>
              <w:top w:val="single" w:sz="4" w:space="0" w:color="000000"/>
              <w:left w:val="single" w:sz="4" w:space="0" w:color="D4D4D4"/>
              <w:bottom w:val="single" w:sz="4" w:space="0" w:color="000000"/>
              <w:right w:val="single" w:sz="4" w:space="0" w:color="D4D4D4"/>
            </w:tcBorders>
          </w:tcPr>
          <w:p w:rsidR="00FF384B" w:rsidRDefault="00FF384B"/>
        </w:tc>
        <w:tc>
          <w:tcPr>
            <w:tcW w:w="925" w:type="dxa"/>
            <w:tcBorders>
              <w:top w:val="single" w:sz="4" w:space="0" w:color="000000"/>
              <w:left w:val="single" w:sz="4" w:space="0" w:color="D4D4D4"/>
              <w:bottom w:val="single" w:sz="4" w:space="0" w:color="000000"/>
              <w:right w:val="single" w:sz="4" w:space="0" w:color="000000"/>
            </w:tcBorders>
          </w:tcPr>
          <w:p w:rsidR="00FF384B" w:rsidRDefault="00FF384B"/>
        </w:tc>
        <w:tc>
          <w:tcPr>
            <w:tcW w:w="925" w:type="dxa"/>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sz w:val="14"/>
              </w:rPr>
              <w:t>Media</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sz w:val="14"/>
              </w:rPr>
              <w:t>0,16</w:t>
            </w:r>
          </w:p>
        </w:tc>
      </w:tr>
      <w:tr w:rsidR="00FF384B">
        <w:trPr>
          <w:trHeight w:val="188"/>
        </w:trPr>
        <w:tc>
          <w:tcPr>
            <w:tcW w:w="0" w:type="auto"/>
            <w:gridSpan w:val="3"/>
            <w:vMerge/>
            <w:tcBorders>
              <w:top w:val="nil"/>
              <w:left w:val="single" w:sz="4" w:space="0" w:color="D4D4D4"/>
              <w:bottom w:val="single" w:sz="4" w:space="0" w:color="D4D4D4"/>
              <w:right w:val="single" w:sz="4" w:space="0" w:color="000000"/>
            </w:tcBorders>
          </w:tcPr>
          <w:p w:rsidR="00FF384B" w:rsidRDefault="00FF384B"/>
        </w:tc>
        <w:tc>
          <w:tcPr>
            <w:tcW w:w="2775" w:type="dxa"/>
            <w:gridSpan w:val="3"/>
            <w:tcBorders>
              <w:top w:val="single" w:sz="4" w:space="0" w:color="000000"/>
              <w:left w:val="single" w:sz="4" w:space="0" w:color="000000"/>
              <w:bottom w:val="single" w:sz="4" w:space="0" w:color="000000"/>
              <w:right w:val="single" w:sz="4" w:space="0" w:color="000000"/>
            </w:tcBorders>
          </w:tcPr>
          <w:p w:rsidR="00FF384B" w:rsidRDefault="003E3BA9">
            <w:pPr>
              <w:spacing w:after="0"/>
              <w:ind w:left="9"/>
            </w:pPr>
            <w:r>
              <w:rPr>
                <w:rFonts w:ascii="Arial" w:eastAsia="Arial" w:hAnsi="Arial" w:cs="Arial"/>
                <w:b/>
                <w:sz w:val="14"/>
              </w:rPr>
              <w:t>Tasa de descuento: Media+200 (b)</w:t>
            </w:r>
          </w:p>
        </w:tc>
        <w:tc>
          <w:tcPr>
            <w:tcW w:w="926" w:type="dxa"/>
            <w:tcBorders>
              <w:top w:val="single" w:sz="4" w:space="0" w:color="000000"/>
              <w:left w:val="single" w:sz="4" w:space="0" w:color="000000"/>
              <w:bottom w:val="single" w:sz="4" w:space="0" w:color="000000"/>
              <w:right w:val="single" w:sz="4" w:space="0" w:color="000000"/>
            </w:tcBorders>
          </w:tcPr>
          <w:p w:rsidR="00FF384B" w:rsidRDefault="003E3BA9">
            <w:pPr>
              <w:spacing w:after="0"/>
              <w:jc w:val="right"/>
            </w:pPr>
            <w:r>
              <w:rPr>
                <w:rFonts w:ascii="Arial" w:eastAsia="Arial" w:hAnsi="Arial" w:cs="Arial"/>
                <w:b/>
                <w:sz w:val="14"/>
              </w:rPr>
              <w:t>2,16</w:t>
            </w:r>
          </w:p>
        </w:tc>
      </w:tr>
    </w:tbl>
    <w:p w:rsidR="00FF384B" w:rsidRDefault="003E3BA9">
      <w:pPr>
        <w:spacing w:after="0"/>
      </w:pPr>
      <w:r>
        <w:rPr>
          <w:rFonts w:ascii="Times New Roman" w:eastAsia="Times New Roman" w:hAnsi="Times New Roman" w:cs="Times New Roman"/>
          <w:i/>
          <w:sz w:val="24"/>
        </w:rPr>
        <w:t xml:space="preserve"> </w:t>
      </w:r>
    </w:p>
    <w:p w:rsidR="00FF384B" w:rsidRDefault="003E3BA9">
      <w:pPr>
        <w:spacing w:after="4" w:line="247" w:lineRule="auto"/>
        <w:ind w:left="10" w:right="244" w:hanging="10"/>
        <w:jc w:val="both"/>
      </w:pPr>
      <w:r>
        <w:rPr>
          <w:noProof/>
        </w:rPr>
        <mc:AlternateContent>
          <mc:Choice Requires="wpg">
            <w:drawing>
              <wp:anchor distT="0" distB="0" distL="114300" distR="114300" simplePos="0" relativeHeight="251941888" behindDoc="0" locked="0" layoutInCell="1" allowOverlap="1">
                <wp:simplePos x="0" y="0"/>
                <wp:positionH relativeFrom="page">
                  <wp:posOffset>8302118</wp:posOffset>
                </wp:positionH>
                <wp:positionV relativeFrom="page">
                  <wp:posOffset>6514084</wp:posOffset>
                </wp:positionV>
                <wp:extent cx="524148" cy="3797300"/>
                <wp:effectExtent l="0" t="0" r="0" b="0"/>
                <wp:wrapTopAndBottom/>
                <wp:docPr id="522117" name="Group 52211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1627" name="Picture 51627"/>
                          <pic:cNvPicPr/>
                        </pic:nvPicPr>
                        <pic:blipFill>
                          <a:blip r:embed="rId62"/>
                          <a:stretch>
                            <a:fillRect/>
                          </a:stretch>
                        </pic:blipFill>
                        <pic:spPr>
                          <a:xfrm rot="-5399999">
                            <a:off x="-1720849" y="1720849"/>
                            <a:ext cx="3797300" cy="355601"/>
                          </a:xfrm>
                          <a:prstGeom prst="rect">
                            <a:avLst/>
                          </a:prstGeom>
                        </pic:spPr>
                      </pic:pic>
                      <wps:wsp>
                        <wps:cNvPr id="51628" name="Rectangle 51628"/>
                        <wps:cNvSpPr/>
                        <wps:spPr>
                          <a:xfrm rot="-5399999">
                            <a:off x="-1948520" y="1372739"/>
                            <a:ext cx="4735899" cy="113224"/>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1629" name="Rectangle 51629"/>
                        <wps:cNvSpPr/>
                        <wps:spPr>
                          <a:xfrm rot="-5399999">
                            <a:off x="-1735757" y="1509302"/>
                            <a:ext cx="4462772" cy="113224"/>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22117" style="width:41.2715pt;height:299pt;position:absolute;mso-position-horizontal-relative:page;mso-position-horizontal:absolute;margin-left:653.71pt;mso-position-vertical-relative:page;margin-top:512.92pt;" coordsize="5241,37973">
                <v:shape id="Picture 51627" style="position:absolute;width:37973;height:3556;left:-17208;top:17208;rotation:-89;" filled="f">
                  <v:imagedata r:id="rId63"/>
                </v:shape>
                <v:rect id="Rectangle 5162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162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276 de 353 </w:t>
                        </w:r>
                      </w:p>
                    </w:txbxContent>
                  </v:textbox>
                </v:rect>
                <w10:wrap type="topAndBottom"/>
              </v:group>
            </w:pict>
          </mc:Fallback>
        </mc:AlternateContent>
      </w:r>
      <w:r>
        <w:rPr>
          <w:rFonts w:ascii="Arial" w:eastAsia="Arial" w:hAnsi="Arial" w:cs="Arial"/>
          <w:i/>
        </w:rPr>
        <w:t>El periodo de recuperación de las inversiones se calcula en base de la normativa de aplicación en la siguiente tabla:</w:t>
      </w:r>
    </w:p>
    <w:p w:rsidR="00FF384B" w:rsidRDefault="00FF384B">
      <w:pPr>
        <w:sectPr w:rsidR="00FF384B">
          <w:headerReference w:type="even" r:id="rId125"/>
          <w:headerReference w:type="default" r:id="rId126"/>
          <w:footerReference w:type="even" r:id="rId127"/>
          <w:footerReference w:type="default" r:id="rId128"/>
          <w:headerReference w:type="first" r:id="rId129"/>
          <w:footerReference w:type="first" r:id="rId130"/>
          <w:pgSz w:w="14174" w:h="16838"/>
          <w:pgMar w:top="1997" w:right="2579" w:bottom="1447" w:left="2836" w:header="708" w:footer="687" w:gutter="0"/>
          <w:cols w:space="720"/>
        </w:sectPr>
      </w:pPr>
    </w:p>
    <w:p w:rsidR="00FF384B" w:rsidRDefault="003E3BA9">
      <w:pPr>
        <w:spacing w:after="0" w:line="250" w:lineRule="auto"/>
        <w:ind w:left="427" w:right="14447"/>
      </w:pPr>
      <w:r>
        <w:rPr>
          <w:rFonts w:ascii="Times New Roman" w:eastAsia="Times New Roman" w:hAnsi="Times New Roman" w:cs="Times New Roman"/>
          <w:i/>
          <w:sz w:val="24"/>
        </w:rPr>
        <w:t xml:space="preserve"> </w:t>
      </w:r>
      <w:r>
        <w:rPr>
          <w:rFonts w:ascii="Arial" w:eastAsia="Arial" w:hAnsi="Arial" w:cs="Arial"/>
          <w:i/>
        </w:rPr>
        <w:t xml:space="preserve"> </w:t>
      </w:r>
    </w:p>
    <w:tbl>
      <w:tblPr>
        <w:tblStyle w:val="TableGrid"/>
        <w:tblpPr w:vertAnchor="text" w:tblpX="147" w:tblpY="-5869"/>
        <w:tblOverlap w:val="never"/>
        <w:tblW w:w="13420" w:type="dxa"/>
        <w:tblInd w:w="0" w:type="dxa"/>
        <w:tblCellMar>
          <w:top w:w="9" w:type="dxa"/>
          <w:left w:w="20" w:type="dxa"/>
          <w:bottom w:w="0" w:type="dxa"/>
          <w:right w:w="20" w:type="dxa"/>
        </w:tblCellMar>
        <w:tblLook w:val="04A0" w:firstRow="1" w:lastRow="0" w:firstColumn="1" w:lastColumn="0" w:noHBand="0" w:noVBand="1"/>
      </w:tblPr>
      <w:tblGrid>
        <w:gridCol w:w="3160"/>
        <w:gridCol w:w="1273"/>
        <w:gridCol w:w="1581"/>
        <w:gridCol w:w="1179"/>
        <w:gridCol w:w="1038"/>
        <w:gridCol w:w="1037"/>
        <w:gridCol w:w="1037"/>
        <w:gridCol w:w="1038"/>
        <w:gridCol w:w="1038"/>
        <w:gridCol w:w="1037"/>
      </w:tblGrid>
      <w:tr w:rsidR="00FF384B">
        <w:trPr>
          <w:trHeight w:val="176"/>
        </w:trPr>
        <w:tc>
          <w:tcPr>
            <w:tcW w:w="3160" w:type="dxa"/>
            <w:tcBorders>
              <w:top w:val="single" w:sz="3" w:space="0" w:color="D4D4D4"/>
              <w:left w:val="single" w:sz="3" w:space="0" w:color="D4D4D4"/>
              <w:bottom w:val="single" w:sz="3" w:space="0" w:color="D4D4D4"/>
              <w:right w:val="nil"/>
            </w:tcBorders>
          </w:tcPr>
          <w:p w:rsidR="00FF384B" w:rsidRDefault="00FF384B"/>
        </w:tc>
        <w:tc>
          <w:tcPr>
            <w:tcW w:w="10259" w:type="dxa"/>
            <w:gridSpan w:val="9"/>
            <w:tcBorders>
              <w:top w:val="single" w:sz="3" w:space="0" w:color="D4D4D4"/>
              <w:left w:val="nil"/>
              <w:bottom w:val="single" w:sz="3" w:space="0" w:color="D4D4D4"/>
              <w:right w:val="single" w:sz="3" w:space="0" w:color="D4D4D4"/>
            </w:tcBorders>
          </w:tcPr>
          <w:p w:rsidR="00FF384B" w:rsidRDefault="003E3BA9">
            <w:pPr>
              <w:spacing w:after="0"/>
              <w:ind w:left="1759"/>
            </w:pPr>
            <w:r>
              <w:rPr>
                <w:rFonts w:ascii="Arial" w:eastAsia="Arial" w:hAnsi="Arial" w:cs="Arial"/>
                <w:b/>
                <w:sz w:val="13"/>
              </w:rPr>
              <w:t>PERIODO DE RECUPERACIÓN DE LA INVERSIÓN (PRI)</w:t>
            </w:r>
          </w:p>
        </w:tc>
      </w:tr>
      <w:tr w:rsidR="00FF384B">
        <w:trPr>
          <w:trHeight w:val="176"/>
        </w:trPr>
        <w:tc>
          <w:tcPr>
            <w:tcW w:w="3160" w:type="dxa"/>
            <w:tcBorders>
              <w:top w:val="single" w:sz="3" w:space="0" w:color="D4D4D4"/>
              <w:left w:val="single" w:sz="3" w:space="0" w:color="D4D4D4"/>
              <w:bottom w:val="single" w:sz="3" w:space="0" w:color="D4D4D4"/>
              <w:right w:val="single" w:sz="3" w:space="0" w:color="D4D4D4"/>
            </w:tcBorders>
          </w:tcPr>
          <w:p w:rsidR="00FF384B" w:rsidRDefault="00FF384B"/>
        </w:tc>
        <w:tc>
          <w:tcPr>
            <w:tcW w:w="1273" w:type="dxa"/>
            <w:tcBorders>
              <w:top w:val="single" w:sz="3" w:space="0" w:color="D4D4D4"/>
              <w:left w:val="single" w:sz="3" w:space="0" w:color="D4D4D4"/>
              <w:bottom w:val="single" w:sz="3" w:space="0" w:color="D4D4D4"/>
              <w:right w:val="single" w:sz="3" w:space="0" w:color="D4D4D4"/>
            </w:tcBorders>
          </w:tcPr>
          <w:p w:rsidR="00FF384B" w:rsidRDefault="00FF384B"/>
        </w:tc>
        <w:tc>
          <w:tcPr>
            <w:tcW w:w="1581" w:type="dxa"/>
            <w:tcBorders>
              <w:top w:val="single" w:sz="3" w:space="0" w:color="D4D4D4"/>
              <w:left w:val="single" w:sz="3" w:space="0" w:color="D4D4D4"/>
              <w:bottom w:val="single" w:sz="3" w:space="0" w:color="D4D4D4"/>
              <w:right w:val="single" w:sz="3" w:space="0" w:color="D4D4D4"/>
            </w:tcBorders>
          </w:tcPr>
          <w:p w:rsidR="00FF384B" w:rsidRDefault="00FF384B"/>
        </w:tc>
        <w:tc>
          <w:tcPr>
            <w:tcW w:w="1179"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8" w:type="dxa"/>
            <w:tcBorders>
              <w:top w:val="single" w:sz="3" w:space="0" w:color="D4D4D4"/>
              <w:left w:val="single" w:sz="3" w:space="0" w:color="D4D4D4"/>
              <w:bottom w:val="single" w:sz="3" w:space="0" w:color="D4D4D4"/>
              <w:right w:val="single" w:sz="3" w:space="0" w:color="D4D4D4"/>
            </w:tcBorders>
          </w:tcPr>
          <w:p w:rsidR="00FF384B" w:rsidRDefault="00FF384B"/>
        </w:tc>
        <w:tc>
          <w:tcPr>
            <w:tcW w:w="1037" w:type="dxa"/>
            <w:tcBorders>
              <w:top w:val="single" w:sz="3" w:space="0" w:color="D4D4D4"/>
              <w:left w:val="single" w:sz="3" w:space="0" w:color="D4D4D4"/>
              <w:bottom w:val="single" w:sz="3" w:space="0" w:color="D4D4D4"/>
              <w:right w:val="single" w:sz="3" w:space="0" w:color="D4D4D4"/>
            </w:tcBorders>
          </w:tcPr>
          <w:p w:rsidR="00FF384B" w:rsidRDefault="00FF384B"/>
        </w:tc>
      </w:tr>
      <w:tr w:rsidR="00FF384B">
        <w:trPr>
          <w:trHeight w:val="166"/>
        </w:trPr>
        <w:tc>
          <w:tcPr>
            <w:tcW w:w="3160" w:type="dxa"/>
            <w:tcBorders>
              <w:top w:val="single" w:sz="3" w:space="0" w:color="D4D4D4"/>
              <w:left w:val="single" w:sz="3" w:space="0" w:color="D4D4D4"/>
              <w:bottom w:val="single" w:sz="3" w:space="0" w:color="000000"/>
              <w:right w:val="nil"/>
            </w:tcBorders>
          </w:tcPr>
          <w:p w:rsidR="00FF384B" w:rsidRDefault="00FF384B"/>
        </w:tc>
        <w:tc>
          <w:tcPr>
            <w:tcW w:w="10259" w:type="dxa"/>
            <w:gridSpan w:val="9"/>
            <w:tcBorders>
              <w:top w:val="single" w:sz="3" w:space="0" w:color="D4D4D4"/>
              <w:left w:val="nil"/>
              <w:bottom w:val="single" w:sz="3" w:space="0" w:color="000000"/>
              <w:right w:val="single" w:sz="3" w:space="0" w:color="D4D4D4"/>
            </w:tcBorders>
          </w:tcPr>
          <w:p w:rsidR="00FF384B" w:rsidRDefault="003E3BA9">
            <w:pPr>
              <w:spacing w:after="0"/>
              <w:ind w:right="13"/>
              <w:jc w:val="right"/>
            </w:pPr>
            <w:r>
              <w:rPr>
                <w:rFonts w:ascii="Arial" w:eastAsia="Arial" w:hAnsi="Arial" w:cs="Arial"/>
                <w:sz w:val="13"/>
              </w:rPr>
              <w:t>EN Miles de €</w:t>
            </w:r>
          </w:p>
        </w:tc>
      </w:tr>
      <w:tr w:rsidR="00FF384B">
        <w:trPr>
          <w:trHeight w:val="177"/>
        </w:trPr>
        <w:tc>
          <w:tcPr>
            <w:tcW w:w="3160" w:type="dxa"/>
            <w:vMerge w:val="restart"/>
            <w:tcBorders>
              <w:top w:val="single" w:sz="3" w:space="0" w:color="000000"/>
              <w:left w:val="single" w:sz="3" w:space="0" w:color="000000"/>
              <w:bottom w:val="single" w:sz="3" w:space="0" w:color="000000"/>
              <w:right w:val="single" w:sz="3" w:space="0" w:color="000000"/>
            </w:tcBorders>
            <w:vAlign w:val="center"/>
          </w:tcPr>
          <w:p w:rsidR="00FF384B" w:rsidRDefault="003E3BA9">
            <w:pPr>
              <w:spacing w:after="0"/>
              <w:ind w:left="5"/>
              <w:jc w:val="center"/>
            </w:pPr>
            <w:r>
              <w:rPr>
                <w:rFonts w:ascii="Arial" w:eastAsia="Arial" w:hAnsi="Arial" w:cs="Arial"/>
                <w:b/>
                <w:sz w:val="16"/>
              </w:rPr>
              <w:t>CONCEPTO</w:t>
            </w:r>
          </w:p>
        </w:tc>
        <w:tc>
          <w:tcPr>
            <w:tcW w:w="10259" w:type="dxa"/>
            <w:gridSpan w:val="9"/>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Años</w:t>
            </w:r>
          </w:p>
        </w:tc>
      </w:tr>
      <w:tr w:rsidR="00FF384B">
        <w:trPr>
          <w:trHeight w:val="177"/>
        </w:trPr>
        <w:tc>
          <w:tcPr>
            <w:tcW w:w="0" w:type="auto"/>
            <w:vMerge/>
            <w:tcBorders>
              <w:top w:val="nil"/>
              <w:left w:val="single" w:sz="3" w:space="0" w:color="000000"/>
              <w:bottom w:val="nil"/>
              <w:right w:val="single" w:sz="3" w:space="0" w:color="000000"/>
            </w:tcBorders>
          </w:tcPr>
          <w:p w:rsidR="00FF384B" w:rsidRDefault="00FF384B"/>
        </w:tc>
        <w:tc>
          <w:tcPr>
            <w:tcW w:w="1273"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2021</w:t>
            </w:r>
          </w:p>
        </w:tc>
        <w:tc>
          <w:tcPr>
            <w:tcW w:w="1581"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2021</w:t>
            </w:r>
          </w:p>
        </w:tc>
        <w:tc>
          <w:tcPr>
            <w:tcW w:w="1179"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right="1"/>
              <w:jc w:val="center"/>
            </w:pPr>
            <w:r>
              <w:rPr>
                <w:rFonts w:ascii="Arial" w:eastAsia="Arial" w:hAnsi="Arial" w:cs="Arial"/>
                <w:b/>
                <w:color w:val="FFFFFF"/>
                <w:sz w:val="13"/>
              </w:rPr>
              <w:t>2022</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2023</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2024</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8"/>
              <w:jc w:val="center"/>
            </w:pPr>
            <w:r>
              <w:rPr>
                <w:rFonts w:ascii="Arial" w:eastAsia="Arial" w:hAnsi="Arial" w:cs="Arial"/>
                <w:b/>
                <w:color w:val="FFFFFF"/>
                <w:sz w:val="13"/>
              </w:rPr>
              <w:t>2025</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7"/>
              <w:jc w:val="center"/>
            </w:pPr>
            <w:r>
              <w:rPr>
                <w:rFonts w:ascii="Arial" w:eastAsia="Arial" w:hAnsi="Arial" w:cs="Arial"/>
                <w:b/>
                <w:color w:val="FFFFFF"/>
                <w:sz w:val="13"/>
              </w:rPr>
              <w:t>2026</w:t>
            </w:r>
          </w:p>
        </w:tc>
        <w:tc>
          <w:tcPr>
            <w:tcW w:w="1038"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2027</w:t>
            </w:r>
          </w:p>
        </w:tc>
        <w:tc>
          <w:tcPr>
            <w:tcW w:w="1037" w:type="dxa"/>
            <w:tcBorders>
              <w:top w:val="single" w:sz="3" w:space="0" w:color="000000"/>
              <w:left w:val="single" w:sz="3" w:space="0" w:color="000000"/>
              <w:bottom w:val="single" w:sz="3" w:space="0" w:color="000000"/>
              <w:right w:val="single" w:sz="3" w:space="0" w:color="000000"/>
            </w:tcBorders>
            <w:shd w:val="clear" w:color="auto" w:fill="948A54"/>
          </w:tcPr>
          <w:p w:rsidR="00FF384B" w:rsidRDefault="003E3BA9">
            <w:pPr>
              <w:spacing w:after="0"/>
              <w:ind w:left="6"/>
              <w:jc w:val="center"/>
            </w:pPr>
            <w:r>
              <w:rPr>
                <w:rFonts w:ascii="Arial" w:eastAsia="Arial" w:hAnsi="Arial" w:cs="Arial"/>
                <w:b/>
                <w:color w:val="FFFFFF"/>
                <w:sz w:val="13"/>
              </w:rPr>
              <w:t>2028</w:t>
            </w:r>
          </w:p>
        </w:tc>
      </w:tr>
      <w:tr w:rsidR="00FF384B">
        <w:trPr>
          <w:trHeight w:val="165"/>
        </w:trPr>
        <w:tc>
          <w:tcPr>
            <w:tcW w:w="0" w:type="auto"/>
            <w:vMerge/>
            <w:tcBorders>
              <w:top w:val="nil"/>
              <w:left w:val="single" w:sz="3" w:space="0" w:color="000000"/>
              <w:bottom w:val="single" w:sz="3" w:space="0" w:color="000000"/>
              <w:right w:val="single" w:sz="3" w:space="0" w:color="000000"/>
            </w:tcBorders>
            <w:vAlign w:val="center"/>
          </w:tcPr>
          <w:p w:rsidR="00FF384B" w:rsidRDefault="00FF384B"/>
        </w:tc>
        <w:tc>
          <w:tcPr>
            <w:tcW w:w="1273"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1"/>
              <w:jc w:val="center"/>
            </w:pPr>
            <w:r>
              <w:rPr>
                <w:rFonts w:ascii="Arial" w:eastAsia="Arial" w:hAnsi="Arial" w:cs="Arial"/>
                <w:sz w:val="10"/>
              </w:rPr>
              <w:t>0</w:t>
            </w:r>
          </w:p>
        </w:tc>
        <w:tc>
          <w:tcPr>
            <w:tcW w:w="1581"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1</w:t>
            </w:r>
          </w:p>
        </w:tc>
        <w:tc>
          <w:tcPr>
            <w:tcW w:w="1179"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left="6"/>
              <w:jc w:val="center"/>
            </w:pPr>
            <w:r>
              <w:rPr>
                <w:rFonts w:ascii="Arial" w:eastAsia="Arial" w:hAnsi="Arial" w:cs="Arial"/>
                <w:sz w:val="10"/>
              </w:rPr>
              <w:t>2</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3</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4</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5</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3"/>
              <w:jc w:val="center"/>
            </w:pPr>
            <w:r>
              <w:rPr>
                <w:rFonts w:ascii="Arial" w:eastAsia="Arial" w:hAnsi="Arial" w:cs="Arial"/>
                <w:sz w:val="10"/>
              </w:rPr>
              <w:t>6</w:t>
            </w:r>
          </w:p>
        </w:tc>
        <w:tc>
          <w:tcPr>
            <w:tcW w:w="1038"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4"/>
              <w:jc w:val="center"/>
            </w:pPr>
            <w:r>
              <w:rPr>
                <w:rFonts w:ascii="Arial" w:eastAsia="Arial" w:hAnsi="Arial" w:cs="Arial"/>
                <w:sz w:val="10"/>
              </w:rPr>
              <w:t>7</w:t>
            </w:r>
          </w:p>
        </w:tc>
        <w:tc>
          <w:tcPr>
            <w:tcW w:w="1037" w:type="dxa"/>
            <w:tcBorders>
              <w:top w:val="single" w:sz="3" w:space="0" w:color="000000"/>
              <w:left w:val="single" w:sz="3" w:space="0" w:color="000000"/>
              <w:bottom w:val="single" w:sz="3" w:space="0" w:color="000000"/>
              <w:right w:val="single" w:sz="3" w:space="0" w:color="000000"/>
            </w:tcBorders>
          </w:tcPr>
          <w:p w:rsidR="00FF384B" w:rsidRDefault="003E3BA9">
            <w:pPr>
              <w:spacing w:after="0"/>
              <w:ind w:right="5"/>
              <w:jc w:val="center"/>
            </w:pPr>
            <w:r>
              <w:rPr>
                <w:rFonts w:ascii="Arial" w:eastAsia="Arial" w:hAnsi="Arial" w:cs="Arial"/>
                <w:sz w:val="10"/>
              </w:rPr>
              <w:t>8</w:t>
            </w:r>
          </w:p>
        </w:tc>
      </w:tr>
      <w:tr w:rsidR="00FF384B">
        <w:trPr>
          <w:trHeight w:val="181"/>
        </w:trPr>
        <w:tc>
          <w:tcPr>
            <w:tcW w:w="3160" w:type="dxa"/>
            <w:tcBorders>
              <w:top w:val="single" w:sz="3" w:space="0" w:color="000000"/>
              <w:left w:val="single" w:sz="3" w:space="0" w:color="000000"/>
              <w:bottom w:val="nil"/>
              <w:right w:val="single" w:sz="3" w:space="0" w:color="000000"/>
            </w:tcBorders>
            <w:shd w:val="clear" w:color="auto" w:fill="C4BD97"/>
          </w:tcPr>
          <w:p w:rsidR="00FF384B" w:rsidRDefault="003E3BA9">
            <w:pPr>
              <w:spacing w:after="0"/>
              <w:ind w:left="8"/>
            </w:pPr>
            <w:r>
              <w:rPr>
                <w:rFonts w:ascii="Arial" w:eastAsia="Arial" w:hAnsi="Arial" w:cs="Arial"/>
                <w:b/>
                <w:sz w:val="13"/>
              </w:rPr>
              <w:t>INGRESOS ANUALES ESTIMADOS</w:t>
            </w:r>
          </w:p>
        </w:tc>
        <w:tc>
          <w:tcPr>
            <w:tcW w:w="1273"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581"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179"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8" w:type="dxa"/>
            <w:tcBorders>
              <w:top w:val="single" w:sz="3" w:space="0" w:color="000000"/>
              <w:left w:val="single" w:sz="3" w:space="0" w:color="000000"/>
              <w:bottom w:val="nil"/>
              <w:right w:val="single" w:sz="3" w:space="0" w:color="000000"/>
            </w:tcBorders>
            <w:shd w:val="clear" w:color="auto" w:fill="C4BD97"/>
          </w:tcPr>
          <w:p w:rsidR="00FF384B" w:rsidRDefault="00FF384B"/>
        </w:tc>
        <w:tc>
          <w:tcPr>
            <w:tcW w:w="1037" w:type="dxa"/>
            <w:tcBorders>
              <w:top w:val="single" w:sz="3" w:space="0" w:color="000000"/>
              <w:left w:val="single" w:sz="3" w:space="0" w:color="000000"/>
              <w:bottom w:val="nil"/>
              <w:right w:val="single" w:sz="3" w:space="0" w:color="000000"/>
            </w:tcBorders>
            <w:shd w:val="clear" w:color="auto" w:fill="C4BD97"/>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Contrato Ayto</w:t>
            </w:r>
          </w:p>
        </w:tc>
        <w:tc>
          <w:tcPr>
            <w:tcW w:w="1273" w:type="dxa"/>
            <w:tcBorders>
              <w:top w:val="nil"/>
              <w:left w:val="single" w:sz="3" w:space="0" w:color="000000"/>
              <w:bottom w:val="single" w:sz="3" w:space="0" w:color="D4D4D4"/>
              <w:right w:val="single" w:sz="3" w:space="0" w:color="000000"/>
            </w:tcBorders>
          </w:tcPr>
          <w:p w:rsidR="00FF384B" w:rsidRDefault="00FF384B"/>
        </w:tc>
        <w:tc>
          <w:tcPr>
            <w:tcW w:w="1581"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179"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w:t>
            </w:r>
            <w:r>
              <w:rPr>
                <w:rFonts w:ascii="Arial" w:eastAsia="Arial" w:hAnsi="Arial" w:cs="Arial"/>
                <w:sz w:val="13"/>
              </w:rPr>
              <w:t>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8" w:type="dxa"/>
            <w:tcBorders>
              <w:top w:val="nil"/>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2.908.246,11 €</w:t>
            </w:r>
          </w:p>
        </w:tc>
        <w:tc>
          <w:tcPr>
            <w:tcW w:w="1037" w:type="dxa"/>
            <w:tcBorders>
              <w:top w:val="nil"/>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2.908.246,11 €</w:t>
            </w:r>
          </w:p>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Venta Selectiva</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1"/>
            </w:pPr>
            <w:r>
              <w:rPr>
                <w:rFonts w:ascii="Arial" w:eastAsia="Arial" w:hAnsi="Arial" w:cs="Arial"/>
                <w:sz w:val="13"/>
              </w:rPr>
              <w:t xml:space="preserve">         80.000,00 €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50"/>
            </w:pPr>
            <w:r>
              <w:rPr>
                <w:rFonts w:ascii="Arial" w:eastAsia="Arial" w:hAnsi="Arial" w:cs="Arial"/>
                <w:sz w:val="13"/>
              </w:rPr>
              <w:t xml:space="preserve">         80.000,00 €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FF384B"/>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FF384B"/>
        </w:tc>
        <w:tc>
          <w:tcPr>
            <w:tcW w:w="1179"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8" w:type="dxa"/>
            <w:tcBorders>
              <w:top w:val="single" w:sz="3" w:space="0" w:color="D4D4D4"/>
              <w:left w:val="single" w:sz="3" w:space="0" w:color="000000"/>
              <w:bottom w:val="single" w:sz="3" w:space="0" w:color="D4D4D4"/>
              <w:right w:val="single" w:sz="3" w:space="0" w:color="000000"/>
            </w:tcBorders>
          </w:tcPr>
          <w:p w:rsidR="00FF384B" w:rsidRDefault="00FF384B"/>
        </w:tc>
        <w:tc>
          <w:tcPr>
            <w:tcW w:w="1037" w:type="dxa"/>
            <w:tcBorders>
              <w:top w:val="single" w:sz="3" w:space="0" w:color="D4D4D4"/>
              <w:left w:val="single" w:sz="3" w:space="0" w:color="000000"/>
              <w:bottom w:val="single" w:sz="3" w:space="0" w:color="D4D4D4"/>
              <w:right w:val="single" w:sz="3" w:space="0" w:color="000000"/>
            </w:tcBorders>
          </w:tcPr>
          <w:p w:rsidR="00FF384B" w:rsidRDefault="00FF384B"/>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FF384B"/>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FF384B"/>
        </w:tc>
        <w:tc>
          <w:tcPr>
            <w:tcW w:w="1179"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8" w:type="dxa"/>
            <w:tcBorders>
              <w:top w:val="single" w:sz="3" w:space="0" w:color="D4D4D4"/>
              <w:left w:val="single" w:sz="3" w:space="0" w:color="000000"/>
              <w:bottom w:val="nil"/>
              <w:right w:val="single" w:sz="3" w:space="0" w:color="000000"/>
            </w:tcBorders>
          </w:tcPr>
          <w:p w:rsidR="00FF384B" w:rsidRDefault="00FF384B"/>
        </w:tc>
        <w:tc>
          <w:tcPr>
            <w:tcW w:w="1037" w:type="dxa"/>
            <w:tcBorders>
              <w:top w:val="single" w:sz="3" w:space="0" w:color="D4D4D4"/>
              <w:left w:val="single" w:sz="3" w:space="0" w:color="000000"/>
              <w:bottom w:val="nil"/>
              <w:right w:val="single" w:sz="3" w:space="0" w:color="000000"/>
            </w:tcBorders>
          </w:tcPr>
          <w:p w:rsidR="00FF384B" w:rsidRDefault="00FF384B"/>
        </w:tc>
      </w:tr>
      <w:tr w:rsidR="00FF384B">
        <w:trPr>
          <w:trHeight w:val="172"/>
        </w:trPr>
        <w:tc>
          <w:tcPr>
            <w:tcW w:w="3160" w:type="dxa"/>
            <w:tcBorders>
              <w:top w:val="nil"/>
              <w:left w:val="single" w:sz="3" w:space="0" w:color="000000"/>
              <w:bottom w:val="nil"/>
              <w:right w:val="single" w:sz="3" w:space="0" w:color="000000"/>
            </w:tcBorders>
            <w:shd w:val="clear" w:color="auto" w:fill="C4BD97"/>
          </w:tcPr>
          <w:p w:rsidR="00FF384B" w:rsidRDefault="003E3BA9">
            <w:pPr>
              <w:spacing w:after="0"/>
            </w:pPr>
            <w:r>
              <w:rPr>
                <w:rFonts w:ascii="Arial" w:eastAsia="Arial" w:hAnsi="Arial" w:cs="Arial"/>
                <w:sz w:val="13"/>
              </w:rPr>
              <w:t>TOTAL INGRESOS</w:t>
            </w:r>
          </w:p>
        </w:tc>
        <w:tc>
          <w:tcPr>
            <w:tcW w:w="1273" w:type="dxa"/>
            <w:tcBorders>
              <w:top w:val="nil"/>
              <w:left w:val="single" w:sz="3" w:space="0" w:color="000000"/>
              <w:bottom w:val="nil"/>
              <w:right w:val="single" w:sz="3" w:space="0" w:color="000000"/>
            </w:tcBorders>
            <w:shd w:val="clear" w:color="auto" w:fill="C4BD97"/>
          </w:tcPr>
          <w:p w:rsidR="00FF384B" w:rsidRDefault="00FF384B"/>
        </w:tc>
        <w:tc>
          <w:tcPr>
            <w:tcW w:w="1581"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179"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w:t>
            </w:r>
            <w:r>
              <w:rPr>
                <w:rFonts w:ascii="Arial" w:eastAsia="Arial" w:hAnsi="Arial" w:cs="Arial"/>
                <w:sz w:val="13"/>
              </w:rPr>
              <w:t>2.988.246,11 €</w:t>
            </w:r>
          </w:p>
        </w:tc>
        <w:tc>
          <w:tcPr>
            <w:tcW w:w="1038" w:type="dxa"/>
            <w:tcBorders>
              <w:top w:val="nil"/>
              <w:left w:val="single" w:sz="3" w:space="0" w:color="000000"/>
              <w:bottom w:val="nil"/>
              <w:right w:val="single" w:sz="3" w:space="0" w:color="000000"/>
            </w:tcBorders>
            <w:shd w:val="clear" w:color="auto" w:fill="C4BD97"/>
          </w:tcPr>
          <w:p w:rsidR="00FF384B" w:rsidRDefault="003E3BA9">
            <w:pPr>
              <w:spacing w:after="0"/>
              <w:ind w:left="43"/>
            </w:pPr>
            <w:r>
              <w:rPr>
                <w:rFonts w:ascii="Arial" w:eastAsia="Arial" w:hAnsi="Arial" w:cs="Arial"/>
                <w:sz w:val="13"/>
              </w:rPr>
              <w:t xml:space="preserve">    2.988.246,11 €</w:t>
            </w:r>
          </w:p>
        </w:tc>
        <w:tc>
          <w:tcPr>
            <w:tcW w:w="1037" w:type="dxa"/>
            <w:tcBorders>
              <w:top w:val="nil"/>
              <w:left w:val="single" w:sz="3" w:space="0" w:color="000000"/>
              <w:bottom w:val="nil"/>
              <w:right w:val="single" w:sz="3" w:space="0" w:color="000000"/>
            </w:tcBorders>
            <w:shd w:val="clear" w:color="auto" w:fill="C4BD97"/>
          </w:tcPr>
          <w:p w:rsidR="00FF384B" w:rsidRDefault="003E3BA9">
            <w:pPr>
              <w:spacing w:after="0"/>
              <w:ind w:left="42"/>
            </w:pPr>
            <w:r>
              <w:rPr>
                <w:rFonts w:ascii="Arial" w:eastAsia="Arial" w:hAnsi="Arial" w:cs="Arial"/>
                <w:sz w:val="13"/>
              </w:rPr>
              <w:t xml:space="preserve">    2.988.246,11 €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80"/>
        </w:trPr>
        <w:tc>
          <w:tcPr>
            <w:tcW w:w="3160" w:type="dxa"/>
            <w:tcBorders>
              <w:top w:val="nil"/>
              <w:left w:val="single" w:sz="3" w:space="0" w:color="000000"/>
              <w:bottom w:val="nil"/>
              <w:right w:val="single" w:sz="3" w:space="0" w:color="000000"/>
            </w:tcBorders>
            <w:shd w:val="clear" w:color="auto" w:fill="FABF8F"/>
          </w:tcPr>
          <w:p w:rsidR="00FF384B" w:rsidRDefault="003E3BA9">
            <w:pPr>
              <w:spacing w:after="0"/>
            </w:pPr>
            <w:r>
              <w:rPr>
                <w:rFonts w:ascii="Arial" w:eastAsia="Arial" w:hAnsi="Arial" w:cs="Arial"/>
                <w:b/>
                <w:sz w:val="13"/>
              </w:rPr>
              <w:t>GASTOS ANUALES ESTIMADOS</w:t>
            </w:r>
          </w:p>
        </w:tc>
        <w:tc>
          <w:tcPr>
            <w:tcW w:w="1273" w:type="dxa"/>
            <w:tcBorders>
              <w:top w:val="nil"/>
              <w:left w:val="single" w:sz="3" w:space="0" w:color="000000"/>
              <w:bottom w:val="nil"/>
              <w:right w:val="single" w:sz="3" w:space="0" w:color="000000"/>
            </w:tcBorders>
            <w:shd w:val="clear" w:color="auto" w:fill="FABF8F"/>
          </w:tcPr>
          <w:p w:rsidR="00FF384B" w:rsidRDefault="00FF384B"/>
        </w:tc>
        <w:tc>
          <w:tcPr>
            <w:tcW w:w="1581" w:type="dxa"/>
            <w:tcBorders>
              <w:top w:val="nil"/>
              <w:left w:val="single" w:sz="3" w:space="0" w:color="000000"/>
              <w:bottom w:val="nil"/>
              <w:right w:val="single" w:sz="3" w:space="0" w:color="000000"/>
            </w:tcBorders>
            <w:shd w:val="clear" w:color="auto" w:fill="FABF8F"/>
          </w:tcPr>
          <w:p w:rsidR="00FF384B" w:rsidRDefault="00FF384B"/>
        </w:tc>
        <w:tc>
          <w:tcPr>
            <w:tcW w:w="1179"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8" w:type="dxa"/>
            <w:tcBorders>
              <w:top w:val="nil"/>
              <w:left w:val="single" w:sz="3" w:space="0" w:color="000000"/>
              <w:bottom w:val="nil"/>
              <w:right w:val="single" w:sz="3" w:space="0" w:color="000000"/>
            </w:tcBorders>
            <w:shd w:val="clear" w:color="auto" w:fill="FABF8F"/>
          </w:tcPr>
          <w:p w:rsidR="00FF384B" w:rsidRDefault="00FF384B"/>
        </w:tc>
        <w:tc>
          <w:tcPr>
            <w:tcW w:w="1037" w:type="dxa"/>
            <w:tcBorders>
              <w:top w:val="nil"/>
              <w:left w:val="single" w:sz="3" w:space="0" w:color="000000"/>
              <w:bottom w:val="nil"/>
              <w:right w:val="single" w:sz="3" w:space="0" w:color="000000"/>
            </w:tcBorders>
            <w:shd w:val="clear" w:color="auto" w:fill="FABF8F"/>
          </w:tcPr>
          <w:p w:rsidR="00FF384B" w:rsidRDefault="00FF384B"/>
        </w:tc>
      </w:tr>
      <w:tr w:rsidR="00FF384B">
        <w:trPr>
          <w:trHeight w:val="163"/>
        </w:trPr>
        <w:tc>
          <w:tcPr>
            <w:tcW w:w="3160" w:type="dxa"/>
            <w:tcBorders>
              <w:top w:val="nil"/>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Inversion parque movil</w:t>
            </w:r>
          </w:p>
        </w:tc>
        <w:tc>
          <w:tcPr>
            <w:tcW w:w="1273" w:type="dxa"/>
            <w:tcBorders>
              <w:top w:val="nil"/>
              <w:left w:val="single" w:sz="3" w:space="0" w:color="000000"/>
              <w:bottom w:val="single" w:sz="3" w:space="0" w:color="D4D4D4"/>
              <w:right w:val="single" w:sz="3" w:space="0" w:color="000000"/>
            </w:tcBorders>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single" w:sz="3" w:space="0" w:color="D4D4D4"/>
              <w:right w:val="single" w:sz="3" w:space="0" w:color="000000"/>
            </w:tcBorders>
          </w:tcPr>
          <w:p w:rsidR="00FF384B" w:rsidRDefault="00FF384B"/>
        </w:tc>
        <w:tc>
          <w:tcPr>
            <w:tcW w:w="1179"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8" w:type="dxa"/>
            <w:tcBorders>
              <w:top w:val="nil"/>
              <w:left w:val="single" w:sz="3" w:space="0" w:color="000000"/>
              <w:bottom w:val="single" w:sz="3" w:space="0" w:color="D4D4D4"/>
              <w:right w:val="single" w:sz="3" w:space="0" w:color="000000"/>
            </w:tcBorders>
          </w:tcPr>
          <w:p w:rsidR="00FF384B" w:rsidRDefault="00FF384B"/>
        </w:tc>
        <w:tc>
          <w:tcPr>
            <w:tcW w:w="1037" w:type="dxa"/>
            <w:tcBorders>
              <w:top w:val="nil"/>
              <w:left w:val="single" w:sz="3" w:space="0" w:color="000000"/>
              <w:bottom w:val="single" w:sz="3" w:space="0" w:color="D4D4D4"/>
              <w:right w:val="single" w:sz="3" w:space="0" w:color="000000"/>
            </w:tcBorders>
          </w:tcPr>
          <w:p w:rsidR="00FF384B" w:rsidRDefault="00FF384B"/>
        </w:tc>
      </w:tr>
      <w:tr w:rsidR="00FF384B">
        <w:trPr>
          <w:trHeight w:val="168"/>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Personal</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1.870.715,18 €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1.910.000,20 €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1.936.740,20 €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xml:space="preserve">-    </w:t>
            </w:r>
            <w:r>
              <w:rPr>
                <w:rFonts w:ascii="Arial" w:eastAsia="Arial" w:hAnsi="Arial" w:cs="Arial"/>
                <w:sz w:val="13"/>
              </w:rPr>
              <w:t>1.963.854,56 €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1.991.348,53 €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2.019.227,40 €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2.047.496,59 €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2.076.161,54 €</w:t>
            </w:r>
          </w:p>
        </w:tc>
      </w:tr>
      <w:tr w:rsidR="00FF384B">
        <w:trPr>
          <w:trHeight w:val="167"/>
        </w:trPr>
        <w:tc>
          <w:tcPr>
            <w:tcW w:w="3160" w:type="dxa"/>
            <w:tcBorders>
              <w:top w:val="single" w:sz="3" w:space="0" w:color="D4D4D4"/>
              <w:left w:val="single" w:sz="3" w:space="0" w:color="000000"/>
              <w:bottom w:val="single" w:sz="3" w:space="0" w:color="D4D4D4"/>
              <w:right w:val="single" w:sz="3" w:space="0" w:color="000000"/>
            </w:tcBorders>
          </w:tcPr>
          <w:p w:rsidR="00FF384B" w:rsidRDefault="003E3BA9">
            <w:pPr>
              <w:spacing w:after="0"/>
            </w:pPr>
            <w:r>
              <w:rPr>
                <w:rFonts w:ascii="Arial" w:eastAsia="Arial" w:hAnsi="Arial" w:cs="Arial"/>
                <w:sz w:val="13"/>
              </w:rPr>
              <w:t>coste medios materiales</w:t>
            </w:r>
          </w:p>
        </w:tc>
        <w:tc>
          <w:tcPr>
            <w:tcW w:w="1273" w:type="dxa"/>
            <w:tcBorders>
              <w:top w:val="single" w:sz="3" w:space="0" w:color="D4D4D4"/>
              <w:left w:val="single" w:sz="3" w:space="0" w:color="000000"/>
              <w:bottom w:val="single" w:sz="3" w:space="0" w:color="D4D4D4"/>
              <w:right w:val="single" w:sz="3" w:space="0" w:color="000000"/>
            </w:tcBorders>
          </w:tcPr>
          <w:p w:rsidR="00FF384B" w:rsidRDefault="00FF384B"/>
        </w:tc>
        <w:tc>
          <w:tcPr>
            <w:tcW w:w="1581"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278.588,32 €</w:t>
            </w:r>
          </w:p>
        </w:tc>
        <w:tc>
          <w:tcPr>
            <w:tcW w:w="1179"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282.488,56 €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286.443,40 €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290.453,60 €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294.519,95 €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xml:space="preserve">-       </w:t>
            </w:r>
            <w:r>
              <w:rPr>
                <w:rFonts w:ascii="Arial" w:eastAsia="Arial" w:hAnsi="Arial" w:cs="Arial"/>
                <w:sz w:val="13"/>
              </w:rPr>
              <w:t>298.643,23 €</w:t>
            </w:r>
          </w:p>
        </w:tc>
        <w:tc>
          <w:tcPr>
            <w:tcW w:w="1038"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9"/>
            </w:pPr>
            <w:r>
              <w:rPr>
                <w:rFonts w:ascii="Arial" w:eastAsia="Arial" w:hAnsi="Arial" w:cs="Arial"/>
                <w:sz w:val="13"/>
              </w:rPr>
              <w:t>-       302.824,24 €</w:t>
            </w:r>
          </w:p>
        </w:tc>
        <w:tc>
          <w:tcPr>
            <w:tcW w:w="1037" w:type="dxa"/>
            <w:tcBorders>
              <w:top w:val="single" w:sz="3" w:space="0" w:color="D4D4D4"/>
              <w:left w:val="single" w:sz="3" w:space="0" w:color="000000"/>
              <w:bottom w:val="single" w:sz="3" w:space="0" w:color="D4D4D4"/>
              <w:right w:val="single" w:sz="3" w:space="0" w:color="000000"/>
            </w:tcBorders>
          </w:tcPr>
          <w:p w:rsidR="00FF384B" w:rsidRDefault="003E3BA9">
            <w:pPr>
              <w:spacing w:after="0"/>
              <w:ind w:left="8"/>
            </w:pPr>
            <w:r>
              <w:rPr>
                <w:rFonts w:ascii="Arial" w:eastAsia="Arial" w:hAnsi="Arial" w:cs="Arial"/>
                <w:sz w:val="13"/>
              </w:rPr>
              <w:t>-       307.063,78 €</w:t>
            </w:r>
          </w:p>
        </w:tc>
      </w:tr>
      <w:tr w:rsidR="00FF384B">
        <w:trPr>
          <w:trHeight w:val="163"/>
        </w:trPr>
        <w:tc>
          <w:tcPr>
            <w:tcW w:w="3160" w:type="dxa"/>
            <w:tcBorders>
              <w:top w:val="single" w:sz="3" w:space="0" w:color="D4D4D4"/>
              <w:left w:val="single" w:sz="3" w:space="0" w:color="000000"/>
              <w:bottom w:val="nil"/>
              <w:right w:val="single" w:sz="3" w:space="0" w:color="000000"/>
            </w:tcBorders>
          </w:tcPr>
          <w:p w:rsidR="00FF384B" w:rsidRDefault="003E3BA9">
            <w:pPr>
              <w:spacing w:after="0"/>
            </w:pPr>
            <w:r>
              <w:rPr>
                <w:rFonts w:ascii="Arial" w:eastAsia="Arial" w:hAnsi="Arial" w:cs="Arial"/>
                <w:sz w:val="13"/>
              </w:rPr>
              <w:t>Gastos generales</w:t>
            </w:r>
          </w:p>
        </w:tc>
        <w:tc>
          <w:tcPr>
            <w:tcW w:w="1273" w:type="dxa"/>
            <w:tcBorders>
              <w:top w:val="single" w:sz="3" w:space="0" w:color="D4D4D4"/>
              <w:left w:val="single" w:sz="3" w:space="0" w:color="000000"/>
              <w:bottom w:val="nil"/>
              <w:right w:val="single" w:sz="3" w:space="0" w:color="000000"/>
            </w:tcBorders>
          </w:tcPr>
          <w:p w:rsidR="00FF384B" w:rsidRDefault="00FF384B"/>
        </w:tc>
        <w:tc>
          <w:tcPr>
            <w:tcW w:w="1581"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179"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8" w:type="dxa"/>
            <w:tcBorders>
              <w:top w:val="single" w:sz="3" w:space="0" w:color="D4D4D4"/>
              <w:left w:val="single" w:sz="3" w:space="0" w:color="000000"/>
              <w:bottom w:val="nil"/>
              <w:right w:val="single" w:sz="3" w:space="0" w:color="000000"/>
            </w:tcBorders>
          </w:tcPr>
          <w:p w:rsidR="00FF384B" w:rsidRDefault="003E3BA9">
            <w:pPr>
              <w:spacing w:after="0"/>
              <w:ind w:left="9"/>
            </w:pPr>
            <w:r>
              <w:rPr>
                <w:rFonts w:ascii="Arial" w:eastAsia="Arial" w:hAnsi="Arial" w:cs="Arial"/>
                <w:sz w:val="13"/>
              </w:rPr>
              <w:t>-       133.930,00 €</w:t>
            </w:r>
          </w:p>
        </w:tc>
        <w:tc>
          <w:tcPr>
            <w:tcW w:w="1037" w:type="dxa"/>
            <w:tcBorders>
              <w:top w:val="single" w:sz="3" w:space="0" w:color="D4D4D4"/>
              <w:left w:val="single" w:sz="3" w:space="0" w:color="000000"/>
              <w:bottom w:val="nil"/>
              <w:right w:val="single" w:sz="3" w:space="0" w:color="000000"/>
            </w:tcBorders>
          </w:tcPr>
          <w:p w:rsidR="00FF384B" w:rsidRDefault="003E3BA9">
            <w:pPr>
              <w:spacing w:after="0"/>
              <w:ind w:left="8"/>
            </w:pPr>
            <w:r>
              <w:rPr>
                <w:rFonts w:ascii="Arial" w:eastAsia="Arial" w:hAnsi="Arial" w:cs="Arial"/>
                <w:sz w:val="13"/>
              </w:rPr>
              <w:t xml:space="preserve">-       </w:t>
            </w:r>
            <w:r>
              <w:rPr>
                <w:rFonts w:ascii="Arial" w:eastAsia="Arial" w:hAnsi="Arial" w:cs="Arial"/>
                <w:sz w:val="13"/>
              </w:rPr>
              <w:t>133.930,00 €</w:t>
            </w:r>
          </w:p>
        </w:tc>
      </w:tr>
      <w:tr w:rsidR="00FF384B">
        <w:trPr>
          <w:trHeight w:val="172"/>
        </w:trPr>
        <w:tc>
          <w:tcPr>
            <w:tcW w:w="3160" w:type="dxa"/>
            <w:tcBorders>
              <w:top w:val="nil"/>
              <w:left w:val="single" w:sz="3" w:space="0" w:color="000000"/>
              <w:bottom w:val="nil"/>
              <w:right w:val="single" w:sz="3" w:space="0" w:color="000000"/>
            </w:tcBorders>
            <w:shd w:val="clear" w:color="auto" w:fill="F79646"/>
          </w:tcPr>
          <w:p w:rsidR="00FF384B" w:rsidRDefault="003E3BA9">
            <w:pPr>
              <w:spacing w:after="0"/>
            </w:pPr>
            <w:r>
              <w:rPr>
                <w:rFonts w:ascii="Arial" w:eastAsia="Arial" w:hAnsi="Arial" w:cs="Arial"/>
                <w:sz w:val="13"/>
              </w:rPr>
              <w:t>TOTAL DE GASTOS</w:t>
            </w:r>
          </w:p>
        </w:tc>
        <w:tc>
          <w:tcPr>
            <w:tcW w:w="1273" w:type="dxa"/>
            <w:tcBorders>
              <w:top w:val="nil"/>
              <w:left w:val="single" w:sz="3" w:space="0" w:color="000000"/>
              <w:bottom w:val="nil"/>
              <w:right w:val="single" w:sz="3" w:space="0" w:color="000000"/>
            </w:tcBorders>
            <w:shd w:val="clear" w:color="auto" w:fill="F79646"/>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2.283.233,50 €</w:t>
            </w:r>
          </w:p>
        </w:tc>
        <w:tc>
          <w:tcPr>
            <w:tcW w:w="1179"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2.326.418,76 €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2.357.113,60 €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2.388.238,17 €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2.419.798,48 €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2.451.800,64 €</w:t>
            </w:r>
          </w:p>
        </w:tc>
        <w:tc>
          <w:tcPr>
            <w:tcW w:w="1038" w:type="dxa"/>
            <w:tcBorders>
              <w:top w:val="nil"/>
              <w:left w:val="single" w:sz="3" w:space="0" w:color="000000"/>
              <w:bottom w:val="nil"/>
              <w:right w:val="single" w:sz="3" w:space="0" w:color="000000"/>
            </w:tcBorders>
            <w:shd w:val="clear" w:color="auto" w:fill="F79646"/>
          </w:tcPr>
          <w:p w:rsidR="00FF384B" w:rsidRDefault="003E3BA9">
            <w:pPr>
              <w:spacing w:after="0"/>
              <w:ind w:left="9"/>
            </w:pPr>
            <w:r>
              <w:rPr>
                <w:rFonts w:ascii="Arial" w:eastAsia="Arial" w:hAnsi="Arial" w:cs="Arial"/>
                <w:sz w:val="13"/>
              </w:rPr>
              <w:t>-    2.484.250,83 €</w:t>
            </w:r>
          </w:p>
        </w:tc>
        <w:tc>
          <w:tcPr>
            <w:tcW w:w="1037" w:type="dxa"/>
            <w:tcBorders>
              <w:top w:val="nil"/>
              <w:left w:val="single" w:sz="3" w:space="0" w:color="000000"/>
              <w:bottom w:val="nil"/>
              <w:right w:val="single" w:sz="3" w:space="0" w:color="000000"/>
            </w:tcBorders>
            <w:shd w:val="clear" w:color="auto" w:fill="F79646"/>
          </w:tcPr>
          <w:p w:rsidR="00FF384B" w:rsidRDefault="003E3BA9">
            <w:pPr>
              <w:spacing w:after="0"/>
              <w:ind w:left="8"/>
            </w:pPr>
            <w:r>
              <w:rPr>
                <w:rFonts w:ascii="Arial" w:eastAsia="Arial" w:hAnsi="Arial" w:cs="Arial"/>
                <w:sz w:val="13"/>
              </w:rPr>
              <w:t>-    2.517.155,32 €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176"/>
        </w:trPr>
        <w:tc>
          <w:tcPr>
            <w:tcW w:w="3160" w:type="dxa"/>
            <w:tcBorders>
              <w:top w:val="nil"/>
              <w:left w:val="single" w:sz="3" w:space="0" w:color="000000"/>
              <w:bottom w:val="nil"/>
              <w:right w:val="single" w:sz="3" w:space="0" w:color="000000"/>
            </w:tcBorders>
            <w:shd w:val="clear" w:color="auto" w:fill="C4D79B"/>
          </w:tcPr>
          <w:p w:rsidR="00FF384B" w:rsidRDefault="003E3BA9">
            <w:pPr>
              <w:spacing w:after="0"/>
              <w:ind w:left="8"/>
            </w:pPr>
            <w:r>
              <w:rPr>
                <w:rFonts w:ascii="Arial" w:eastAsia="Arial" w:hAnsi="Arial" w:cs="Arial"/>
                <w:b/>
                <w:sz w:val="13"/>
              </w:rPr>
              <w:t>Flujo de caja</w:t>
            </w:r>
          </w:p>
        </w:tc>
        <w:tc>
          <w:tcPr>
            <w:tcW w:w="1273" w:type="dxa"/>
            <w:tcBorders>
              <w:top w:val="nil"/>
              <w:left w:val="single" w:sz="3" w:space="0" w:color="000000"/>
              <w:bottom w:val="nil"/>
              <w:right w:val="single" w:sz="3" w:space="0" w:color="000000"/>
            </w:tcBorders>
            <w:shd w:val="clear" w:color="auto" w:fill="C4D79B"/>
          </w:tcPr>
          <w:p w:rsidR="00FF384B" w:rsidRDefault="003E3BA9">
            <w:pPr>
              <w:spacing w:after="0"/>
              <w:ind w:left="10"/>
            </w:pPr>
            <w:r>
              <w:rPr>
                <w:rFonts w:ascii="Arial" w:eastAsia="Arial" w:hAnsi="Arial" w:cs="Arial"/>
                <w:sz w:val="13"/>
              </w:rPr>
              <w:t>-           3.568.354,60 €</w:t>
            </w:r>
          </w:p>
        </w:tc>
        <w:tc>
          <w:tcPr>
            <w:tcW w:w="1581"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705.012,60 €</w:t>
            </w:r>
          </w:p>
        </w:tc>
        <w:tc>
          <w:tcPr>
            <w:tcW w:w="1179"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661.827,35 €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631.132,51 €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600.007,94 €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568.447,62 €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536.445,46 €</w:t>
            </w:r>
          </w:p>
        </w:tc>
        <w:tc>
          <w:tcPr>
            <w:tcW w:w="1038" w:type="dxa"/>
            <w:tcBorders>
              <w:top w:val="nil"/>
              <w:left w:val="single" w:sz="3" w:space="0" w:color="000000"/>
              <w:bottom w:val="nil"/>
              <w:right w:val="single" w:sz="3" w:space="0" w:color="000000"/>
            </w:tcBorders>
            <w:shd w:val="clear" w:color="auto" w:fill="C4D79B"/>
          </w:tcPr>
          <w:p w:rsidR="00FF384B" w:rsidRDefault="003E3BA9">
            <w:pPr>
              <w:spacing w:after="0"/>
              <w:ind w:left="51"/>
            </w:pPr>
            <w:r>
              <w:rPr>
                <w:rFonts w:ascii="Arial" w:eastAsia="Arial" w:hAnsi="Arial" w:cs="Arial"/>
                <w:sz w:val="13"/>
              </w:rPr>
              <w:t xml:space="preserve">       503.995,27 €</w:t>
            </w:r>
          </w:p>
        </w:tc>
        <w:tc>
          <w:tcPr>
            <w:tcW w:w="1037" w:type="dxa"/>
            <w:tcBorders>
              <w:top w:val="nil"/>
              <w:left w:val="single" w:sz="3" w:space="0" w:color="000000"/>
              <w:bottom w:val="nil"/>
              <w:right w:val="single" w:sz="3" w:space="0" w:color="000000"/>
            </w:tcBorders>
            <w:shd w:val="clear" w:color="auto" w:fill="C4D79B"/>
          </w:tcPr>
          <w:p w:rsidR="00FF384B" w:rsidRDefault="003E3BA9">
            <w:pPr>
              <w:spacing w:after="0"/>
              <w:ind w:left="50"/>
            </w:pPr>
            <w:r>
              <w:rPr>
                <w:rFonts w:ascii="Arial" w:eastAsia="Arial" w:hAnsi="Arial" w:cs="Arial"/>
                <w:sz w:val="13"/>
              </w:rPr>
              <w:t xml:space="preserve">       471.090,78 €</w:t>
            </w:r>
          </w:p>
        </w:tc>
      </w:tr>
      <w:tr w:rsidR="00FF384B">
        <w:trPr>
          <w:trHeight w:val="167"/>
        </w:trPr>
        <w:tc>
          <w:tcPr>
            <w:tcW w:w="3160" w:type="dxa"/>
            <w:tcBorders>
              <w:top w:val="nil"/>
              <w:left w:val="single" w:sz="3" w:space="0" w:color="000000"/>
              <w:bottom w:val="nil"/>
              <w:right w:val="single" w:sz="3" w:space="0" w:color="000000"/>
            </w:tcBorders>
            <w:shd w:val="clear" w:color="auto" w:fill="FFFFFF"/>
          </w:tcPr>
          <w:p w:rsidR="00FF384B" w:rsidRDefault="00FF384B"/>
        </w:tc>
        <w:tc>
          <w:tcPr>
            <w:tcW w:w="1273" w:type="dxa"/>
            <w:tcBorders>
              <w:top w:val="nil"/>
              <w:left w:val="single" w:sz="3" w:space="0" w:color="000000"/>
              <w:bottom w:val="nil"/>
              <w:right w:val="single" w:sz="3" w:space="0" w:color="000000"/>
            </w:tcBorders>
            <w:shd w:val="clear" w:color="auto" w:fill="FFFFFF"/>
          </w:tcPr>
          <w:p w:rsidR="00FF384B" w:rsidRDefault="00FF384B"/>
        </w:tc>
        <w:tc>
          <w:tcPr>
            <w:tcW w:w="1581" w:type="dxa"/>
            <w:tcBorders>
              <w:top w:val="nil"/>
              <w:left w:val="single" w:sz="3" w:space="0" w:color="000000"/>
              <w:bottom w:val="nil"/>
              <w:right w:val="single" w:sz="3" w:space="0" w:color="000000"/>
            </w:tcBorders>
            <w:shd w:val="clear" w:color="auto" w:fill="FFFFFF"/>
          </w:tcPr>
          <w:p w:rsidR="00FF384B" w:rsidRDefault="00FF384B"/>
        </w:tc>
        <w:tc>
          <w:tcPr>
            <w:tcW w:w="1179"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8" w:type="dxa"/>
            <w:tcBorders>
              <w:top w:val="nil"/>
              <w:left w:val="single" w:sz="3" w:space="0" w:color="000000"/>
              <w:bottom w:val="nil"/>
              <w:right w:val="single" w:sz="3" w:space="0" w:color="000000"/>
            </w:tcBorders>
            <w:shd w:val="clear" w:color="auto" w:fill="FFFFFF"/>
          </w:tcPr>
          <w:p w:rsidR="00FF384B" w:rsidRDefault="00FF384B"/>
        </w:tc>
        <w:tc>
          <w:tcPr>
            <w:tcW w:w="1037" w:type="dxa"/>
            <w:tcBorders>
              <w:top w:val="nil"/>
              <w:left w:val="single" w:sz="3" w:space="0" w:color="000000"/>
              <w:bottom w:val="nil"/>
              <w:right w:val="single" w:sz="3" w:space="0" w:color="000000"/>
            </w:tcBorders>
            <w:shd w:val="clear" w:color="auto" w:fill="FFFFFF"/>
          </w:tcPr>
          <w:p w:rsidR="00FF384B" w:rsidRDefault="00FF384B"/>
        </w:tc>
      </w:tr>
      <w:tr w:rsidR="00FF384B">
        <w:trPr>
          <w:trHeight w:val="209"/>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FLUJO NETO DE CAJA Definitivo (FC</w:t>
            </w:r>
            <w:r>
              <w:rPr>
                <w:rFonts w:ascii="Arial" w:eastAsia="Arial" w:hAnsi="Arial" w:cs="Arial"/>
                <w:sz w:val="13"/>
                <w:vertAlign w:val="subscript"/>
              </w:rPr>
              <w:t>t</w:t>
            </w:r>
            <w:r>
              <w:rPr>
                <w:rFonts w:ascii="Arial" w:eastAsia="Arial" w:hAnsi="Arial" w:cs="Arial"/>
                <w:sz w:val="13"/>
              </w:rPr>
              <w:t>)</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705012,60</w:t>
            </w:r>
          </w:p>
        </w:tc>
        <w:tc>
          <w:tcPr>
            <w:tcW w:w="1179" w:type="dxa"/>
            <w:tcBorders>
              <w:top w:val="nil"/>
              <w:left w:val="single" w:sz="3" w:space="0" w:color="000000"/>
              <w:bottom w:val="nil"/>
              <w:right w:val="single" w:sz="3" w:space="0" w:color="000000"/>
            </w:tcBorders>
            <w:shd w:val="clear" w:color="auto" w:fill="C5D9F1"/>
          </w:tcPr>
          <w:p w:rsidR="00FF384B" w:rsidRDefault="003E3BA9">
            <w:pPr>
              <w:spacing w:after="0"/>
              <w:ind w:left="2"/>
              <w:jc w:val="center"/>
            </w:pPr>
            <w:r>
              <w:rPr>
                <w:rFonts w:ascii="Arial" w:eastAsia="Arial" w:hAnsi="Arial" w:cs="Arial"/>
                <w:sz w:val="13"/>
              </w:rPr>
              <w:t>661827,35</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631132,51</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600007,94</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568447,62</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1"/>
              <w:jc w:val="center"/>
            </w:pPr>
            <w:r>
              <w:rPr>
                <w:rFonts w:ascii="Arial" w:eastAsia="Arial" w:hAnsi="Arial" w:cs="Arial"/>
                <w:sz w:val="13"/>
              </w:rPr>
              <w:t>536445,46</w:t>
            </w:r>
          </w:p>
        </w:tc>
        <w:tc>
          <w:tcPr>
            <w:tcW w:w="1038" w:type="dxa"/>
            <w:tcBorders>
              <w:top w:val="nil"/>
              <w:left w:val="single" w:sz="3" w:space="0" w:color="000000"/>
              <w:bottom w:val="nil"/>
              <w:right w:val="single" w:sz="3" w:space="0" w:color="000000"/>
            </w:tcBorders>
            <w:shd w:val="clear" w:color="auto" w:fill="C5D9F1"/>
          </w:tcPr>
          <w:p w:rsidR="00FF384B" w:rsidRDefault="003E3BA9">
            <w:pPr>
              <w:spacing w:after="0"/>
              <w:ind w:left="10"/>
              <w:jc w:val="center"/>
            </w:pPr>
            <w:r>
              <w:rPr>
                <w:rFonts w:ascii="Arial" w:eastAsia="Arial" w:hAnsi="Arial" w:cs="Arial"/>
                <w:sz w:val="13"/>
              </w:rPr>
              <w:t>503995,27</w:t>
            </w:r>
          </w:p>
        </w:tc>
        <w:tc>
          <w:tcPr>
            <w:tcW w:w="1037" w:type="dxa"/>
            <w:tcBorders>
              <w:top w:val="nil"/>
              <w:left w:val="single" w:sz="3" w:space="0" w:color="000000"/>
              <w:bottom w:val="nil"/>
              <w:right w:val="single" w:sz="3" w:space="0" w:color="000000"/>
            </w:tcBorders>
            <w:shd w:val="clear" w:color="auto" w:fill="C5D9F1"/>
          </w:tcPr>
          <w:p w:rsidR="00FF384B" w:rsidRDefault="003E3BA9">
            <w:pPr>
              <w:spacing w:after="0"/>
              <w:ind w:left="9"/>
              <w:jc w:val="center"/>
            </w:pPr>
            <w:r>
              <w:rPr>
                <w:rFonts w:ascii="Arial" w:eastAsia="Arial" w:hAnsi="Arial" w:cs="Arial"/>
                <w:sz w:val="13"/>
              </w:rPr>
              <w:t>471090,78</w:t>
            </w:r>
          </w:p>
        </w:tc>
      </w:tr>
      <w:tr w:rsidR="00FF384B">
        <w:trPr>
          <w:trHeight w:val="172"/>
        </w:trPr>
        <w:tc>
          <w:tcPr>
            <w:tcW w:w="3160" w:type="dxa"/>
            <w:tcBorders>
              <w:top w:val="nil"/>
              <w:left w:val="single" w:sz="3" w:space="0" w:color="000000"/>
              <w:bottom w:val="nil"/>
              <w:right w:val="single" w:sz="3" w:space="0" w:color="000000"/>
            </w:tcBorders>
            <w:shd w:val="clear" w:color="auto" w:fill="C5D9F1"/>
          </w:tcPr>
          <w:p w:rsidR="00FF384B" w:rsidRDefault="003E3BA9">
            <w:pPr>
              <w:spacing w:after="0"/>
            </w:pPr>
            <w:r>
              <w:rPr>
                <w:rFonts w:ascii="Arial" w:eastAsia="Arial" w:hAnsi="Arial" w:cs="Arial"/>
                <w:sz w:val="13"/>
              </w:rPr>
              <w:t>Tasa de descuento (b)</w:t>
            </w:r>
          </w:p>
        </w:tc>
        <w:tc>
          <w:tcPr>
            <w:tcW w:w="1273" w:type="dxa"/>
            <w:tcBorders>
              <w:top w:val="nil"/>
              <w:left w:val="single" w:sz="3" w:space="0" w:color="000000"/>
              <w:bottom w:val="nil"/>
              <w:right w:val="single" w:sz="3" w:space="0" w:color="000000"/>
            </w:tcBorders>
            <w:shd w:val="clear" w:color="auto" w:fill="C5D9F1"/>
          </w:tcPr>
          <w:p w:rsidR="00FF384B" w:rsidRDefault="003E3BA9">
            <w:pPr>
              <w:spacing w:after="0"/>
              <w:ind w:left="12"/>
              <w:jc w:val="center"/>
            </w:pPr>
            <w:r>
              <w:rPr>
                <w:rFonts w:ascii="Arial" w:eastAsia="Arial" w:hAnsi="Arial" w:cs="Arial"/>
                <w:sz w:val="13"/>
              </w:rPr>
              <w:t>2,16</w:t>
            </w:r>
          </w:p>
        </w:tc>
        <w:tc>
          <w:tcPr>
            <w:tcW w:w="1581" w:type="dxa"/>
            <w:tcBorders>
              <w:top w:val="nil"/>
              <w:left w:val="single" w:sz="3" w:space="0" w:color="000000"/>
              <w:bottom w:val="nil"/>
              <w:right w:val="single" w:sz="3" w:space="0" w:color="000000"/>
            </w:tcBorders>
            <w:shd w:val="clear" w:color="auto" w:fill="808080"/>
          </w:tcPr>
          <w:p w:rsidR="00FF384B" w:rsidRDefault="00FF384B"/>
        </w:tc>
        <w:tc>
          <w:tcPr>
            <w:tcW w:w="1179"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8" w:type="dxa"/>
            <w:tcBorders>
              <w:top w:val="nil"/>
              <w:left w:val="single" w:sz="3" w:space="0" w:color="000000"/>
              <w:bottom w:val="nil"/>
              <w:right w:val="single" w:sz="3" w:space="0" w:color="000000"/>
            </w:tcBorders>
            <w:shd w:val="clear" w:color="auto" w:fill="808080"/>
          </w:tcPr>
          <w:p w:rsidR="00FF384B" w:rsidRDefault="00FF384B"/>
        </w:tc>
        <w:tc>
          <w:tcPr>
            <w:tcW w:w="1037" w:type="dxa"/>
            <w:tcBorders>
              <w:top w:val="nil"/>
              <w:left w:val="single" w:sz="3" w:space="0" w:color="000000"/>
              <w:bottom w:val="nil"/>
              <w:right w:val="single" w:sz="3" w:space="0" w:color="000000"/>
            </w:tcBorders>
            <w:shd w:val="clear" w:color="auto" w:fill="808080"/>
          </w:tcPr>
          <w:p w:rsidR="00FF384B" w:rsidRDefault="00FF384B"/>
        </w:tc>
      </w:tr>
      <w:tr w:rsidR="00FF384B">
        <w:trPr>
          <w:trHeight w:val="201"/>
        </w:trPr>
        <w:tc>
          <w:tcPr>
            <w:tcW w:w="3160" w:type="dxa"/>
            <w:tcBorders>
              <w:top w:val="nil"/>
              <w:left w:val="single" w:sz="3" w:space="0" w:color="000000"/>
              <w:bottom w:val="nil"/>
              <w:right w:val="single" w:sz="3" w:space="0" w:color="000000"/>
            </w:tcBorders>
          </w:tcPr>
          <w:p w:rsidR="00FF384B" w:rsidRDefault="003E3BA9">
            <w:pPr>
              <w:spacing w:after="0"/>
              <w:jc w:val="right"/>
            </w:pPr>
            <w:r>
              <w:rPr>
                <w:rFonts w:ascii="Arial" w:eastAsia="Arial" w:hAnsi="Arial" w:cs="Arial"/>
                <w:sz w:val="13"/>
              </w:rPr>
              <w:t>A efectos del pago siguiente:</w:t>
            </w:r>
          </w:p>
        </w:tc>
        <w:tc>
          <w:tcPr>
            <w:tcW w:w="1273" w:type="dxa"/>
            <w:tcBorders>
              <w:top w:val="nil"/>
              <w:left w:val="single" w:sz="3" w:space="0" w:color="000000"/>
              <w:bottom w:val="nil"/>
              <w:right w:val="single" w:sz="3" w:space="0" w:color="000000"/>
            </w:tcBorders>
          </w:tcPr>
          <w:p w:rsidR="00FF384B" w:rsidRDefault="003E3BA9">
            <w:pPr>
              <w:spacing w:after="0"/>
              <w:ind w:left="69"/>
            </w:pPr>
            <w:r>
              <w:rPr>
                <w:rFonts w:ascii="Arial" w:eastAsia="Arial" w:hAnsi="Arial" w:cs="Arial"/>
                <w:sz w:val="13"/>
              </w:rPr>
              <w:t>FC</w:t>
            </w:r>
            <w:r>
              <w:rPr>
                <w:rFonts w:ascii="Arial" w:eastAsia="Arial" w:hAnsi="Arial" w:cs="Arial"/>
                <w:sz w:val="13"/>
                <w:vertAlign w:val="subscript"/>
              </w:rPr>
              <w:t>0</w:t>
            </w:r>
            <w:r>
              <w:rPr>
                <w:rFonts w:ascii="Arial" w:eastAsia="Arial" w:hAnsi="Arial" w:cs="Arial"/>
                <w:sz w:val="13"/>
              </w:rPr>
              <w:t>/(1,0216)^0=FC</w:t>
            </w:r>
            <w:r>
              <w:rPr>
                <w:rFonts w:ascii="Arial" w:eastAsia="Arial" w:hAnsi="Arial" w:cs="Arial"/>
                <w:sz w:val="13"/>
                <w:vertAlign w:val="subscript"/>
              </w:rPr>
              <w:t>0</w:t>
            </w:r>
          </w:p>
        </w:tc>
        <w:tc>
          <w:tcPr>
            <w:tcW w:w="1581" w:type="dxa"/>
            <w:tcBorders>
              <w:top w:val="nil"/>
              <w:left w:val="single" w:sz="3" w:space="0" w:color="000000"/>
              <w:bottom w:val="nil"/>
              <w:right w:val="single" w:sz="3" w:space="0" w:color="000000"/>
            </w:tcBorders>
          </w:tcPr>
          <w:p w:rsidR="00FF384B" w:rsidRDefault="003E3BA9">
            <w:pPr>
              <w:spacing w:after="0"/>
              <w:ind w:left="5"/>
              <w:jc w:val="center"/>
            </w:pPr>
            <w:r>
              <w:rPr>
                <w:rFonts w:ascii="Arial" w:eastAsia="Arial" w:hAnsi="Arial" w:cs="Arial"/>
                <w:sz w:val="13"/>
              </w:rPr>
              <w:t>FC</w:t>
            </w:r>
            <w:r>
              <w:rPr>
                <w:rFonts w:ascii="Arial" w:eastAsia="Arial" w:hAnsi="Arial" w:cs="Arial"/>
                <w:sz w:val="13"/>
                <w:vertAlign w:val="subscript"/>
              </w:rPr>
              <w:t>1</w:t>
            </w:r>
            <w:r>
              <w:rPr>
                <w:rFonts w:ascii="Arial" w:eastAsia="Arial" w:hAnsi="Arial" w:cs="Arial"/>
                <w:sz w:val="13"/>
              </w:rPr>
              <w:t>/(1,0216)=FC</w:t>
            </w:r>
            <w:r>
              <w:rPr>
                <w:rFonts w:ascii="Arial" w:eastAsia="Arial" w:hAnsi="Arial" w:cs="Arial"/>
                <w:sz w:val="13"/>
                <w:vertAlign w:val="subscript"/>
              </w:rPr>
              <w:t>1</w:t>
            </w:r>
          </w:p>
        </w:tc>
        <w:tc>
          <w:tcPr>
            <w:tcW w:w="1179" w:type="dxa"/>
            <w:tcBorders>
              <w:top w:val="nil"/>
              <w:left w:val="single" w:sz="3" w:space="0" w:color="000000"/>
              <w:bottom w:val="nil"/>
              <w:right w:val="single" w:sz="3" w:space="0" w:color="000000"/>
            </w:tcBorders>
          </w:tcPr>
          <w:p w:rsidR="00FF384B" w:rsidRDefault="003E3BA9">
            <w:pPr>
              <w:spacing w:after="0"/>
              <w:ind w:left="11"/>
              <w:jc w:val="center"/>
            </w:pPr>
            <w:r>
              <w:rPr>
                <w:rFonts w:ascii="Arial" w:eastAsia="Arial" w:hAnsi="Arial" w:cs="Arial"/>
                <w:sz w:val="13"/>
              </w:rPr>
              <w:t>FC</w:t>
            </w:r>
            <w:r>
              <w:rPr>
                <w:rFonts w:ascii="Arial" w:eastAsia="Arial" w:hAnsi="Arial" w:cs="Arial"/>
                <w:sz w:val="13"/>
                <w:vertAlign w:val="subscript"/>
              </w:rPr>
              <w:t>2</w:t>
            </w:r>
            <w:r>
              <w:rPr>
                <w:rFonts w:ascii="Arial" w:eastAsia="Arial" w:hAnsi="Arial" w:cs="Arial"/>
                <w:sz w:val="13"/>
              </w:rPr>
              <w:t>/(1,0216)^2</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3</w:t>
            </w:r>
            <w:r>
              <w:rPr>
                <w:rFonts w:ascii="Arial" w:eastAsia="Arial" w:hAnsi="Arial" w:cs="Arial"/>
                <w:sz w:val="13"/>
              </w:rPr>
              <w:t>/(1,0216)^3</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4</w:t>
            </w:r>
            <w:r>
              <w:rPr>
                <w:rFonts w:ascii="Arial" w:eastAsia="Arial" w:hAnsi="Arial" w:cs="Arial"/>
                <w:sz w:val="13"/>
              </w:rPr>
              <w:t>/(1,0216)^4</w:t>
            </w:r>
          </w:p>
        </w:tc>
        <w:tc>
          <w:tcPr>
            <w:tcW w:w="1037"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5</w:t>
            </w:r>
            <w:r>
              <w:rPr>
                <w:rFonts w:ascii="Arial" w:eastAsia="Arial" w:hAnsi="Arial" w:cs="Arial"/>
                <w:sz w:val="13"/>
              </w:rPr>
              <w:t>/(1,0216)^5</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6</w:t>
            </w:r>
            <w:r>
              <w:rPr>
                <w:rFonts w:ascii="Arial" w:eastAsia="Arial" w:hAnsi="Arial" w:cs="Arial"/>
                <w:sz w:val="13"/>
              </w:rPr>
              <w:t>/(1,0216)^6</w:t>
            </w:r>
          </w:p>
        </w:tc>
        <w:tc>
          <w:tcPr>
            <w:tcW w:w="1038" w:type="dxa"/>
            <w:tcBorders>
              <w:top w:val="nil"/>
              <w:left w:val="single" w:sz="3" w:space="0" w:color="000000"/>
              <w:bottom w:val="nil"/>
              <w:right w:val="single" w:sz="3" w:space="0" w:color="000000"/>
            </w:tcBorders>
          </w:tcPr>
          <w:p w:rsidR="00FF384B" w:rsidRDefault="003E3BA9">
            <w:pPr>
              <w:spacing w:after="0"/>
              <w:ind w:left="93"/>
            </w:pPr>
            <w:r>
              <w:rPr>
                <w:rFonts w:ascii="Arial" w:eastAsia="Arial" w:hAnsi="Arial" w:cs="Arial"/>
                <w:sz w:val="13"/>
              </w:rPr>
              <w:t>FC</w:t>
            </w:r>
            <w:r>
              <w:rPr>
                <w:rFonts w:ascii="Arial" w:eastAsia="Arial" w:hAnsi="Arial" w:cs="Arial"/>
                <w:sz w:val="13"/>
                <w:vertAlign w:val="subscript"/>
              </w:rPr>
              <w:t>7</w:t>
            </w:r>
            <w:r>
              <w:rPr>
                <w:rFonts w:ascii="Arial" w:eastAsia="Arial" w:hAnsi="Arial" w:cs="Arial"/>
                <w:sz w:val="13"/>
              </w:rPr>
              <w:t>/(1,0216)^7</w:t>
            </w:r>
          </w:p>
        </w:tc>
        <w:tc>
          <w:tcPr>
            <w:tcW w:w="1037" w:type="dxa"/>
            <w:tcBorders>
              <w:top w:val="nil"/>
              <w:left w:val="single" w:sz="3" w:space="0" w:color="000000"/>
              <w:bottom w:val="nil"/>
              <w:right w:val="single" w:sz="3" w:space="0" w:color="000000"/>
            </w:tcBorders>
          </w:tcPr>
          <w:p w:rsidR="00FF384B" w:rsidRDefault="003E3BA9">
            <w:pPr>
              <w:spacing w:after="0"/>
              <w:ind w:left="92"/>
            </w:pPr>
            <w:r>
              <w:rPr>
                <w:rFonts w:ascii="Arial" w:eastAsia="Arial" w:hAnsi="Arial" w:cs="Arial"/>
                <w:sz w:val="13"/>
              </w:rPr>
              <w:t>FC</w:t>
            </w:r>
            <w:r>
              <w:rPr>
                <w:rFonts w:ascii="Arial" w:eastAsia="Arial" w:hAnsi="Arial" w:cs="Arial"/>
                <w:sz w:val="13"/>
                <w:vertAlign w:val="subscript"/>
              </w:rPr>
              <w:t>8</w:t>
            </w:r>
            <w:r>
              <w:rPr>
                <w:rFonts w:ascii="Arial" w:eastAsia="Arial" w:hAnsi="Arial" w:cs="Arial"/>
                <w:sz w:val="13"/>
              </w:rPr>
              <w:t>/(1,0230)^8</w:t>
            </w:r>
          </w:p>
        </w:tc>
      </w:tr>
      <w:tr w:rsidR="00FF384B">
        <w:trPr>
          <w:trHeight w:val="176"/>
        </w:trPr>
        <w:tc>
          <w:tcPr>
            <w:tcW w:w="3160" w:type="dxa"/>
            <w:tcBorders>
              <w:top w:val="nil"/>
              <w:left w:val="single" w:sz="3" w:space="0" w:color="000000"/>
              <w:bottom w:val="nil"/>
              <w:right w:val="single" w:sz="3" w:space="0" w:color="000000"/>
            </w:tcBorders>
            <w:shd w:val="clear" w:color="auto" w:fill="E6B8B7"/>
          </w:tcPr>
          <w:p w:rsidR="00FF384B" w:rsidRDefault="003E3BA9">
            <w:pPr>
              <w:spacing w:after="0"/>
            </w:pPr>
            <w:r>
              <w:rPr>
                <w:rFonts w:ascii="Arial" w:eastAsia="Arial" w:hAnsi="Arial" w:cs="Arial"/>
                <w:sz w:val="13"/>
              </w:rPr>
              <w:t>Flujos descontados al origen</w:t>
            </w:r>
          </w:p>
        </w:tc>
        <w:tc>
          <w:tcPr>
            <w:tcW w:w="1273" w:type="dxa"/>
            <w:tcBorders>
              <w:top w:val="nil"/>
              <w:left w:val="single" w:sz="3" w:space="0" w:color="000000"/>
              <w:bottom w:val="nil"/>
              <w:right w:val="single" w:sz="3" w:space="0" w:color="000000"/>
            </w:tcBorders>
            <w:shd w:val="clear" w:color="auto" w:fill="E6B8B7"/>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690106,31</w:t>
            </w:r>
          </w:p>
        </w:tc>
        <w:tc>
          <w:tcPr>
            <w:tcW w:w="1179" w:type="dxa"/>
            <w:tcBorders>
              <w:top w:val="nil"/>
              <w:left w:val="single" w:sz="3" w:space="0" w:color="000000"/>
              <w:bottom w:val="nil"/>
              <w:right w:val="single" w:sz="3" w:space="0" w:color="000000"/>
            </w:tcBorders>
            <w:shd w:val="clear" w:color="auto" w:fill="E6B8B7"/>
          </w:tcPr>
          <w:p w:rsidR="00FF384B" w:rsidRDefault="003E3BA9">
            <w:pPr>
              <w:spacing w:after="0"/>
              <w:ind w:left="2"/>
              <w:jc w:val="center"/>
            </w:pPr>
            <w:r>
              <w:rPr>
                <w:rFonts w:ascii="Arial" w:eastAsia="Arial" w:hAnsi="Arial" w:cs="Arial"/>
                <w:sz w:val="13"/>
              </w:rPr>
              <w:t>634136,78</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591940,28</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550850,13</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510841,34</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1"/>
              <w:jc w:val="center"/>
            </w:pPr>
            <w:r>
              <w:rPr>
                <w:rFonts w:ascii="Arial" w:eastAsia="Arial" w:hAnsi="Arial" w:cs="Arial"/>
                <w:sz w:val="13"/>
              </w:rPr>
              <w:t>471889,45</w:t>
            </w:r>
          </w:p>
        </w:tc>
        <w:tc>
          <w:tcPr>
            <w:tcW w:w="1038" w:type="dxa"/>
            <w:tcBorders>
              <w:top w:val="nil"/>
              <w:left w:val="single" w:sz="3" w:space="0" w:color="000000"/>
              <w:bottom w:val="nil"/>
              <w:right w:val="single" w:sz="3" w:space="0" w:color="000000"/>
            </w:tcBorders>
            <w:shd w:val="clear" w:color="auto" w:fill="E6B8B7"/>
          </w:tcPr>
          <w:p w:rsidR="00FF384B" w:rsidRDefault="003E3BA9">
            <w:pPr>
              <w:spacing w:after="0"/>
              <w:ind w:left="10"/>
              <w:jc w:val="center"/>
            </w:pPr>
            <w:r>
              <w:rPr>
                <w:rFonts w:ascii="Arial" w:eastAsia="Arial" w:hAnsi="Arial" w:cs="Arial"/>
                <w:sz w:val="13"/>
              </w:rPr>
              <w:t>433970,57</w:t>
            </w:r>
          </w:p>
        </w:tc>
        <w:tc>
          <w:tcPr>
            <w:tcW w:w="1037" w:type="dxa"/>
            <w:tcBorders>
              <w:top w:val="nil"/>
              <w:left w:val="single" w:sz="3" w:space="0" w:color="000000"/>
              <w:bottom w:val="nil"/>
              <w:right w:val="single" w:sz="3" w:space="0" w:color="000000"/>
            </w:tcBorders>
            <w:shd w:val="clear" w:color="auto" w:fill="E6B8B7"/>
          </w:tcPr>
          <w:p w:rsidR="00FF384B" w:rsidRDefault="003E3BA9">
            <w:pPr>
              <w:spacing w:after="0"/>
              <w:ind w:left="9"/>
              <w:jc w:val="center"/>
            </w:pPr>
            <w:r>
              <w:rPr>
                <w:rFonts w:ascii="Arial" w:eastAsia="Arial" w:hAnsi="Arial" w:cs="Arial"/>
                <w:sz w:val="13"/>
              </w:rPr>
              <w:t>397061,27</w:t>
            </w:r>
          </w:p>
        </w:tc>
      </w:tr>
      <w:tr w:rsidR="00FF384B">
        <w:trPr>
          <w:trHeight w:val="162"/>
        </w:trPr>
        <w:tc>
          <w:tcPr>
            <w:tcW w:w="3160" w:type="dxa"/>
            <w:tcBorders>
              <w:top w:val="nil"/>
              <w:left w:val="single" w:sz="3" w:space="0" w:color="000000"/>
              <w:bottom w:val="single" w:sz="3" w:space="0" w:color="000000"/>
              <w:right w:val="single" w:sz="3" w:space="0" w:color="000000"/>
            </w:tcBorders>
          </w:tcPr>
          <w:p w:rsidR="00FF384B" w:rsidRDefault="003E3BA9">
            <w:pPr>
              <w:spacing w:after="0"/>
            </w:pPr>
            <w:r>
              <w:rPr>
                <w:rFonts w:ascii="Arial" w:eastAsia="Arial" w:hAnsi="Arial" w:cs="Arial"/>
                <w:sz w:val="13"/>
              </w:rPr>
              <w:t>FLUJOS DE CAJA ACUMULADOS DESCONTADOS</w:t>
            </w:r>
          </w:p>
        </w:tc>
        <w:tc>
          <w:tcPr>
            <w:tcW w:w="1273" w:type="dxa"/>
            <w:tcBorders>
              <w:top w:val="nil"/>
              <w:left w:val="single" w:sz="3" w:space="0" w:color="000000"/>
              <w:bottom w:val="single" w:sz="3" w:space="0" w:color="000000"/>
              <w:right w:val="single" w:sz="3" w:space="0" w:color="000000"/>
            </w:tcBorders>
          </w:tcPr>
          <w:p w:rsidR="00FF384B" w:rsidRDefault="003E3BA9">
            <w:pPr>
              <w:spacing w:after="0"/>
              <w:ind w:left="4"/>
              <w:jc w:val="center"/>
            </w:pPr>
            <w:r>
              <w:rPr>
                <w:rFonts w:ascii="Arial" w:eastAsia="Arial" w:hAnsi="Arial" w:cs="Arial"/>
                <w:sz w:val="13"/>
              </w:rPr>
              <w:t>-3568354,60</w:t>
            </w:r>
          </w:p>
        </w:tc>
        <w:tc>
          <w:tcPr>
            <w:tcW w:w="1581"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-2878248,29</w:t>
            </w:r>
          </w:p>
        </w:tc>
        <w:tc>
          <w:tcPr>
            <w:tcW w:w="1179" w:type="dxa"/>
            <w:tcBorders>
              <w:top w:val="nil"/>
              <w:left w:val="single" w:sz="3" w:space="0" w:color="000000"/>
              <w:bottom w:val="single" w:sz="3" w:space="0" w:color="000000"/>
              <w:right w:val="single" w:sz="3" w:space="0" w:color="000000"/>
            </w:tcBorders>
          </w:tcPr>
          <w:p w:rsidR="00FF384B" w:rsidRDefault="003E3BA9">
            <w:pPr>
              <w:spacing w:after="0"/>
              <w:ind w:left="11"/>
              <w:jc w:val="center"/>
            </w:pPr>
            <w:r>
              <w:rPr>
                <w:rFonts w:ascii="Arial" w:eastAsia="Arial" w:hAnsi="Arial" w:cs="Arial"/>
                <w:sz w:val="13"/>
              </w:rPr>
              <w:t>-2244111,52</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-1652171,23</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-1101321,10</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-590479,77</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3"/>
              <w:jc w:val="center"/>
            </w:pPr>
            <w:r>
              <w:rPr>
                <w:rFonts w:ascii="Arial" w:eastAsia="Arial" w:hAnsi="Arial" w:cs="Arial"/>
                <w:sz w:val="13"/>
              </w:rPr>
              <w:t>-118590,31</w:t>
            </w:r>
          </w:p>
        </w:tc>
        <w:tc>
          <w:tcPr>
            <w:tcW w:w="1038" w:type="dxa"/>
            <w:tcBorders>
              <w:top w:val="nil"/>
              <w:left w:val="single" w:sz="3" w:space="0" w:color="000000"/>
              <w:bottom w:val="single" w:sz="3" w:space="0" w:color="000000"/>
              <w:right w:val="single" w:sz="3" w:space="0" w:color="000000"/>
            </w:tcBorders>
          </w:tcPr>
          <w:p w:rsidR="00FF384B" w:rsidRDefault="003E3BA9">
            <w:pPr>
              <w:spacing w:after="0"/>
              <w:ind w:left="10"/>
              <w:jc w:val="center"/>
            </w:pPr>
            <w:r>
              <w:rPr>
                <w:rFonts w:ascii="Arial" w:eastAsia="Arial" w:hAnsi="Arial" w:cs="Arial"/>
                <w:sz w:val="13"/>
              </w:rPr>
              <w:t>315380,25</w:t>
            </w:r>
          </w:p>
        </w:tc>
        <w:tc>
          <w:tcPr>
            <w:tcW w:w="1037" w:type="dxa"/>
            <w:tcBorders>
              <w:top w:val="nil"/>
              <w:left w:val="single" w:sz="3" w:space="0" w:color="000000"/>
              <w:bottom w:val="single" w:sz="3" w:space="0" w:color="000000"/>
              <w:right w:val="single" w:sz="3" w:space="0" w:color="000000"/>
            </w:tcBorders>
          </w:tcPr>
          <w:p w:rsidR="00FF384B" w:rsidRDefault="003E3BA9">
            <w:pPr>
              <w:spacing w:after="0"/>
              <w:ind w:left="9"/>
              <w:jc w:val="center"/>
            </w:pPr>
            <w:r>
              <w:rPr>
                <w:rFonts w:ascii="Arial" w:eastAsia="Arial" w:hAnsi="Arial" w:cs="Arial"/>
                <w:sz w:val="13"/>
              </w:rPr>
              <w:t>712441,53</w:t>
            </w:r>
          </w:p>
        </w:tc>
      </w:tr>
      <w:tr w:rsidR="00FF384B">
        <w:trPr>
          <w:trHeight w:val="203"/>
        </w:trPr>
        <w:tc>
          <w:tcPr>
            <w:tcW w:w="3160" w:type="dxa"/>
            <w:tcBorders>
              <w:top w:val="single" w:sz="3" w:space="0" w:color="000000"/>
              <w:left w:val="single" w:sz="3" w:space="0" w:color="D4D4D4"/>
              <w:bottom w:val="single" w:sz="3" w:space="0" w:color="D4D4D4"/>
              <w:right w:val="nil"/>
            </w:tcBorders>
          </w:tcPr>
          <w:p w:rsidR="00FF384B" w:rsidRDefault="00FF384B"/>
        </w:tc>
        <w:tc>
          <w:tcPr>
            <w:tcW w:w="1273" w:type="dxa"/>
            <w:vMerge w:val="restart"/>
            <w:tcBorders>
              <w:top w:val="single" w:sz="3" w:space="0" w:color="000000"/>
              <w:left w:val="nil"/>
              <w:bottom w:val="single" w:sz="3" w:space="0" w:color="D4D4D4"/>
              <w:right w:val="single" w:sz="3" w:space="0" w:color="000000"/>
            </w:tcBorders>
          </w:tcPr>
          <w:p w:rsidR="00FF384B" w:rsidRDefault="00FF384B"/>
        </w:tc>
        <w:tc>
          <w:tcPr>
            <w:tcW w:w="6911" w:type="dxa"/>
            <w:gridSpan w:val="6"/>
            <w:tcBorders>
              <w:top w:val="single" w:sz="3" w:space="0" w:color="000000"/>
              <w:left w:val="single" w:sz="3" w:space="0" w:color="000000"/>
              <w:bottom w:val="single" w:sz="3" w:space="0" w:color="000000"/>
              <w:right w:val="nil"/>
            </w:tcBorders>
            <w:shd w:val="clear" w:color="auto" w:fill="FF0000"/>
          </w:tcPr>
          <w:p w:rsidR="00FF384B" w:rsidRDefault="003E3BA9">
            <w:pPr>
              <w:spacing w:after="0"/>
              <w:ind w:left="528"/>
            </w:pPr>
            <w:r>
              <w:rPr>
                <w:rFonts w:ascii="Arial" w:eastAsia="Arial" w:hAnsi="Arial" w:cs="Arial"/>
                <w:b/>
                <w:sz w:val="16"/>
              </w:rPr>
              <w:t>años de recuperacion de inversión</w:t>
            </w:r>
          </w:p>
        </w:tc>
        <w:tc>
          <w:tcPr>
            <w:tcW w:w="1038" w:type="dxa"/>
            <w:tcBorders>
              <w:top w:val="single" w:sz="3" w:space="0" w:color="000000"/>
              <w:left w:val="nil"/>
              <w:bottom w:val="single" w:sz="3" w:space="0" w:color="000000"/>
              <w:right w:val="single" w:sz="3" w:space="0" w:color="000000"/>
            </w:tcBorders>
            <w:shd w:val="clear" w:color="auto" w:fill="00B050"/>
          </w:tcPr>
          <w:p w:rsidR="00FF384B" w:rsidRDefault="00FF384B"/>
        </w:tc>
        <w:tc>
          <w:tcPr>
            <w:tcW w:w="1037" w:type="dxa"/>
            <w:tcBorders>
              <w:top w:val="single" w:sz="3" w:space="0" w:color="000000"/>
              <w:left w:val="single" w:sz="3" w:space="0" w:color="000000"/>
              <w:bottom w:val="single" w:sz="3" w:space="0" w:color="D4D4D4"/>
              <w:right w:val="single" w:sz="3" w:space="0" w:color="D4D4D4"/>
            </w:tcBorders>
          </w:tcPr>
          <w:p w:rsidR="00FF384B" w:rsidRDefault="00FF384B"/>
        </w:tc>
      </w:tr>
      <w:tr w:rsidR="00FF384B">
        <w:trPr>
          <w:trHeight w:val="156"/>
        </w:trPr>
        <w:tc>
          <w:tcPr>
            <w:tcW w:w="3160" w:type="dxa"/>
            <w:tcBorders>
              <w:top w:val="single" w:sz="3" w:space="0" w:color="D4D4D4"/>
              <w:left w:val="single" w:sz="3" w:space="0" w:color="D4D4D4"/>
              <w:bottom w:val="single" w:sz="10" w:space="0" w:color="000000"/>
              <w:right w:val="single" w:sz="3" w:space="0" w:color="D4D4D4"/>
            </w:tcBorders>
          </w:tcPr>
          <w:p w:rsidR="00FF384B" w:rsidRDefault="00FF384B"/>
        </w:tc>
        <w:tc>
          <w:tcPr>
            <w:tcW w:w="0" w:type="auto"/>
            <w:vMerge/>
            <w:tcBorders>
              <w:top w:val="nil"/>
              <w:left w:val="nil"/>
              <w:bottom w:val="single" w:sz="3" w:space="0" w:color="D4D4D4"/>
              <w:right w:val="single" w:sz="3" w:space="0" w:color="000000"/>
            </w:tcBorders>
          </w:tcPr>
          <w:p w:rsidR="00FF384B" w:rsidRDefault="00FF384B"/>
        </w:tc>
        <w:tc>
          <w:tcPr>
            <w:tcW w:w="7949" w:type="dxa"/>
            <w:gridSpan w:val="7"/>
            <w:tcBorders>
              <w:top w:val="single" w:sz="3" w:space="0" w:color="000000"/>
              <w:left w:val="single" w:sz="3" w:space="0" w:color="000000"/>
              <w:bottom w:val="single" w:sz="3" w:space="0" w:color="000000"/>
              <w:right w:val="single" w:sz="3" w:space="0" w:color="000000"/>
            </w:tcBorders>
          </w:tcPr>
          <w:p w:rsidR="00FF384B" w:rsidRDefault="003E3BA9">
            <w:pPr>
              <w:spacing w:after="0"/>
              <w:ind w:left="2"/>
              <w:jc w:val="center"/>
            </w:pPr>
            <w:r>
              <w:rPr>
                <w:rFonts w:ascii="Arial" w:eastAsia="Arial" w:hAnsi="Arial" w:cs="Arial"/>
                <w:sz w:val="13"/>
              </w:rPr>
              <w:t>duracion del contrato 7 años</w:t>
            </w:r>
          </w:p>
        </w:tc>
        <w:tc>
          <w:tcPr>
            <w:tcW w:w="1037" w:type="dxa"/>
            <w:tcBorders>
              <w:top w:val="single" w:sz="3" w:space="0" w:color="D4D4D4"/>
              <w:left w:val="single" w:sz="3" w:space="0" w:color="000000"/>
              <w:bottom w:val="single" w:sz="3" w:space="0" w:color="D4D4D4"/>
              <w:right w:val="single" w:sz="3" w:space="0" w:color="D4D4D4"/>
            </w:tcBorders>
          </w:tcPr>
          <w:p w:rsidR="00FF384B" w:rsidRDefault="00FF384B"/>
        </w:tc>
      </w:tr>
    </w:tbl>
    <w:p w:rsidR="00FF384B" w:rsidRDefault="003E3BA9">
      <w:pPr>
        <w:spacing w:after="4" w:line="247" w:lineRule="auto"/>
        <w:ind w:left="437" w:right="665" w:hanging="10"/>
        <w:jc w:val="both"/>
      </w:pPr>
      <w:r>
        <w:rPr>
          <w:noProof/>
        </w:rPr>
        <mc:AlternateContent>
          <mc:Choice Requires="wpg">
            <w:drawing>
              <wp:anchor distT="0" distB="0" distL="114300" distR="114300" simplePos="0" relativeHeight="251942912" behindDoc="0" locked="0" layoutInCell="1" allowOverlap="1">
                <wp:simplePos x="0" y="0"/>
                <wp:positionH relativeFrom="column">
                  <wp:posOffset>252984</wp:posOffset>
                </wp:positionH>
                <wp:positionV relativeFrom="paragraph">
                  <wp:posOffset>-1502648</wp:posOffset>
                </wp:positionV>
                <wp:extent cx="9243060" cy="3797300"/>
                <wp:effectExtent l="0" t="0" r="0" b="0"/>
                <wp:wrapSquare wrapText="bothSides"/>
                <wp:docPr id="546709" name="Group 546709"/>
                <wp:cNvGraphicFramePr/>
                <a:graphic xmlns:a="http://schemas.openxmlformats.org/drawingml/2006/main">
                  <a:graphicData uri="http://schemas.microsoft.com/office/word/2010/wordprocessingGroup">
                    <wpg:wgp>
                      <wpg:cNvGrpSpPr/>
                      <wpg:grpSpPr>
                        <a:xfrm>
                          <a:off x="0" y="0"/>
                          <a:ext cx="9243060" cy="3797300"/>
                          <a:chOff x="0" y="0"/>
                          <a:chExt cx="9243060" cy="3797300"/>
                        </a:xfrm>
                      </wpg:grpSpPr>
                      <wps:wsp>
                        <wps:cNvPr id="51658" name="Rectangle 51658"/>
                        <wps:cNvSpPr/>
                        <wps:spPr>
                          <a:xfrm>
                            <a:off x="7061962" y="3572815"/>
                            <a:ext cx="1773555"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659" name="Rectangle 51659"/>
                        <wps:cNvSpPr/>
                        <wps:spPr>
                          <a:xfrm>
                            <a:off x="8395716" y="3628609"/>
                            <a:ext cx="195103" cy="131081"/>
                          </a:xfrm>
                          <a:prstGeom prst="rect">
                            <a:avLst/>
                          </a:prstGeom>
                          <a:ln>
                            <a:noFill/>
                          </a:ln>
                        </wps:spPr>
                        <wps:txbx>
                          <w:txbxContent>
                            <w:p w:rsidR="00FF384B" w:rsidRDefault="003E3BA9">
                              <w:r>
                                <w:rPr>
                                  <w:rFonts w:ascii="Arial" w:eastAsia="Arial" w:hAnsi="Arial" w:cs="Arial"/>
                                  <w:sz w:val="14"/>
                                </w:rPr>
                                <w:t>277</w:t>
                              </w:r>
                            </w:p>
                          </w:txbxContent>
                        </wps:txbx>
                        <wps:bodyPr horzOverflow="overflow" vert="horz" lIns="0" tIns="0" rIns="0" bIns="0" rtlCol="0">
                          <a:noAutofit/>
                        </wps:bodyPr>
                      </wps:wsp>
                      <wps:wsp>
                        <wps:cNvPr id="51660" name="Rectangle 51660"/>
                        <wps:cNvSpPr/>
                        <wps:spPr>
                          <a:xfrm>
                            <a:off x="8543544" y="3572815"/>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1665" name="Picture 51665"/>
                          <pic:cNvPicPr/>
                        </pic:nvPicPr>
                        <pic:blipFill>
                          <a:blip r:embed="rId79"/>
                          <a:stretch>
                            <a:fillRect/>
                          </a:stretch>
                        </pic:blipFill>
                        <pic:spPr>
                          <a:xfrm>
                            <a:off x="1869948" y="3442208"/>
                            <a:ext cx="5189220" cy="266700"/>
                          </a:xfrm>
                          <a:prstGeom prst="rect">
                            <a:avLst/>
                          </a:prstGeom>
                        </pic:spPr>
                      </pic:pic>
                      <wps:wsp>
                        <wps:cNvPr id="567238" name="Shape 567238"/>
                        <wps:cNvSpPr/>
                        <wps:spPr>
                          <a:xfrm>
                            <a:off x="0" y="2693670"/>
                            <a:ext cx="9243060" cy="160020"/>
                          </a:xfrm>
                          <a:custGeom>
                            <a:avLst/>
                            <a:gdLst/>
                            <a:ahLst/>
                            <a:cxnLst/>
                            <a:rect l="0" t="0" r="0" b="0"/>
                            <a:pathLst>
                              <a:path w="9243060" h="160020">
                                <a:moveTo>
                                  <a:pt x="0" y="0"/>
                                </a:moveTo>
                                <a:lnTo>
                                  <a:pt x="9243060" y="0"/>
                                </a:lnTo>
                                <a:lnTo>
                                  <a:pt x="9243060" y="160020"/>
                                </a:lnTo>
                                <a:lnTo>
                                  <a:pt x="0" y="16002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1680" name="Rectangle 51680"/>
                        <wps:cNvSpPr/>
                        <wps:spPr>
                          <a:xfrm>
                            <a:off x="3678047" y="2696322"/>
                            <a:ext cx="2505096" cy="207921"/>
                          </a:xfrm>
                          <a:prstGeom prst="rect">
                            <a:avLst/>
                          </a:prstGeom>
                          <a:ln>
                            <a:noFill/>
                          </a:ln>
                        </wps:spPr>
                        <wps:txbx>
                          <w:txbxContent>
                            <w:p w:rsidR="00FF384B" w:rsidRDefault="003E3BA9">
                              <w:r>
                                <w:rPr>
                                  <w:rFonts w:ascii="Arial" w:eastAsia="Arial" w:hAnsi="Arial" w:cs="Arial"/>
                                  <w:b/>
                                  <w:i/>
                                </w:rPr>
                                <w:t>DURACIÓN DEL CONTRATO</w:t>
                              </w:r>
                            </w:p>
                          </w:txbxContent>
                        </wps:txbx>
                        <wps:bodyPr horzOverflow="overflow" vert="horz" lIns="0" tIns="0" rIns="0" bIns="0" rtlCol="0">
                          <a:noAutofit/>
                        </wps:bodyPr>
                      </wps:wsp>
                      <wps:wsp>
                        <wps:cNvPr id="51681" name="Rectangle 51681"/>
                        <wps:cNvSpPr/>
                        <wps:spPr>
                          <a:xfrm>
                            <a:off x="5563489" y="2696322"/>
                            <a:ext cx="51809" cy="207921"/>
                          </a:xfrm>
                          <a:prstGeom prst="rect">
                            <a:avLst/>
                          </a:prstGeom>
                          <a:ln>
                            <a:noFill/>
                          </a:ln>
                        </wps:spPr>
                        <wps:txbx>
                          <w:txbxContent>
                            <w:p w:rsidR="00FF384B" w:rsidRDefault="003E3BA9">
                              <w:r>
                                <w:rPr>
                                  <w:rFonts w:ascii="Arial" w:eastAsia="Arial" w:hAnsi="Arial" w:cs="Arial"/>
                                  <w:b/>
                                  <w:i/>
                                </w:rPr>
                                <w:t xml:space="preserve"> </w:t>
                              </w:r>
                            </w:p>
                          </w:txbxContent>
                        </wps:txbx>
                        <wps:bodyPr horzOverflow="overflow" vert="horz" lIns="0" tIns="0" rIns="0" bIns="0" rtlCol="0">
                          <a:noAutofit/>
                        </wps:bodyPr>
                      </wps:wsp>
                      <pic:pic xmlns:pic="http://schemas.openxmlformats.org/drawingml/2006/picture">
                        <pic:nvPicPr>
                          <pic:cNvPr id="52237" name="Picture 52237"/>
                          <pic:cNvPicPr/>
                        </pic:nvPicPr>
                        <pic:blipFill>
                          <a:blip r:embed="rId62"/>
                          <a:stretch>
                            <a:fillRect/>
                          </a:stretch>
                        </pic:blipFill>
                        <pic:spPr>
                          <a:xfrm rot="-5399999">
                            <a:off x="4978909" y="1720850"/>
                            <a:ext cx="3797299" cy="355600"/>
                          </a:xfrm>
                          <a:prstGeom prst="rect">
                            <a:avLst/>
                          </a:prstGeom>
                        </pic:spPr>
                      </pic:pic>
                      <wps:wsp>
                        <wps:cNvPr id="52238" name="Rectangle 52238"/>
                        <wps:cNvSpPr/>
                        <wps:spPr>
                          <a:xfrm rot="-5399999">
                            <a:off x="4751240"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2239" name="Rectangle 52239"/>
                        <wps:cNvSpPr/>
                        <wps:spPr>
                          <a:xfrm rot="-5399999">
                            <a:off x="4964003"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46709" style="width:727.8pt;height:299pt;position:absolute;mso-position-horizontal-relative:text;mso-position-horizontal:absolute;margin-left:19.92pt;mso-position-vertical-relative:text;margin-top:-118.319pt;" coordsize="92430,37973">
                <v:rect id="Rectangle 51658" style="position:absolute;width:17735;height:2243;left:70619;top:3572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659" style="position:absolute;width:1951;height:1310;left:83957;top:36286;" filled="f" stroked="f">
                  <v:textbox inset="0,0,0,0">
                    <w:txbxContent>
                      <w:p>
                        <w:pPr>
                          <w:spacing w:before="0" w:after="160" w:line="259" w:lineRule="auto"/>
                        </w:pPr>
                        <w:r>
                          <w:rPr>
                            <w:rFonts w:cs="Arial" w:hAnsi="Arial" w:eastAsia="Arial" w:ascii="Arial"/>
                            <w:sz w:val="14"/>
                          </w:rPr>
                          <w:t xml:space="preserve">277</w:t>
                        </w:r>
                      </w:p>
                    </w:txbxContent>
                  </v:textbox>
                </v:rect>
                <v:rect id="Rectangle 51660" style="position:absolute;width:506;height:2243;left:85435;top:3572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1665" style="position:absolute;width:51892;height:2667;left:18699;top:34422;" filled="f">
                  <v:imagedata r:id="rId80"/>
                </v:shape>
                <v:shape id="Shape 567239" style="position:absolute;width:92430;height:1600;left:0;top:26936;" coordsize="9243060,160020" path="m0,0l9243060,0l9243060,160020l0,160020l0,0">
                  <v:stroke weight="0pt" endcap="flat" joinstyle="miter" miterlimit="10" on="false" color="#000000" opacity="0"/>
                  <v:fill on="true" color="#e0e0e0"/>
                </v:shape>
                <v:rect id="Rectangle 51680" style="position:absolute;width:25050;height:2079;left:36780;top:26963;" filled="f" stroked="f">
                  <v:textbox inset="0,0,0,0">
                    <w:txbxContent>
                      <w:p>
                        <w:pPr>
                          <w:spacing w:before="0" w:after="160" w:line="259" w:lineRule="auto"/>
                        </w:pPr>
                        <w:r>
                          <w:rPr>
                            <w:rFonts w:cs="Arial" w:hAnsi="Arial" w:eastAsia="Arial" w:ascii="Arial"/>
                            <w:b w:val="1"/>
                            <w:i w:val="1"/>
                            <w:sz w:val="22"/>
                          </w:rPr>
                          <w:t xml:space="preserve">DURACIÓN DEL CONTRATO</w:t>
                        </w:r>
                      </w:p>
                    </w:txbxContent>
                  </v:textbox>
                </v:rect>
                <v:rect id="Rectangle 51681" style="position:absolute;width:518;height:2079;left:55634;top:26963;" filled="f" stroked="f">
                  <v:textbox inset="0,0,0,0">
                    <w:txbxContent>
                      <w:p>
                        <w:pPr>
                          <w:spacing w:before="0" w:after="160" w:line="259" w:lineRule="auto"/>
                        </w:pPr>
                        <w:r>
                          <w:rPr>
                            <w:rFonts w:cs="Arial" w:hAnsi="Arial" w:eastAsia="Arial" w:ascii="Arial"/>
                            <w:b w:val="1"/>
                            <w:i w:val="1"/>
                            <w:sz w:val="22"/>
                          </w:rPr>
                          <w:t xml:space="preserve"> </w:t>
                        </w:r>
                      </w:p>
                    </w:txbxContent>
                  </v:textbox>
                </v:rect>
                <v:shape id="Picture 52237" style="position:absolute;width:37972;height:3556;left:49789;top:17208;rotation:-89;" filled="f">
                  <v:imagedata r:id="rId63"/>
                </v:shape>
                <v:rect id="Rectangle 52238" style="position:absolute;width:47358;height:1132;left:47512;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239" style="position:absolute;width:44627;height:1132;left:49640;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277 de 353 </w:t>
                        </w:r>
                      </w:p>
                    </w:txbxContent>
                  </v:textbox>
                </v:rect>
                <w10:wrap type="square"/>
              </v:group>
            </w:pict>
          </mc:Fallback>
        </mc:AlternateContent>
      </w:r>
      <w:r>
        <w:rPr>
          <w:rFonts w:ascii="Arial" w:eastAsia="Arial" w:hAnsi="Arial" w:cs="Arial"/>
          <w:i/>
        </w:rPr>
        <w:t>En base a la fórmula del Artículo 10 del Real Decreto 55/2017</w:t>
      </w:r>
      <w:r>
        <w:rPr>
          <w:rFonts w:ascii="Arial" w:eastAsia="Arial" w:hAnsi="Arial" w:cs="Arial"/>
          <w:i/>
        </w:rPr>
        <w:t xml:space="preserve">, las inversiones se recuperarán el año en el que el valor capital en el origen sea mayor que cero, por tanto, el estudio determina que el plazo para recuperar las inversiones es de </w:t>
      </w:r>
      <w:r>
        <w:rPr>
          <w:rFonts w:ascii="Arial" w:eastAsia="Arial" w:hAnsi="Arial" w:cs="Arial"/>
          <w:b/>
          <w:i/>
          <w:u w:val="single" w:color="000000"/>
        </w:rPr>
        <w:t>7 AÑOS.</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i/>
        </w:rPr>
        <w:t xml:space="preserve"> </w:t>
      </w:r>
    </w:p>
    <w:p w:rsidR="00FF384B" w:rsidRDefault="003E3BA9">
      <w:pPr>
        <w:spacing w:after="98"/>
        <w:ind w:left="788"/>
      </w:pPr>
      <w:r>
        <w:rPr>
          <w:rFonts w:ascii="Arial" w:eastAsia="Arial" w:hAnsi="Arial" w:cs="Arial"/>
          <w:i/>
        </w:rPr>
        <w:t xml:space="preserve"> </w:t>
      </w:r>
    </w:p>
    <w:p w:rsidR="00FF384B" w:rsidRDefault="003E3BA9">
      <w:pPr>
        <w:spacing w:after="98"/>
        <w:ind w:left="788"/>
      </w:pPr>
      <w:r>
        <w:rPr>
          <w:rFonts w:ascii="Arial" w:eastAsia="Arial" w:hAnsi="Arial" w:cs="Arial"/>
          <w:i/>
        </w:rPr>
        <w:t xml:space="preserve"> </w:t>
      </w:r>
    </w:p>
    <w:p w:rsidR="00FF384B" w:rsidRDefault="003E3BA9">
      <w:pPr>
        <w:spacing w:after="0"/>
        <w:ind w:left="788"/>
      </w:pPr>
      <w:r>
        <w:rPr>
          <w:rFonts w:ascii="Arial" w:eastAsia="Arial" w:hAnsi="Arial" w:cs="Arial"/>
          <w:i/>
        </w:rPr>
        <w:t xml:space="preserve"> </w:t>
      </w:r>
    </w:p>
    <w:p w:rsidR="00FF384B" w:rsidRDefault="003E3BA9">
      <w:pPr>
        <w:spacing w:after="216" w:line="247" w:lineRule="auto"/>
        <w:ind w:left="437" w:right="8" w:hanging="10"/>
        <w:jc w:val="both"/>
      </w:pPr>
      <w:r>
        <w:rPr>
          <w:rFonts w:ascii="Arial" w:eastAsia="Arial" w:hAnsi="Arial" w:cs="Arial"/>
          <w:i/>
        </w:rPr>
        <w:t xml:space="preserve">Conforme lo dispuesto en el artículo 29.4 de la </w:t>
      </w:r>
      <w:r>
        <w:rPr>
          <w:rFonts w:ascii="Arial" w:eastAsia="Arial" w:hAnsi="Arial" w:cs="Arial"/>
          <w:b/>
          <w:i/>
        </w:rPr>
        <w:t>Ley 9/201</w:t>
      </w:r>
      <w:r>
        <w:rPr>
          <w:rFonts w:ascii="Arial" w:eastAsia="Arial" w:hAnsi="Arial" w:cs="Arial"/>
          <w:b/>
          <w:i/>
        </w:rPr>
        <w:t xml:space="preserve">7 de Contratos del Sector Público, </w:t>
      </w:r>
      <w:r>
        <w:rPr>
          <w:rFonts w:ascii="Arial" w:eastAsia="Arial" w:hAnsi="Arial" w:cs="Arial"/>
          <w:i/>
        </w:rPr>
        <w:t xml:space="preserve">se recoge que un contrato de servicios se podrá establecer un plazo de duración superior al establecido cuando </w:t>
      </w:r>
      <w:r>
        <w:rPr>
          <w:rFonts w:ascii="Arial" w:eastAsia="Arial" w:hAnsi="Arial" w:cs="Arial"/>
          <w:b/>
          <w:i/>
          <w:u w:val="single" w:color="000000"/>
        </w:rPr>
        <w:t>lo exija el periodo de recuperación de la inversión directamente relacionadas</w:t>
      </w:r>
      <w:r>
        <w:rPr>
          <w:rFonts w:ascii="Arial" w:eastAsia="Arial" w:hAnsi="Arial" w:cs="Arial"/>
          <w:b/>
          <w:i/>
        </w:rPr>
        <w:t xml:space="preserve"> </w:t>
      </w:r>
      <w:r>
        <w:rPr>
          <w:rFonts w:ascii="Arial" w:eastAsia="Arial" w:hAnsi="Arial" w:cs="Arial"/>
          <w:b/>
          <w:i/>
          <w:u w:val="single" w:color="000000"/>
        </w:rPr>
        <w:t>con el contrato</w:t>
      </w:r>
      <w:r>
        <w:rPr>
          <w:rFonts w:ascii="Arial" w:eastAsia="Arial" w:hAnsi="Arial" w:cs="Arial"/>
          <w:i/>
          <w:u w:val="single" w:color="000000"/>
        </w:rPr>
        <w:t xml:space="preserve"> </w:t>
      </w:r>
      <w:r>
        <w:rPr>
          <w:rFonts w:ascii="Arial" w:eastAsia="Arial" w:hAnsi="Arial" w:cs="Arial"/>
          <w:b/>
          <w:i/>
          <w:u w:val="single" w:color="000000"/>
        </w:rPr>
        <w:t>y estas no sean susceptibles de utilizarse en el resto de la actividad productiva del contratista o</w:t>
      </w:r>
      <w:r>
        <w:rPr>
          <w:rFonts w:ascii="Arial" w:eastAsia="Arial" w:hAnsi="Arial" w:cs="Arial"/>
          <w:i/>
          <w:u w:val="single" w:color="000000"/>
        </w:rPr>
        <w:t xml:space="preserve"> </w:t>
      </w:r>
      <w:r>
        <w:rPr>
          <w:rFonts w:ascii="Arial" w:eastAsia="Arial" w:hAnsi="Arial" w:cs="Arial"/>
          <w:b/>
          <w:i/>
          <w:u w:val="single" w:color="000000"/>
        </w:rPr>
        <w:t>su utilización fuera</w:t>
      </w:r>
      <w:r>
        <w:rPr>
          <w:rFonts w:ascii="Arial" w:eastAsia="Arial" w:hAnsi="Arial" w:cs="Arial"/>
          <w:b/>
          <w:i/>
        </w:rPr>
        <w:t xml:space="preserve"> </w:t>
      </w:r>
      <w:r>
        <w:rPr>
          <w:rFonts w:ascii="Arial" w:eastAsia="Arial" w:hAnsi="Arial" w:cs="Arial"/>
          <w:b/>
          <w:i/>
          <w:u w:val="single" w:color="000000"/>
        </w:rPr>
        <w:t>antieconómica</w:t>
      </w:r>
      <w:r>
        <w:rPr>
          <w:rFonts w:ascii="Arial" w:eastAsia="Arial" w:hAnsi="Arial" w:cs="Arial"/>
          <w:i/>
        </w:rPr>
        <w:t>, siempre que la amortización de dichas inversiones sea un coste relevante en la prestación del suministro o servicio.</w:t>
      </w:r>
      <w:r>
        <w:rPr>
          <w:rFonts w:ascii="Times New Roman" w:eastAsia="Times New Roman" w:hAnsi="Times New Roman" w:cs="Times New Roman"/>
          <w:sz w:val="24"/>
        </w:rPr>
        <w:t xml:space="preserve"> </w:t>
      </w:r>
    </w:p>
    <w:p w:rsidR="00FF384B" w:rsidRDefault="003E3BA9">
      <w:pPr>
        <w:spacing w:after="246" w:line="247" w:lineRule="auto"/>
        <w:ind w:left="437" w:hanging="10"/>
        <w:jc w:val="both"/>
      </w:pPr>
      <w:r>
        <w:rPr>
          <w:rFonts w:ascii="Arial" w:eastAsia="Arial" w:hAnsi="Arial" w:cs="Arial"/>
          <w:i/>
        </w:rPr>
        <w:t xml:space="preserve">La inversión inicial para este tipo de contrato es para la adquisición de contenedores, maquinaria y equipos, siendo este coste amortizable un coste relevante en el servicio. </w:t>
      </w:r>
    </w:p>
    <w:p w:rsidR="00FF384B" w:rsidRDefault="003E3BA9">
      <w:pPr>
        <w:spacing w:after="211" w:line="247" w:lineRule="auto"/>
        <w:ind w:left="437" w:right="244" w:hanging="10"/>
        <w:jc w:val="both"/>
      </w:pPr>
      <w:r>
        <w:rPr>
          <w:rFonts w:ascii="Arial" w:eastAsia="Arial" w:hAnsi="Arial" w:cs="Arial"/>
          <w:i/>
        </w:rPr>
        <w:t xml:space="preserve">Por tanto, la duración del contrato tendrá una duración de </w:t>
      </w:r>
      <w:r>
        <w:rPr>
          <w:rFonts w:ascii="Arial" w:eastAsia="Arial" w:hAnsi="Arial" w:cs="Arial"/>
          <w:b/>
          <w:i/>
        </w:rPr>
        <w:t>7 años</w:t>
      </w:r>
      <w:r>
        <w:rPr>
          <w:rFonts w:ascii="Arial" w:eastAsia="Arial" w:hAnsi="Arial" w:cs="Arial"/>
          <w:i/>
        </w:rPr>
        <w:t xml:space="preserve"> como refleja e</w:t>
      </w:r>
      <w:r>
        <w:rPr>
          <w:rFonts w:ascii="Arial" w:eastAsia="Arial" w:hAnsi="Arial" w:cs="Arial"/>
          <w:i/>
        </w:rPr>
        <w:t>l estudio de la recuperación de la inversión.</w:t>
      </w:r>
      <w:r>
        <w:rPr>
          <w:rFonts w:ascii="Times New Roman" w:eastAsia="Times New Roman" w:hAnsi="Times New Roman" w:cs="Times New Roman"/>
          <w:sz w:val="24"/>
        </w:rPr>
        <w:t xml:space="preserve"> </w:t>
      </w:r>
    </w:p>
    <w:p w:rsidR="00FF384B" w:rsidRDefault="003E3BA9">
      <w:pPr>
        <w:spacing w:after="111"/>
        <w:ind w:left="788"/>
      </w:pPr>
      <w:r>
        <w:rPr>
          <w:rFonts w:ascii="Arial" w:eastAsia="Arial" w:hAnsi="Arial" w:cs="Arial"/>
          <w:i/>
        </w:rPr>
        <w:t xml:space="preserve"> </w:t>
      </w:r>
    </w:p>
    <w:p w:rsidR="00FF384B" w:rsidRDefault="003E3BA9">
      <w:pPr>
        <w:pStyle w:val="Ttulo3"/>
        <w:ind w:left="425" w:right="0"/>
      </w:pPr>
      <w:r>
        <w:t>CONCLUSIONES</w:t>
      </w:r>
      <w:r>
        <w:rPr>
          <w:rFonts w:ascii="Times New Roman" w:eastAsia="Times New Roman" w:hAnsi="Times New Roman" w:cs="Times New Roman"/>
          <w:b w:val="0"/>
          <w:i w:val="0"/>
          <w:sz w:val="24"/>
        </w:rPr>
        <w:t xml:space="preserve"> </w:t>
      </w:r>
    </w:p>
    <w:p w:rsidR="00FF384B" w:rsidRDefault="003E3BA9">
      <w:pPr>
        <w:tabs>
          <w:tab w:val="center" w:pos="427"/>
          <w:tab w:val="center" w:pos="6553"/>
        </w:tabs>
        <w:spacing w:after="4" w:line="247" w:lineRule="auto"/>
      </w:pPr>
      <w:r>
        <w:tab/>
      </w:r>
      <w:r>
        <w:rPr>
          <w:rFonts w:ascii="Arial" w:eastAsia="Arial" w:hAnsi="Arial" w:cs="Arial"/>
          <w:i/>
        </w:rPr>
        <w:t xml:space="preserve"> </w:t>
      </w:r>
      <w:r>
        <w:rPr>
          <w:rFonts w:ascii="Arial" w:eastAsia="Arial" w:hAnsi="Arial" w:cs="Arial"/>
          <w:i/>
        </w:rPr>
        <w:tab/>
        <w:t>El presente estudio demuestra, tras los cálculos anteriormente expuestos, dos aspectos importantes a tener en cuenta:</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i/>
        </w:rPr>
        <w:t xml:space="preserve"> </w:t>
      </w:r>
    </w:p>
    <w:p w:rsidR="00FF384B" w:rsidRDefault="003E3BA9">
      <w:pPr>
        <w:numPr>
          <w:ilvl w:val="0"/>
          <w:numId w:val="315"/>
        </w:numPr>
        <w:spacing w:after="4" w:line="247" w:lineRule="auto"/>
        <w:ind w:right="3" w:hanging="10"/>
        <w:jc w:val="both"/>
      </w:pPr>
      <w:r>
        <w:rPr>
          <w:rFonts w:ascii="Arial" w:eastAsia="Arial" w:hAnsi="Arial" w:cs="Arial"/>
          <w:i/>
        </w:rPr>
        <w:t>En el presente proyecto de licitación, teniendo en cuenta los datos d</w:t>
      </w:r>
      <w:r>
        <w:rPr>
          <w:rFonts w:ascii="Arial" w:eastAsia="Arial" w:hAnsi="Arial" w:cs="Arial"/>
          <w:i/>
        </w:rPr>
        <w:t>e partida del presente estudio, se demuestra que en el periodo “ordinario” de cinco años no resulta posible que el adjudicatario recupere las inversiones realizadas para la prestación del servicio</w:t>
      </w:r>
      <w:r>
        <w:rPr>
          <w:rFonts w:ascii="Times New Roman" w:eastAsia="Times New Roman" w:hAnsi="Times New Roman" w:cs="Times New Roman"/>
          <w:i/>
          <w:sz w:val="24"/>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numPr>
          <w:ilvl w:val="0"/>
          <w:numId w:val="315"/>
        </w:numPr>
        <w:spacing w:after="124" w:line="247" w:lineRule="auto"/>
        <w:ind w:right="3" w:hanging="10"/>
        <w:jc w:val="both"/>
      </w:pPr>
      <w:r>
        <w:rPr>
          <w:noProof/>
        </w:rPr>
        <mc:AlternateContent>
          <mc:Choice Requires="wpg">
            <w:drawing>
              <wp:anchor distT="0" distB="0" distL="114300" distR="114300" simplePos="0" relativeHeight="251943936" behindDoc="1" locked="0" layoutInCell="1" allowOverlap="1">
                <wp:simplePos x="0" y="0"/>
                <wp:positionH relativeFrom="column">
                  <wp:posOffset>6952743</wp:posOffset>
                </wp:positionH>
                <wp:positionV relativeFrom="paragraph">
                  <wp:posOffset>-740648</wp:posOffset>
                </wp:positionV>
                <wp:extent cx="524148" cy="3797300"/>
                <wp:effectExtent l="0" t="0" r="0" b="0"/>
                <wp:wrapNone/>
                <wp:docPr id="500953" name="Group 50095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528" name="Picture 52528"/>
                          <pic:cNvPicPr/>
                        </pic:nvPicPr>
                        <pic:blipFill>
                          <a:blip r:embed="rId62"/>
                          <a:stretch>
                            <a:fillRect/>
                          </a:stretch>
                        </pic:blipFill>
                        <pic:spPr>
                          <a:xfrm rot="-5399999">
                            <a:off x="-1720849" y="1720850"/>
                            <a:ext cx="3797299" cy="355600"/>
                          </a:xfrm>
                          <a:prstGeom prst="rect">
                            <a:avLst/>
                          </a:prstGeom>
                        </pic:spPr>
                      </pic:pic>
                      <wps:wsp>
                        <wps:cNvPr id="52529" name="Rectangle 5252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Validación: 9792ADAG9QWZ53RMHD5RCHL7K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52530" name="Rectangle 5253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0953" style="width:41.2715pt;height:299pt;position:absolute;z-index:-2147483573;mso-position-horizontal-relative:text;mso-position-horizontal:absolute;margin-left:547.46pt;mso-position-vertical-relative:text;margin-top:-58.3188pt;" coordsize="5241,37973">
                <v:shape id="Picture 52528" style="position:absolute;width:37972;height:3556;left:-17208;top:17208;rotation:-89;" filled="f">
                  <v:imagedata r:id="rId63"/>
                </v:shape>
                <v:rect id="Rectangle 525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53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278 de 353 </w:t>
                        </w:r>
                      </w:p>
                    </w:txbxContent>
                  </v:textbox>
                </v:rect>
              </v:group>
            </w:pict>
          </mc:Fallback>
        </mc:AlternateContent>
      </w:r>
      <w:r>
        <w:rPr>
          <w:rFonts w:ascii="Arial" w:eastAsia="Arial" w:hAnsi="Arial" w:cs="Arial"/>
          <w:i/>
        </w:rPr>
        <w:t>Si se tiene en cuenta lo señalado en la Ley 9/2017, de 8 de noviembre, de Contratos del Sector Público, por la qu</w:t>
      </w:r>
      <w:r>
        <w:rPr>
          <w:rFonts w:ascii="Arial" w:eastAsia="Arial" w:hAnsi="Arial" w:cs="Arial"/>
          <w:i/>
        </w:rPr>
        <w:t>e se transponen al ordenamiento jurídico español las Directivas del Parlamento Europeo y del Consejo 2014/23/UE y 2014/24/UE, de 26 de febrero de 2014 que permite elevar la duración máxima del Contrato de Servicios, en caso de ser necesario para la recuper</w:t>
      </w:r>
      <w:r>
        <w:rPr>
          <w:rFonts w:ascii="Arial" w:eastAsia="Arial" w:hAnsi="Arial" w:cs="Arial"/>
          <w:i/>
        </w:rPr>
        <w:t xml:space="preserve">ación de las inversiones a llevar a cabo y la Ley 2/2015, de 30 de marzo, de desindexación de la economía española. Artículo 10 Período de recuperación de la inversión de los contratos que establece el tiempo necesario para la recuperación de la inversión </w:t>
      </w:r>
      <w:r>
        <w:rPr>
          <w:rFonts w:ascii="Arial" w:eastAsia="Arial" w:hAnsi="Arial" w:cs="Arial"/>
          <w:i/>
        </w:rPr>
        <w:t>y la indicación de permitir al contratista la obtención de unos beneficios sobre el capital invertido en condiciones normales de explotación, se concluye del presente estudio la necesidad de incrementar, en dos, los años de duración del Contrato de Servici</w:t>
      </w:r>
      <w:r>
        <w:rPr>
          <w:rFonts w:ascii="Arial" w:eastAsia="Arial" w:hAnsi="Arial" w:cs="Arial"/>
          <w:i/>
        </w:rPr>
        <w:t xml:space="preserve">os para su viabilidad.” </w:t>
      </w:r>
    </w:p>
    <w:p w:rsidR="00FF384B" w:rsidRDefault="003E3BA9">
      <w:pPr>
        <w:spacing w:after="0"/>
        <w:ind w:left="427"/>
      </w:pPr>
      <w:r>
        <w:rPr>
          <w:rFonts w:ascii="Times New Roman" w:eastAsia="Times New Roman" w:hAnsi="Times New Roman" w:cs="Times New Roman"/>
          <w:i/>
          <w:sz w:val="24"/>
        </w:rPr>
        <w:t xml:space="preserve"> </w:t>
      </w:r>
    </w:p>
    <w:p w:rsidR="00FF384B" w:rsidRDefault="003E3BA9">
      <w:pPr>
        <w:spacing w:after="0"/>
        <w:ind w:left="427"/>
      </w:pPr>
      <w:r>
        <w:rPr>
          <w:rFonts w:ascii="Times New Roman" w:eastAsia="Times New Roman" w:hAnsi="Times New Roman" w:cs="Times New Roman"/>
          <w:i/>
          <w:sz w:val="24"/>
        </w:rPr>
        <w:t xml:space="preserve"> </w:t>
      </w:r>
    </w:p>
    <w:p w:rsidR="00FF384B" w:rsidRDefault="003E3BA9">
      <w:pPr>
        <w:pStyle w:val="Ttulo3"/>
        <w:shd w:val="clear" w:color="auto" w:fill="auto"/>
        <w:spacing w:after="9" w:line="249" w:lineRule="auto"/>
        <w:ind w:left="427" w:right="43"/>
      </w:pPr>
      <w:r>
        <w:t xml:space="preserve">FUNDAMENTOS DE DERECHO </w:t>
      </w:r>
    </w:p>
    <w:p w:rsidR="00FF384B" w:rsidRDefault="003E3BA9">
      <w:pPr>
        <w:spacing w:after="0"/>
        <w:ind w:left="436"/>
        <w:jc w:val="center"/>
      </w:pPr>
      <w:r>
        <w:rPr>
          <w:rFonts w:ascii="Arial" w:eastAsia="Arial" w:hAnsi="Arial" w:cs="Arial"/>
          <w:b/>
          <w:i/>
        </w:rPr>
        <w:t xml:space="preserve"> </w:t>
      </w:r>
    </w:p>
    <w:p w:rsidR="00FF384B" w:rsidRDefault="003E3BA9">
      <w:pPr>
        <w:spacing w:after="0"/>
        <w:ind w:left="436"/>
        <w:jc w:val="center"/>
      </w:pPr>
      <w:r>
        <w:rPr>
          <w:rFonts w:ascii="Arial" w:eastAsia="Arial" w:hAnsi="Arial" w:cs="Arial"/>
          <w:b/>
          <w:i/>
        </w:rPr>
        <w:t xml:space="preserve"> </w:t>
      </w:r>
    </w:p>
    <w:p w:rsidR="00FF384B" w:rsidRDefault="003E3BA9">
      <w:pPr>
        <w:spacing w:after="108" w:line="249" w:lineRule="auto"/>
        <w:ind w:left="427" w:right="40" w:hanging="10"/>
        <w:jc w:val="center"/>
      </w:pPr>
      <w:r>
        <w:rPr>
          <w:rFonts w:ascii="Arial" w:eastAsia="Arial" w:hAnsi="Arial" w:cs="Arial"/>
          <w:b/>
          <w:i/>
        </w:rPr>
        <w:t xml:space="preserve">PRIMERO: </w:t>
      </w:r>
    </w:p>
    <w:p w:rsidR="00FF384B" w:rsidRDefault="003E3BA9">
      <w:pPr>
        <w:spacing w:after="171" w:line="247" w:lineRule="auto"/>
        <w:ind w:left="437" w:hanging="10"/>
        <w:jc w:val="both"/>
      </w:pPr>
      <w:r>
        <w:rPr>
          <w:rFonts w:ascii="Arial" w:eastAsia="Arial" w:hAnsi="Arial" w:cs="Arial"/>
        </w:rPr>
        <w:t>“Artículo 29.4. Plazo de duración de los contratos y de ejecución de la prestación, de la Ley 9/2017, de 8 de noviembre, de Contratos del Sector Público.</w:t>
      </w:r>
      <w:r>
        <w:rPr>
          <w:color w:val="2E74B5"/>
          <w:sz w:val="24"/>
        </w:rPr>
        <w:t xml:space="preserve"> </w:t>
      </w:r>
    </w:p>
    <w:p w:rsidR="00FF384B" w:rsidRDefault="003E3BA9">
      <w:pPr>
        <w:spacing w:after="144"/>
        <w:ind w:left="427"/>
      </w:pPr>
      <w:r>
        <w:rPr>
          <w:rFonts w:ascii="Times New Roman" w:eastAsia="Times New Roman" w:hAnsi="Times New Roman" w:cs="Times New Roman"/>
          <w:i/>
          <w:sz w:val="24"/>
        </w:rPr>
        <w:t xml:space="preserve"> </w:t>
      </w:r>
    </w:p>
    <w:p w:rsidR="00FF384B" w:rsidRDefault="003E3BA9">
      <w:pPr>
        <w:spacing w:after="172" w:line="247" w:lineRule="auto"/>
        <w:ind w:left="427" w:right="7" w:firstLine="360"/>
        <w:jc w:val="both"/>
      </w:pPr>
      <w:r>
        <w:rPr>
          <w:rFonts w:ascii="Arial" w:eastAsia="Arial" w:hAnsi="Arial" w:cs="Arial"/>
          <w:i/>
        </w:rPr>
        <w:t>4. Los contratos de suministros y de servicios de prestación sucesiva tendrán un plazo máximo de duración de cinco años, incluyendo las posibles prórrogas que en aplicación del apartado segundo de este artículo acuerde el órgano de contratación, respetando</w:t>
      </w:r>
      <w:r>
        <w:rPr>
          <w:rFonts w:ascii="Arial" w:eastAsia="Arial" w:hAnsi="Arial" w:cs="Arial"/>
          <w:i/>
        </w:rPr>
        <w:t xml:space="preserve"> las condiciones y límites establecidos en las respectivas normas presupuestarias que sean aplicables al ente contratante. </w:t>
      </w:r>
    </w:p>
    <w:p w:rsidR="00FF384B" w:rsidRDefault="003E3BA9">
      <w:pPr>
        <w:spacing w:after="172" w:line="247" w:lineRule="auto"/>
        <w:ind w:left="427" w:right="4" w:firstLine="360"/>
        <w:jc w:val="both"/>
      </w:pPr>
      <w:r>
        <w:rPr>
          <w:rFonts w:ascii="Arial" w:eastAsia="Arial" w:hAnsi="Arial" w:cs="Arial"/>
          <w:i/>
        </w:rPr>
        <w:t>Excepcionalmente, en los contratos de suministros y de servicios se podrá establecer un plazo de duración superior al establecido en</w:t>
      </w:r>
      <w:r>
        <w:rPr>
          <w:rFonts w:ascii="Arial" w:eastAsia="Arial" w:hAnsi="Arial" w:cs="Arial"/>
          <w:i/>
        </w:rPr>
        <w:t xml:space="preserve"> el párrafo anterior, cuando lo exija el período de recuperación de las inversiones directamente relacionadas con el contrato y estas no sean susceptibles de utilizarse en el resto de la actividad productiva del contratista o su utilización fuera antieconó</w:t>
      </w:r>
      <w:r>
        <w:rPr>
          <w:rFonts w:ascii="Arial" w:eastAsia="Arial" w:hAnsi="Arial" w:cs="Arial"/>
          <w:i/>
        </w:rPr>
        <w:t>mica, siempre que la amortización de dichas inversiones sea un coste relevante en la prestación del suministro o servicio, circunstancias que deberán ser justificadas en el expediente de contratación con indicación de las inversiones a las que se refiera y</w:t>
      </w:r>
      <w:r>
        <w:rPr>
          <w:rFonts w:ascii="Arial" w:eastAsia="Arial" w:hAnsi="Arial" w:cs="Arial"/>
          <w:i/>
        </w:rPr>
        <w:t xml:space="preserve"> de su período de recuperación. El concepto de coste relevante en la prestación del suministro o servicio será objeto de desarrollo reglamentario. </w:t>
      </w:r>
    </w:p>
    <w:p w:rsidR="00FF384B" w:rsidRDefault="003E3BA9">
      <w:pPr>
        <w:spacing w:after="174" w:line="247" w:lineRule="auto"/>
        <w:ind w:left="427" w:right="8" w:firstLine="360"/>
        <w:jc w:val="both"/>
      </w:pPr>
      <w:r>
        <w:rPr>
          <w:rFonts w:ascii="Arial" w:eastAsia="Arial" w:hAnsi="Arial" w:cs="Arial"/>
          <w:i/>
        </w:rPr>
        <w:t>El contrato de servicios de mantenimiento que se concierte conjuntamente con el de la compra del bien a mant</w:t>
      </w:r>
      <w:r>
        <w:rPr>
          <w:rFonts w:ascii="Arial" w:eastAsia="Arial" w:hAnsi="Arial" w:cs="Arial"/>
          <w:i/>
        </w:rPr>
        <w:t xml:space="preserve">ener, cuando dicho mantenimiento solo pueda ser prestado por razones de exclusividad por la empresa que suministró dicho bien, podrá tener como plazo de duración el de la vida útil del producto adquirido. </w:t>
      </w:r>
    </w:p>
    <w:p w:rsidR="00FF384B" w:rsidRDefault="003E3BA9">
      <w:pPr>
        <w:spacing w:after="172" w:line="247" w:lineRule="auto"/>
        <w:ind w:left="427" w:firstLine="360"/>
        <w:jc w:val="both"/>
      </w:pPr>
      <w:r>
        <w:rPr>
          <w:rFonts w:ascii="Arial" w:eastAsia="Arial" w:hAnsi="Arial" w:cs="Arial"/>
          <w:i/>
        </w:rPr>
        <w:t>Asimismo, podrá establecerse en los contratos de servicios relativos a los servicios a las personas un plazo de duración mayor cuando ello fuera necesario para la continuidad de aquellos tratamientos a los usuarios en los que el cambio del prestador pudier</w:t>
      </w:r>
      <w:r>
        <w:rPr>
          <w:rFonts w:ascii="Arial" w:eastAsia="Arial" w:hAnsi="Arial" w:cs="Arial"/>
          <w:i/>
        </w:rPr>
        <w:t xml:space="preserve">a repercutir negativamente. </w:t>
      </w:r>
    </w:p>
    <w:p w:rsidR="00FF384B" w:rsidRDefault="003E3BA9">
      <w:pPr>
        <w:spacing w:after="187" w:line="247" w:lineRule="auto"/>
        <w:ind w:left="427" w:right="8" w:firstLine="360"/>
        <w:jc w:val="both"/>
      </w:pPr>
      <w:r>
        <w:rPr>
          <w:noProof/>
        </w:rPr>
        <mc:AlternateContent>
          <mc:Choice Requires="wpg">
            <w:drawing>
              <wp:anchor distT="0" distB="0" distL="114300" distR="114300" simplePos="0" relativeHeight="251944960" behindDoc="1" locked="0" layoutInCell="1" allowOverlap="1">
                <wp:simplePos x="0" y="0"/>
                <wp:positionH relativeFrom="column">
                  <wp:posOffset>6952743</wp:posOffset>
                </wp:positionH>
                <wp:positionV relativeFrom="paragraph">
                  <wp:posOffset>-1206992</wp:posOffset>
                </wp:positionV>
                <wp:extent cx="524148" cy="3797300"/>
                <wp:effectExtent l="0" t="0" r="0" b="0"/>
                <wp:wrapNone/>
                <wp:docPr id="501081" name="Group 50108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605" name="Picture 52605"/>
                          <pic:cNvPicPr/>
                        </pic:nvPicPr>
                        <pic:blipFill>
                          <a:blip r:embed="rId62"/>
                          <a:stretch>
                            <a:fillRect/>
                          </a:stretch>
                        </pic:blipFill>
                        <pic:spPr>
                          <a:xfrm rot="-5399999">
                            <a:off x="-1720849" y="1720850"/>
                            <a:ext cx="3797299" cy="355600"/>
                          </a:xfrm>
                          <a:prstGeom prst="rect">
                            <a:avLst/>
                          </a:prstGeom>
                        </pic:spPr>
                      </pic:pic>
                      <wps:wsp>
                        <wps:cNvPr id="52606" name="Rectangle 5260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2607" name="Rectangle 5260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279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1081" style="width:41.2715pt;height:299pt;position:absolute;z-index:-2147483584;mso-position-horizontal-relative:text;mso-position-horizontal:absolute;margin-left:547.46pt;mso-position-vertical-relative:text;margin-top:-95.0388pt;" coordsize="5241,37973">
                <v:shape id="Picture 52605" style="position:absolute;width:37972;height:3556;left:-17208;top:17208;rotation:-89;" filled="f">
                  <v:imagedata r:id="rId63"/>
                </v:shape>
                <v:rect id="Rectangle 5260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60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279 de 353 </w:t>
                        </w:r>
                      </w:p>
                    </w:txbxContent>
                  </v:textbox>
                </v:rect>
              </v:group>
            </w:pict>
          </mc:Fallback>
        </mc:AlternateContent>
      </w:r>
      <w:r>
        <w:rPr>
          <w:rFonts w:ascii="Arial" w:eastAsia="Arial" w:hAnsi="Arial" w:cs="Arial"/>
          <w:i/>
        </w:rPr>
        <w:t>No obstante lo establecido en</w:t>
      </w:r>
      <w:r>
        <w:rPr>
          <w:rFonts w:ascii="Arial" w:eastAsia="Arial" w:hAnsi="Arial" w:cs="Arial"/>
          <w:i/>
        </w:rPr>
        <w:t xml:space="preserve"> los apartados anteriores, cuando al vencimiento de un contrato no se hubiera formalizado el nuevo contrato que garantice la continuidad de la prestación a realizar por el contratista como consecuencia de incidencias resultantes de acontecimientos imprevis</w:t>
      </w:r>
      <w:r>
        <w:rPr>
          <w:rFonts w:ascii="Arial" w:eastAsia="Arial" w:hAnsi="Arial" w:cs="Arial"/>
          <w:i/>
        </w:rPr>
        <w:t>ibles para el órgano de contratación producidas en el procedimiento de adjudicación y existan razones de interés público para no interrumpir la prestación, se podrá prorrogar el contrato originario hasta que comience la ejecución del nuevo contrato y en to</w:t>
      </w:r>
      <w:r>
        <w:rPr>
          <w:rFonts w:ascii="Arial" w:eastAsia="Arial" w:hAnsi="Arial" w:cs="Arial"/>
          <w:i/>
        </w:rPr>
        <w:t>do caso por un periodo máximo de nueve meses, sin modificar las restantes condiciones del contrato, siempre que el anuncio de licitación del nuevo contrato se haya publicado con una antelación mínima de tres meses respecto de la fecha de finalización del c</w:t>
      </w:r>
      <w:r>
        <w:rPr>
          <w:rFonts w:ascii="Arial" w:eastAsia="Arial" w:hAnsi="Arial" w:cs="Arial"/>
          <w:i/>
        </w:rPr>
        <w:t xml:space="preserve">ontrato originario.” </w:t>
      </w:r>
    </w:p>
    <w:p w:rsidR="00FF384B" w:rsidRDefault="003E3BA9">
      <w:pPr>
        <w:spacing w:after="0"/>
        <w:ind w:left="427"/>
      </w:pPr>
      <w:r>
        <w:rPr>
          <w:rFonts w:ascii="Times New Roman" w:eastAsia="Times New Roman" w:hAnsi="Times New Roman" w:cs="Times New Roman"/>
          <w:i/>
          <w:sz w:val="24"/>
        </w:rPr>
        <w:t xml:space="preserve"> </w:t>
      </w:r>
    </w:p>
    <w:p w:rsidR="00FF384B" w:rsidRDefault="003E3BA9">
      <w:pPr>
        <w:spacing w:after="0"/>
        <w:ind w:left="435"/>
        <w:jc w:val="center"/>
      </w:pPr>
      <w:r>
        <w:rPr>
          <w:rFonts w:ascii="Times New Roman" w:eastAsia="Times New Roman" w:hAnsi="Times New Roman" w:cs="Times New Roman"/>
          <w:b/>
          <w:i/>
          <w:sz w:val="24"/>
        </w:rPr>
        <w:t xml:space="preserve"> </w:t>
      </w:r>
    </w:p>
    <w:p w:rsidR="00FF384B" w:rsidRDefault="003E3BA9">
      <w:pPr>
        <w:spacing w:after="108" w:line="249" w:lineRule="auto"/>
        <w:ind w:left="427" w:right="43" w:hanging="10"/>
        <w:jc w:val="center"/>
      </w:pPr>
      <w:r>
        <w:rPr>
          <w:rFonts w:ascii="Arial" w:eastAsia="Arial" w:hAnsi="Arial" w:cs="Arial"/>
          <w:b/>
          <w:i/>
        </w:rPr>
        <w:t xml:space="preserve">SEGUNDO: </w:t>
      </w:r>
    </w:p>
    <w:p w:rsidR="00FF384B" w:rsidRDefault="003E3BA9">
      <w:pPr>
        <w:spacing w:after="356" w:line="247" w:lineRule="auto"/>
        <w:ind w:left="1388" w:right="593"/>
        <w:jc w:val="both"/>
      </w:pPr>
      <w:r>
        <w:rPr>
          <w:rFonts w:ascii="Arial" w:eastAsia="Arial" w:hAnsi="Arial" w:cs="Arial"/>
          <w:b/>
          <w:i/>
        </w:rPr>
        <w:t>Revisión de precios en los contratos de las entidades del Sector Público, Ley 9/2017, de 8 de noviembre, de Contratos del Sector Público</w:t>
      </w:r>
      <w:r>
        <w:rPr>
          <w:rFonts w:ascii="Times New Roman" w:eastAsia="Times New Roman" w:hAnsi="Times New Roman" w:cs="Times New Roman"/>
          <w:sz w:val="24"/>
        </w:rPr>
        <w:t xml:space="preserve"> </w:t>
      </w:r>
    </w:p>
    <w:p w:rsidR="00FF384B" w:rsidRDefault="003E3BA9">
      <w:pPr>
        <w:spacing w:after="144" w:line="247" w:lineRule="auto"/>
        <w:ind w:left="437" w:right="244" w:hanging="10"/>
        <w:jc w:val="both"/>
      </w:pPr>
      <w:r>
        <w:rPr>
          <w:rFonts w:ascii="Arial" w:eastAsia="Arial" w:hAnsi="Arial" w:cs="Arial"/>
        </w:rPr>
        <w:t>“Artículo 103. Procedencia y límites.</w:t>
      </w:r>
      <w:r>
        <w:rPr>
          <w:color w:val="2E74B5"/>
          <w:sz w:val="24"/>
        </w:rPr>
        <w:t xml:space="preserve"> </w:t>
      </w:r>
    </w:p>
    <w:p w:rsidR="00FF384B" w:rsidRDefault="003E3BA9">
      <w:pPr>
        <w:numPr>
          <w:ilvl w:val="0"/>
          <w:numId w:val="316"/>
        </w:numPr>
        <w:spacing w:after="171" w:line="247" w:lineRule="auto"/>
        <w:ind w:right="3" w:firstLine="360"/>
        <w:jc w:val="both"/>
      </w:pPr>
      <w:r>
        <w:rPr>
          <w:rFonts w:ascii="Arial" w:eastAsia="Arial" w:hAnsi="Arial" w:cs="Arial"/>
          <w:i/>
        </w:rPr>
        <w:t xml:space="preserve">Los precios de los contratos del sector público solo podrán ser objeto de revisión periódica y predeterminada en los términos establecidos en este Capítulo. </w:t>
      </w:r>
    </w:p>
    <w:p w:rsidR="00FF384B" w:rsidRDefault="003E3BA9">
      <w:pPr>
        <w:spacing w:after="174" w:line="247" w:lineRule="auto"/>
        <w:ind w:left="427" w:firstLine="360"/>
        <w:jc w:val="both"/>
      </w:pPr>
      <w:r>
        <w:rPr>
          <w:rFonts w:ascii="Arial" w:eastAsia="Arial" w:hAnsi="Arial" w:cs="Arial"/>
          <w:i/>
        </w:rPr>
        <w:t>Salvo en los contratos no sujetos a regulación armonizada a los que se refiere el apartado 2 del a</w:t>
      </w:r>
      <w:r>
        <w:rPr>
          <w:rFonts w:ascii="Arial" w:eastAsia="Arial" w:hAnsi="Arial" w:cs="Arial"/>
          <w:i/>
        </w:rPr>
        <w:t xml:space="preserve">rtículo 19, no cabrá la revisión periódica no predeterminada o no periódica de los precios de los contratos. </w:t>
      </w:r>
    </w:p>
    <w:p w:rsidR="00FF384B" w:rsidRDefault="003E3BA9">
      <w:pPr>
        <w:spacing w:after="174" w:line="247" w:lineRule="auto"/>
        <w:ind w:left="427" w:firstLine="360"/>
        <w:jc w:val="both"/>
      </w:pPr>
      <w:r>
        <w:rPr>
          <w:rFonts w:ascii="Arial" w:eastAsia="Arial" w:hAnsi="Arial" w:cs="Arial"/>
          <w:i/>
        </w:rPr>
        <w:t>Se entenderá por precio cualquier retribución o contraprestación económica del contrato, bien sean abonadas por la Administración o por los usuari</w:t>
      </w:r>
      <w:r>
        <w:rPr>
          <w:rFonts w:ascii="Arial" w:eastAsia="Arial" w:hAnsi="Arial" w:cs="Arial"/>
          <w:i/>
        </w:rPr>
        <w:t xml:space="preserve">os. </w:t>
      </w:r>
    </w:p>
    <w:p w:rsidR="00FF384B" w:rsidRDefault="003E3BA9">
      <w:pPr>
        <w:numPr>
          <w:ilvl w:val="0"/>
          <w:numId w:val="316"/>
        </w:numPr>
        <w:spacing w:after="174" w:line="247" w:lineRule="auto"/>
        <w:ind w:right="3" w:firstLine="360"/>
        <w:jc w:val="both"/>
      </w:pPr>
      <w:r>
        <w:rPr>
          <w:noProof/>
        </w:rPr>
        <mc:AlternateContent>
          <mc:Choice Requires="wpg">
            <w:drawing>
              <wp:anchor distT="0" distB="0" distL="114300" distR="114300" simplePos="0" relativeHeight="251945984" behindDoc="1" locked="0" layoutInCell="1" allowOverlap="1">
                <wp:simplePos x="0" y="0"/>
                <wp:positionH relativeFrom="column">
                  <wp:posOffset>6952743</wp:posOffset>
                </wp:positionH>
                <wp:positionV relativeFrom="paragraph">
                  <wp:posOffset>91710</wp:posOffset>
                </wp:positionV>
                <wp:extent cx="524148" cy="3797300"/>
                <wp:effectExtent l="0" t="0" r="0" b="0"/>
                <wp:wrapNone/>
                <wp:docPr id="501183" name="Group 50118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681" name="Picture 52681"/>
                          <pic:cNvPicPr/>
                        </pic:nvPicPr>
                        <pic:blipFill>
                          <a:blip r:embed="rId62"/>
                          <a:stretch>
                            <a:fillRect/>
                          </a:stretch>
                        </pic:blipFill>
                        <pic:spPr>
                          <a:xfrm rot="-5399999">
                            <a:off x="-1720849" y="1720850"/>
                            <a:ext cx="3797299" cy="355600"/>
                          </a:xfrm>
                          <a:prstGeom prst="rect">
                            <a:avLst/>
                          </a:prstGeom>
                        </pic:spPr>
                      </pic:pic>
                      <wps:wsp>
                        <wps:cNvPr id="52682" name="Rectangle 5268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2683" name="Rectangle 5268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1183" style="width:41.2715pt;height:299pt;position:absolute;z-index:-2147483581;mso-position-horizontal-relative:text;mso-position-horizontal:absolute;margin-left:547.46pt;mso-position-vertical-relative:text;margin-top:7.22122pt;" coordsize="5241,37973">
                <v:shape id="Picture 52681" style="position:absolute;width:37972;height:3556;left:-17208;top:17208;rotation:-89;" filled="f">
                  <v:imagedata r:id="rId63"/>
                </v:shape>
                <v:rect id="Rectangle 5268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68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280 de 353 </w:t>
                        </w:r>
                      </w:p>
                    </w:txbxContent>
                  </v:textbox>
                </v:rect>
              </v:group>
            </w:pict>
          </mc:Fallback>
        </mc:AlternateContent>
      </w:r>
      <w:r>
        <w:rPr>
          <w:rFonts w:ascii="Arial" w:eastAsia="Arial" w:hAnsi="Arial" w:cs="Arial"/>
          <w:i/>
        </w:rPr>
        <w:t>Previa justificación en el expediente y de conformida</w:t>
      </w:r>
      <w:r>
        <w:rPr>
          <w:rFonts w:ascii="Arial" w:eastAsia="Arial" w:hAnsi="Arial" w:cs="Arial"/>
          <w:i/>
        </w:rPr>
        <w:t xml:space="preserve">d con lo previsto en el Real Decreto al que se refieren los artículos 4 y 5 de la Ley 2/2015, de 30 de marzo, de desindexación de la economía española, la revisión periódica y predeterminada de precios solo se podrá llevar a cabo en los contratos de obra, </w:t>
      </w:r>
      <w:r>
        <w:rPr>
          <w:rFonts w:ascii="Arial" w:eastAsia="Arial" w:hAnsi="Arial" w:cs="Arial"/>
          <w:i/>
        </w:rPr>
        <w:t xml:space="preserve">en los contratos de suministros de fabricación de armamento y equipamiento de las Administraciones Públicas, en los contratos de suministro de energía y en aquellos otros contratos en los que el período de recuperación de la inversión sea igual o superior </w:t>
      </w:r>
      <w:r>
        <w:rPr>
          <w:rFonts w:ascii="Arial" w:eastAsia="Arial" w:hAnsi="Arial" w:cs="Arial"/>
          <w:i/>
        </w:rPr>
        <w:t xml:space="preserve">a cinco años. Dicho período se calculará conforme a lo dispuesto en el Real Decreto anteriormente citado. </w:t>
      </w:r>
    </w:p>
    <w:p w:rsidR="00FF384B" w:rsidRDefault="003E3BA9">
      <w:pPr>
        <w:spacing w:after="172" w:line="247" w:lineRule="auto"/>
        <w:ind w:left="427" w:right="7" w:firstLine="360"/>
        <w:jc w:val="both"/>
      </w:pPr>
      <w:r>
        <w:rPr>
          <w:rFonts w:ascii="Arial" w:eastAsia="Arial" w:hAnsi="Arial" w:cs="Arial"/>
          <w:i/>
        </w:rPr>
        <w:t xml:space="preserve">No se considerarán revisables en ningún caso los costes asociados a las amortizaciones, los costes financieros, los gastos generales o de estructura </w:t>
      </w:r>
      <w:r>
        <w:rPr>
          <w:rFonts w:ascii="Arial" w:eastAsia="Arial" w:hAnsi="Arial" w:cs="Arial"/>
          <w:i/>
        </w:rPr>
        <w:t>ni el beneficio industrial. Los costes de mano de obra de los contratos distintos de los de obra, suministro de fabricación de armamento y equipamiento de las Administraciones Públicas, se revisarán cuando el período de recuperación de la inversión sea igu</w:t>
      </w:r>
      <w:r>
        <w:rPr>
          <w:rFonts w:ascii="Arial" w:eastAsia="Arial" w:hAnsi="Arial" w:cs="Arial"/>
          <w:i/>
        </w:rPr>
        <w:t xml:space="preserve">al o superior a cinco años y la intensidad en el uso del factor trabajo sea considerada significativa, de acuerdo con los supuestos y límites establecidos en el Real Decreto. </w:t>
      </w:r>
    </w:p>
    <w:p w:rsidR="00FF384B" w:rsidRDefault="003E3BA9">
      <w:pPr>
        <w:numPr>
          <w:ilvl w:val="0"/>
          <w:numId w:val="316"/>
        </w:numPr>
        <w:spacing w:after="172" w:line="247" w:lineRule="auto"/>
        <w:ind w:right="3" w:firstLine="360"/>
        <w:jc w:val="both"/>
      </w:pPr>
      <w:r>
        <w:rPr>
          <w:rFonts w:ascii="Arial" w:eastAsia="Arial" w:hAnsi="Arial" w:cs="Arial"/>
          <w:i/>
        </w:rPr>
        <w:t>En los supuestos en que proceda, el órgano de contratación podrá establecer el derecho a revisión periódica y predeterminada de precios y fijará la fórmula de revisión que deba aplicarse, atendiendo a la naturaleza de cada contrato y la estructura y evoluc</w:t>
      </w:r>
      <w:r>
        <w:rPr>
          <w:rFonts w:ascii="Arial" w:eastAsia="Arial" w:hAnsi="Arial" w:cs="Arial"/>
          <w:i/>
        </w:rPr>
        <w:t xml:space="preserve">ión de los costes de las prestaciones del mismo. </w:t>
      </w:r>
    </w:p>
    <w:p w:rsidR="00FF384B" w:rsidRDefault="003E3BA9">
      <w:pPr>
        <w:numPr>
          <w:ilvl w:val="0"/>
          <w:numId w:val="316"/>
        </w:numPr>
        <w:spacing w:after="3" w:line="246" w:lineRule="auto"/>
        <w:ind w:right="3" w:firstLine="360"/>
        <w:jc w:val="both"/>
      </w:pPr>
      <w:r>
        <w:rPr>
          <w:rFonts w:ascii="Arial" w:eastAsia="Arial" w:hAnsi="Arial" w:cs="Arial"/>
          <w:i/>
        </w:rPr>
        <w:t>El pliego de cláusulas administrativas particulares deberá detallar, en tales casos, la fórmula de revisión aplicable, que será invariable durante la vigencia del contrato y determinará la revisión de preci</w:t>
      </w:r>
      <w:r>
        <w:rPr>
          <w:rFonts w:ascii="Arial" w:eastAsia="Arial" w:hAnsi="Arial" w:cs="Arial"/>
          <w:i/>
        </w:rPr>
        <w:t>os en cada fecha respecto a la fecha de formalización del contrato, siempre que la formalización se produzca en el plazo de tres meses desde la finalización del plazo de presentación de ofertas, o respecto a la fecha en que termine dicho plazo de tres mese</w:t>
      </w:r>
      <w:r>
        <w:rPr>
          <w:rFonts w:ascii="Arial" w:eastAsia="Arial" w:hAnsi="Arial" w:cs="Arial"/>
          <w:i/>
        </w:rPr>
        <w:t xml:space="preserve">s si la formalización se produce con posterioridad. </w:t>
      </w:r>
    </w:p>
    <w:p w:rsidR="00FF384B" w:rsidRDefault="003E3BA9">
      <w:pPr>
        <w:numPr>
          <w:ilvl w:val="0"/>
          <w:numId w:val="316"/>
        </w:numPr>
        <w:spacing w:after="174" w:line="247" w:lineRule="auto"/>
        <w:ind w:right="3" w:firstLine="360"/>
        <w:jc w:val="both"/>
      </w:pPr>
      <w:r>
        <w:rPr>
          <w:rFonts w:ascii="Arial" w:eastAsia="Arial" w:hAnsi="Arial" w:cs="Arial"/>
          <w:i/>
        </w:rPr>
        <w:t>Salvo en los contratos de suministro de energía, cuando proceda, la revisión periódica y predeterminada de precios en los contratos del sector público tendrá lugar, en los términos establecidos en este C</w:t>
      </w:r>
      <w:r>
        <w:rPr>
          <w:rFonts w:ascii="Arial" w:eastAsia="Arial" w:hAnsi="Arial" w:cs="Arial"/>
          <w:i/>
        </w:rPr>
        <w:t>apítulo, cuando el contrato se hubiese ejecutado, al menos, en el 20 por ciento de su importe y hubiesen transcurrido dos años desde su formalización. En consecuencia, el primer 20 por ciento ejecutado y los dos primeros años transcurridos desde la formali</w:t>
      </w:r>
      <w:r>
        <w:rPr>
          <w:rFonts w:ascii="Arial" w:eastAsia="Arial" w:hAnsi="Arial" w:cs="Arial"/>
          <w:i/>
        </w:rPr>
        <w:t xml:space="preserve">zación quedarán excluidos de la revisión. </w:t>
      </w:r>
    </w:p>
    <w:p w:rsidR="00FF384B" w:rsidRDefault="003E3BA9">
      <w:pPr>
        <w:spacing w:after="172" w:line="247" w:lineRule="auto"/>
        <w:ind w:left="427" w:firstLine="360"/>
        <w:jc w:val="both"/>
      </w:pPr>
      <w:r>
        <w:rPr>
          <w:rFonts w:ascii="Arial" w:eastAsia="Arial" w:hAnsi="Arial" w:cs="Arial"/>
          <w:i/>
        </w:rPr>
        <w:t xml:space="preserve">No obstante, la condición relativa al porcentaje de ejecución del contrato no será exigible a efectos de proceder a la revisión periódica y predeterminada en los contratos de concesión de servicios. </w:t>
      </w:r>
    </w:p>
    <w:p w:rsidR="00FF384B" w:rsidRDefault="003E3BA9">
      <w:pPr>
        <w:numPr>
          <w:ilvl w:val="0"/>
          <w:numId w:val="316"/>
        </w:numPr>
        <w:spacing w:after="171" w:line="247" w:lineRule="auto"/>
        <w:ind w:right="3" w:firstLine="360"/>
        <w:jc w:val="both"/>
      </w:pPr>
      <w:r>
        <w:rPr>
          <w:rFonts w:ascii="Arial" w:eastAsia="Arial" w:hAnsi="Arial" w:cs="Arial"/>
          <w:i/>
        </w:rPr>
        <w:t>El Consejo de Ministros podrá aprobar, previo informe de la Junta Consultiva de Contratación Pública del Estado y de la Comisión Delegada del Gobierno para Asuntos Económicos, fórmulas tipo de revisión periódica y predeterminada para los contratos previsto</w:t>
      </w:r>
      <w:r>
        <w:rPr>
          <w:rFonts w:ascii="Arial" w:eastAsia="Arial" w:hAnsi="Arial" w:cs="Arial"/>
          <w:i/>
        </w:rPr>
        <w:t xml:space="preserve">s en el apartado 2. </w:t>
      </w:r>
    </w:p>
    <w:p w:rsidR="00FF384B" w:rsidRDefault="003E3BA9">
      <w:pPr>
        <w:spacing w:after="172" w:line="247" w:lineRule="auto"/>
        <w:ind w:left="427" w:right="10" w:firstLine="360"/>
        <w:jc w:val="both"/>
      </w:pPr>
      <w:r>
        <w:rPr>
          <w:rFonts w:ascii="Arial" w:eastAsia="Arial" w:hAnsi="Arial" w:cs="Arial"/>
          <w:i/>
        </w:rPr>
        <w:t>A propuesta de la Administración Pública competente de la contratación, el Comité Superior de Precios de Contratos del Estado determinará aquellas actividades donde resulte conveniente contar con una fórmula tipo, elaborará las fórmula</w:t>
      </w:r>
      <w:r>
        <w:rPr>
          <w:rFonts w:ascii="Arial" w:eastAsia="Arial" w:hAnsi="Arial" w:cs="Arial"/>
          <w:i/>
        </w:rPr>
        <w:t xml:space="preserve">s y las remitirá para su aprobación al Consejo de Ministros. </w:t>
      </w:r>
    </w:p>
    <w:p w:rsidR="00FF384B" w:rsidRDefault="003E3BA9">
      <w:pPr>
        <w:spacing w:after="171" w:line="247" w:lineRule="auto"/>
        <w:ind w:left="427" w:firstLine="360"/>
        <w:jc w:val="both"/>
      </w:pPr>
      <w:r>
        <w:rPr>
          <w:rFonts w:ascii="Arial" w:eastAsia="Arial" w:hAnsi="Arial" w:cs="Arial"/>
          <w:i/>
        </w:rPr>
        <w:t>Cuando para un determinado tipo de contrato, se hayan aprobado, por el procedimiento descrito, fórmulas tipo, el órgano de contratación no podrá incluir otra fórmula de revisión diferente a esta</w:t>
      </w:r>
      <w:r>
        <w:rPr>
          <w:rFonts w:ascii="Arial" w:eastAsia="Arial" w:hAnsi="Arial" w:cs="Arial"/>
          <w:i/>
        </w:rPr>
        <w:t xml:space="preserve"> en los pliegos y contrato. </w:t>
      </w:r>
    </w:p>
    <w:p w:rsidR="00FF384B" w:rsidRDefault="003E3BA9">
      <w:pPr>
        <w:numPr>
          <w:ilvl w:val="0"/>
          <w:numId w:val="317"/>
        </w:numPr>
        <w:spacing w:after="172" w:line="247" w:lineRule="auto"/>
        <w:ind w:right="7" w:firstLine="360"/>
        <w:jc w:val="both"/>
      </w:pPr>
      <w:r>
        <w:rPr>
          <w:rFonts w:ascii="Arial" w:eastAsia="Arial" w:hAnsi="Arial" w:cs="Arial"/>
          <w:i/>
        </w:rPr>
        <w:t>Las fórmulas tipo que se establezcan con sujeción a los principios y metodologías contenidos en el Real Decreto referido en el apartado 2 de la presente disposición reflejarán la ponderación en el precio del contrato de los com</w:t>
      </w:r>
      <w:r>
        <w:rPr>
          <w:rFonts w:ascii="Arial" w:eastAsia="Arial" w:hAnsi="Arial" w:cs="Arial"/>
          <w:i/>
        </w:rPr>
        <w:t xml:space="preserve">ponentes básicos de costes relativos al proceso de generación de las prestaciones objeto del mismo. </w:t>
      </w:r>
    </w:p>
    <w:p w:rsidR="00FF384B" w:rsidRDefault="003E3BA9">
      <w:pPr>
        <w:numPr>
          <w:ilvl w:val="0"/>
          <w:numId w:val="317"/>
        </w:numPr>
        <w:spacing w:after="174" w:line="247" w:lineRule="auto"/>
        <w:ind w:right="7" w:firstLine="360"/>
        <w:jc w:val="both"/>
      </w:pPr>
      <w:r>
        <w:rPr>
          <w:rFonts w:ascii="Arial" w:eastAsia="Arial" w:hAnsi="Arial" w:cs="Arial"/>
          <w:i/>
        </w:rPr>
        <w:t xml:space="preserve">El Instituto Nacional de Estadística elaborará los índices mensuales de los precios de los componentes básicos de costes incluidos en las fórmulas tipo de </w:t>
      </w:r>
      <w:r>
        <w:rPr>
          <w:rFonts w:ascii="Arial" w:eastAsia="Arial" w:hAnsi="Arial" w:cs="Arial"/>
          <w:i/>
        </w:rPr>
        <w:t xml:space="preserve">revisión de precios de los contratos, los cuales serán aprobados por Orden del Ministro de Hacienda y Función Pública, previo informe del Comité Superior de Precios de Contratos del Estado. </w:t>
      </w:r>
    </w:p>
    <w:p w:rsidR="00FF384B" w:rsidRDefault="003E3BA9">
      <w:pPr>
        <w:spacing w:after="172" w:line="247" w:lineRule="auto"/>
        <w:ind w:left="427" w:firstLine="360"/>
        <w:jc w:val="both"/>
      </w:pPr>
      <w:r>
        <w:rPr>
          <w:rFonts w:ascii="Arial" w:eastAsia="Arial" w:hAnsi="Arial" w:cs="Arial"/>
          <w:i/>
        </w:rPr>
        <w:t>Los índices reflejarán, al alza o a la baja, las variaciones real</w:t>
      </w:r>
      <w:r>
        <w:rPr>
          <w:rFonts w:ascii="Arial" w:eastAsia="Arial" w:hAnsi="Arial" w:cs="Arial"/>
          <w:i/>
        </w:rPr>
        <w:t xml:space="preserve">es de los precios de la energía y materiales básicos observadas en el mercado y podrán ser únicos para todo el territorio nacional o particularizarse por zonas geográficas. </w:t>
      </w:r>
    </w:p>
    <w:p w:rsidR="00FF384B" w:rsidRDefault="003E3BA9">
      <w:pPr>
        <w:spacing w:after="4" w:line="247" w:lineRule="auto"/>
        <w:ind w:left="427" w:right="3" w:firstLine="360"/>
        <w:jc w:val="both"/>
      </w:pPr>
      <w:r>
        <w:rPr>
          <w:noProof/>
        </w:rPr>
        <mc:AlternateContent>
          <mc:Choice Requires="wpg">
            <w:drawing>
              <wp:anchor distT="0" distB="0" distL="114300" distR="114300" simplePos="0" relativeHeight="251947008" behindDoc="1" locked="0" layoutInCell="1" allowOverlap="1">
                <wp:simplePos x="0" y="0"/>
                <wp:positionH relativeFrom="column">
                  <wp:posOffset>6952743</wp:posOffset>
                </wp:positionH>
                <wp:positionV relativeFrom="paragraph">
                  <wp:posOffset>-2063480</wp:posOffset>
                </wp:positionV>
                <wp:extent cx="524148" cy="3797300"/>
                <wp:effectExtent l="0" t="0" r="0" b="0"/>
                <wp:wrapNone/>
                <wp:docPr id="501177" name="Group 50117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769" name="Picture 52769"/>
                          <pic:cNvPicPr/>
                        </pic:nvPicPr>
                        <pic:blipFill>
                          <a:blip r:embed="rId62"/>
                          <a:stretch>
                            <a:fillRect/>
                          </a:stretch>
                        </pic:blipFill>
                        <pic:spPr>
                          <a:xfrm rot="-5399999">
                            <a:off x="-1720849" y="1720850"/>
                            <a:ext cx="3797299" cy="355600"/>
                          </a:xfrm>
                          <a:prstGeom prst="rect">
                            <a:avLst/>
                          </a:prstGeom>
                        </pic:spPr>
                      </pic:pic>
                      <wps:wsp>
                        <wps:cNvPr id="52770" name="Rectangle 5277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52771" name="Rectangle 5277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1177" style="width:41.2715pt;height:299pt;position:absolute;z-index:-2147483575;mso-position-horizontal-relative:text;mso-position-horizontal:absolute;margin-left:547.46pt;mso-position-vertical-relative:text;margin-top:-162.479pt;" coordsize="5241,37973">
                <v:shape id="Picture 52769" style="position:absolute;width:37972;height:3556;left:-17208;top:17208;rotation:-89;" filled="f">
                  <v:imagedata r:id="rId63"/>
                </v:shape>
                <v:rect id="Rectangle 5277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77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281 de 353 </w:t>
                        </w:r>
                      </w:p>
                    </w:txbxContent>
                  </v:textbox>
                </v:rect>
              </v:group>
            </w:pict>
          </mc:Fallback>
        </mc:AlternateContent>
      </w:r>
      <w:r>
        <w:rPr>
          <w:rFonts w:ascii="Arial" w:eastAsia="Arial" w:hAnsi="Arial" w:cs="Arial"/>
          <w:i/>
        </w:rPr>
        <w:t>Reglamentariamente se establecerá la relación de componentes básicos de costes a incluir en las fórmulas tipo referidas en este apartado, relación que podrá ser ampliada por Orden del Ministro de Hacienda y Función Pública, previo informe de la Junta Consu</w:t>
      </w:r>
      <w:r>
        <w:rPr>
          <w:rFonts w:ascii="Arial" w:eastAsia="Arial" w:hAnsi="Arial" w:cs="Arial"/>
          <w:i/>
        </w:rPr>
        <w:t>ltiva de Contratación Pública del Estado cuando así lo exija la evolución de los procesos productivos o la aparición de nuevos materiales con participación relevante en el coste de determinados contratos o la creación de nuevas fórmulas tipo de acuerdo con</w:t>
      </w:r>
      <w:r>
        <w:rPr>
          <w:rFonts w:ascii="Arial" w:eastAsia="Arial" w:hAnsi="Arial" w:cs="Arial"/>
          <w:i/>
        </w:rPr>
        <w:t xml:space="preserve"> lo dispuesto en esta Ley y su desarrollo. </w:t>
      </w:r>
    </w:p>
    <w:p w:rsidR="00FF384B" w:rsidRDefault="003E3BA9">
      <w:pPr>
        <w:spacing w:after="174" w:line="247" w:lineRule="auto"/>
        <w:ind w:left="427" w:firstLine="360"/>
        <w:jc w:val="both"/>
      </w:pPr>
      <w:r>
        <w:rPr>
          <w:rFonts w:ascii="Arial" w:eastAsia="Arial" w:hAnsi="Arial" w:cs="Arial"/>
          <w:i/>
        </w:rPr>
        <w:t>Los indicadores o reglas de determinación de cada uno de los índices que intervienen en las fórmulas de revisión de precios serán establecidos por Orden del Ministerio de Hacienda y Función Pública, a propuesta d</w:t>
      </w:r>
      <w:r>
        <w:rPr>
          <w:rFonts w:ascii="Arial" w:eastAsia="Arial" w:hAnsi="Arial" w:cs="Arial"/>
          <w:i/>
        </w:rPr>
        <w:t xml:space="preserve">el Comité Superior de Precios de Contratos del Estado. </w:t>
      </w:r>
    </w:p>
    <w:p w:rsidR="00FF384B" w:rsidRDefault="003E3BA9">
      <w:pPr>
        <w:numPr>
          <w:ilvl w:val="0"/>
          <w:numId w:val="317"/>
        </w:numPr>
        <w:spacing w:after="172" w:line="247" w:lineRule="auto"/>
        <w:ind w:right="7" w:firstLine="360"/>
        <w:jc w:val="both"/>
      </w:pPr>
      <w:r>
        <w:rPr>
          <w:rFonts w:ascii="Arial" w:eastAsia="Arial" w:hAnsi="Arial" w:cs="Arial"/>
          <w:i/>
        </w:rPr>
        <w:t>Cuando resulte aplicable la revisión de precios mediante las fórmulas tipo referidas en el apartado 6 de la presente disposición, el resultado de aplicar las ponderaciones previstas en el apartado 7 a</w:t>
      </w:r>
      <w:r>
        <w:rPr>
          <w:rFonts w:ascii="Arial" w:eastAsia="Arial" w:hAnsi="Arial" w:cs="Arial"/>
          <w:i/>
        </w:rPr>
        <w:t xml:space="preserve"> los índices de precios, que se determinen conforme al apartado 8, proporcionará en cada fecha, respecto a la fecha y períodos determinados en el apartado 4, un coeficiente que se aplicará a los importes líquidos de las prestaciones realizadas que tengan d</w:t>
      </w:r>
      <w:r>
        <w:rPr>
          <w:rFonts w:ascii="Arial" w:eastAsia="Arial" w:hAnsi="Arial" w:cs="Arial"/>
          <w:i/>
        </w:rPr>
        <w:t xml:space="preserve">erecho a revisión a los efectos de calcular el precio que corresponda satisfacer. </w:t>
      </w:r>
    </w:p>
    <w:p w:rsidR="00FF384B" w:rsidRDefault="003E3BA9">
      <w:pPr>
        <w:numPr>
          <w:ilvl w:val="0"/>
          <w:numId w:val="317"/>
        </w:numPr>
        <w:spacing w:after="189" w:line="247" w:lineRule="auto"/>
        <w:ind w:right="7" w:firstLine="360"/>
        <w:jc w:val="both"/>
      </w:pPr>
      <w:r>
        <w:rPr>
          <w:rFonts w:ascii="Arial" w:eastAsia="Arial" w:hAnsi="Arial" w:cs="Arial"/>
          <w:i/>
        </w:rPr>
        <w:t xml:space="preserve">Lo establecido en este artículo y en la Ley 2/2015, de 30 de marzo, de desindexación de la economía española, se entenderá, en todo caso, sin perjuicio de la posibilidad de </w:t>
      </w:r>
      <w:r>
        <w:rPr>
          <w:rFonts w:ascii="Arial" w:eastAsia="Arial" w:hAnsi="Arial" w:cs="Arial"/>
          <w:i/>
        </w:rPr>
        <w:t xml:space="preserve">mantener el equilibrio económico en las circunstancias previstas en los artículos 270 y 290.” </w:t>
      </w:r>
    </w:p>
    <w:p w:rsidR="00FF384B" w:rsidRDefault="003E3BA9">
      <w:pPr>
        <w:spacing w:after="0"/>
        <w:ind w:left="435"/>
        <w:jc w:val="center"/>
      </w:pPr>
      <w:r>
        <w:rPr>
          <w:rFonts w:ascii="Times New Roman" w:eastAsia="Times New Roman" w:hAnsi="Times New Roman" w:cs="Times New Roman"/>
          <w:b/>
          <w:i/>
          <w:sz w:val="24"/>
        </w:rPr>
        <w:t xml:space="preserve"> </w:t>
      </w:r>
    </w:p>
    <w:p w:rsidR="00FF384B" w:rsidRDefault="003E3BA9">
      <w:pPr>
        <w:spacing w:after="0"/>
        <w:ind w:left="435"/>
        <w:jc w:val="center"/>
      </w:pPr>
      <w:r>
        <w:rPr>
          <w:rFonts w:ascii="Times New Roman" w:eastAsia="Times New Roman" w:hAnsi="Times New Roman" w:cs="Times New Roman"/>
          <w:b/>
          <w:i/>
          <w:sz w:val="24"/>
        </w:rPr>
        <w:t xml:space="preserve"> </w:t>
      </w:r>
    </w:p>
    <w:p w:rsidR="00FF384B" w:rsidRDefault="003E3BA9">
      <w:pPr>
        <w:spacing w:after="9" w:line="249" w:lineRule="auto"/>
        <w:ind w:left="427" w:right="40" w:hanging="10"/>
        <w:jc w:val="center"/>
      </w:pPr>
      <w:r>
        <w:rPr>
          <w:rFonts w:ascii="Arial" w:eastAsia="Arial" w:hAnsi="Arial" w:cs="Arial"/>
          <w:b/>
          <w:i/>
        </w:rPr>
        <w:t xml:space="preserve">TERCERO: </w:t>
      </w:r>
    </w:p>
    <w:p w:rsidR="00FF384B" w:rsidRDefault="003E3BA9">
      <w:pPr>
        <w:spacing w:after="0"/>
        <w:ind w:left="427"/>
      </w:pPr>
      <w:r>
        <w:rPr>
          <w:rFonts w:ascii="Times New Roman" w:eastAsia="Times New Roman" w:hAnsi="Times New Roman" w:cs="Times New Roman"/>
          <w:b/>
          <w:i/>
          <w:sz w:val="24"/>
        </w:rPr>
        <w:t xml:space="preserve"> </w:t>
      </w:r>
    </w:p>
    <w:p w:rsidR="00FF384B" w:rsidRDefault="003E3BA9">
      <w:pPr>
        <w:pBdr>
          <w:bottom w:val="single" w:sz="6" w:space="0" w:color="CCCCCC"/>
        </w:pBdr>
        <w:shd w:val="clear" w:color="auto" w:fill="F9F9F9"/>
        <w:spacing w:after="244"/>
        <w:ind w:left="427"/>
      </w:pPr>
      <w:r>
        <w:rPr>
          <w:rFonts w:ascii="Arial" w:eastAsia="Arial" w:hAnsi="Arial" w:cs="Arial"/>
          <w:b/>
          <w:i/>
        </w:rPr>
        <w:t xml:space="preserve">Real Decreto 55/2017, de 3 de febrero, por el que se desarrolla la Ley 2/2015, de 30 de marzo, de desindexación de la economía española. </w:t>
      </w:r>
    </w:p>
    <w:p w:rsidR="00FF384B" w:rsidRDefault="003E3BA9">
      <w:pPr>
        <w:spacing w:after="356"/>
        <w:ind w:left="427"/>
      </w:pPr>
      <w:r>
        <w:rPr>
          <w:rFonts w:ascii="Times New Roman" w:eastAsia="Times New Roman" w:hAnsi="Times New Roman" w:cs="Times New Roman"/>
          <w:i/>
          <w:sz w:val="24"/>
        </w:rPr>
        <w:t xml:space="preserve"> </w:t>
      </w:r>
    </w:p>
    <w:p w:rsidR="00FF384B" w:rsidRDefault="003E3BA9">
      <w:pPr>
        <w:spacing w:after="158" w:line="247" w:lineRule="auto"/>
        <w:ind w:left="437" w:hanging="10"/>
        <w:jc w:val="both"/>
      </w:pPr>
      <w:r>
        <w:rPr>
          <w:rFonts w:ascii="Arial" w:eastAsia="Arial" w:hAnsi="Arial" w:cs="Arial"/>
        </w:rPr>
        <w:t>“Artículo 9. Revisión periódica y predeterminada de precios en los contratos del sector público distintos a los contratos de obras y a los contratos de suministro de fabricación de armamento y equipamiento de las Administraciones Públicas.</w:t>
      </w:r>
      <w:r>
        <w:rPr>
          <w:color w:val="2E74B5"/>
          <w:sz w:val="24"/>
        </w:rPr>
        <w:t xml:space="preserve"> </w:t>
      </w:r>
    </w:p>
    <w:p w:rsidR="00FF384B" w:rsidRDefault="003E3BA9">
      <w:pPr>
        <w:numPr>
          <w:ilvl w:val="0"/>
          <w:numId w:val="318"/>
        </w:numPr>
        <w:spacing w:after="172" w:line="247" w:lineRule="auto"/>
        <w:ind w:right="4" w:firstLine="360"/>
        <w:jc w:val="both"/>
      </w:pPr>
      <w:r>
        <w:rPr>
          <w:noProof/>
        </w:rPr>
        <mc:AlternateContent>
          <mc:Choice Requires="wpg">
            <w:drawing>
              <wp:anchor distT="0" distB="0" distL="114300" distR="114300" simplePos="0" relativeHeight="251948032" behindDoc="1" locked="0" layoutInCell="1" allowOverlap="1">
                <wp:simplePos x="0" y="0"/>
                <wp:positionH relativeFrom="column">
                  <wp:posOffset>6952743</wp:posOffset>
                </wp:positionH>
                <wp:positionV relativeFrom="paragraph">
                  <wp:posOffset>-1252711</wp:posOffset>
                </wp:positionV>
                <wp:extent cx="524148" cy="3797300"/>
                <wp:effectExtent l="0" t="0" r="0" b="0"/>
                <wp:wrapNone/>
                <wp:docPr id="501448" name="Group 50144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859" name="Picture 52859"/>
                          <pic:cNvPicPr/>
                        </pic:nvPicPr>
                        <pic:blipFill>
                          <a:blip r:embed="rId62"/>
                          <a:stretch>
                            <a:fillRect/>
                          </a:stretch>
                        </pic:blipFill>
                        <pic:spPr>
                          <a:xfrm rot="-5399999">
                            <a:off x="-1720849" y="1720850"/>
                            <a:ext cx="3797299" cy="355600"/>
                          </a:xfrm>
                          <a:prstGeom prst="rect">
                            <a:avLst/>
                          </a:prstGeom>
                        </pic:spPr>
                      </pic:pic>
                      <wps:wsp>
                        <wps:cNvPr id="52860" name="Rectangle 5286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w:t>
                              </w:r>
                              <w:r>
                                <w:rPr>
                                  <w:rFonts w:ascii="Arial" w:eastAsia="Arial" w:hAnsi="Arial" w:cs="Arial"/>
                                  <w:sz w:val="12"/>
                                </w:rPr>
                                <w:t xml:space="preserve">ión: 9792ADAG9QWZ53RMHD5RCHL7K | Verificación: https://candelaria.sedelectronica.es/ </w:t>
                              </w:r>
                            </w:p>
                          </w:txbxContent>
                        </wps:txbx>
                        <wps:bodyPr horzOverflow="overflow" vert="horz" lIns="0" tIns="0" rIns="0" bIns="0" rtlCol="0">
                          <a:noAutofit/>
                        </wps:bodyPr>
                      </wps:wsp>
                      <wps:wsp>
                        <wps:cNvPr id="52861" name="Rectangle 5286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1448" style="width:41.2715pt;height:299pt;position:absolute;z-index:-2147483573;mso-position-horizontal-relative:text;mso-position-horizontal:absolute;margin-left:547.46pt;mso-position-vertical-relative:text;margin-top:-98.6388pt;" coordsize="5241,37973">
                <v:shape id="Picture 52859" style="position:absolute;width:37972;height:3556;left:-17208;top:17208;rotation:-89;" filled="f">
                  <v:imagedata r:id="rId63"/>
                </v:shape>
                <v:rect id="Rectangle 5286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86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282 de 353 </w:t>
                        </w:r>
                      </w:p>
                    </w:txbxContent>
                  </v:textbox>
                </v:rect>
              </v:group>
            </w:pict>
          </mc:Fallback>
        </mc:AlternateContent>
      </w:r>
      <w:r>
        <w:rPr>
          <w:rFonts w:ascii="Arial" w:eastAsia="Arial" w:hAnsi="Arial" w:cs="Arial"/>
          <w:i/>
        </w:rPr>
        <w:t>Los precios contenidos en los contratos del sector público a los que es d</w:t>
      </w:r>
      <w:r>
        <w:rPr>
          <w:rFonts w:ascii="Arial" w:eastAsia="Arial" w:hAnsi="Arial" w:cs="Arial"/>
          <w:i/>
        </w:rPr>
        <w:t xml:space="preserve">e aplicación el Real Decreto legislativo 3/2011, de 14 de noviembre, que aprueba el texto refundido de la Ley de Contratos del Sector Público, distintos a los contratos de obras y a los contratos de suministro de fabricación de armamento y equipamiento de </w:t>
      </w:r>
      <w:r>
        <w:rPr>
          <w:rFonts w:ascii="Arial" w:eastAsia="Arial" w:hAnsi="Arial" w:cs="Arial"/>
          <w:i/>
        </w:rPr>
        <w:t xml:space="preserve">las Administraciones Públicas, sólo podrán ser objeto de revisión periódica y predeterminada. </w:t>
      </w:r>
    </w:p>
    <w:p w:rsidR="00FF384B" w:rsidRDefault="003E3BA9">
      <w:pPr>
        <w:numPr>
          <w:ilvl w:val="0"/>
          <w:numId w:val="318"/>
        </w:numPr>
        <w:spacing w:after="351" w:line="247" w:lineRule="auto"/>
        <w:ind w:right="4" w:firstLine="360"/>
        <w:jc w:val="both"/>
      </w:pPr>
      <w:r>
        <w:rPr>
          <w:rFonts w:ascii="Arial" w:eastAsia="Arial" w:hAnsi="Arial" w:cs="Arial"/>
          <w:i/>
        </w:rPr>
        <w:t xml:space="preserve">Procederá la revisión periódica y predeterminada de dichos precios, transcurridos dos años desde la formalización del contrato y ejecutado </w:t>
      </w:r>
      <w:r>
        <w:rPr>
          <w:rFonts w:ascii="Arial" w:eastAsia="Arial" w:hAnsi="Arial" w:cs="Arial"/>
          <w:i/>
        </w:rPr>
        <w:t xml:space="preserve">al menos el 20 por ciento de su importe, cuando concurran acumulativamente las siguientes circunstancias: </w:t>
      </w:r>
    </w:p>
    <w:p w:rsidR="00FF384B" w:rsidRDefault="003E3BA9">
      <w:pPr>
        <w:numPr>
          <w:ilvl w:val="0"/>
          <w:numId w:val="319"/>
        </w:numPr>
        <w:spacing w:after="4" w:line="250" w:lineRule="auto"/>
        <w:ind w:right="129" w:hanging="261"/>
        <w:jc w:val="both"/>
      </w:pPr>
      <w:r>
        <w:rPr>
          <w:rFonts w:ascii="Arial" w:eastAsia="Arial" w:hAnsi="Arial" w:cs="Arial"/>
          <w:i/>
        </w:rPr>
        <w:t xml:space="preserve">Que el período de recuperación de la inversión del contrato sea igual o superior a cinco años, justificado conforme al criterio establecido en el </w:t>
      </w:r>
    </w:p>
    <w:p w:rsidR="00FF384B" w:rsidRDefault="003E3BA9">
      <w:pPr>
        <w:spacing w:after="171" w:line="247" w:lineRule="auto"/>
        <w:ind w:left="437" w:right="244" w:hanging="10"/>
        <w:jc w:val="both"/>
      </w:pPr>
      <w:r>
        <w:rPr>
          <w:rFonts w:ascii="Arial" w:eastAsia="Arial" w:hAnsi="Arial" w:cs="Arial"/>
          <w:i/>
        </w:rPr>
        <w:t>ar</w:t>
      </w:r>
      <w:r>
        <w:rPr>
          <w:rFonts w:ascii="Arial" w:eastAsia="Arial" w:hAnsi="Arial" w:cs="Arial"/>
          <w:i/>
        </w:rPr>
        <w:t xml:space="preserve">tículo 10. </w:t>
      </w:r>
    </w:p>
    <w:p w:rsidR="00FF384B" w:rsidRDefault="003E3BA9">
      <w:pPr>
        <w:numPr>
          <w:ilvl w:val="0"/>
          <w:numId w:val="319"/>
        </w:numPr>
        <w:spacing w:after="4" w:line="247" w:lineRule="auto"/>
        <w:ind w:right="129" w:hanging="261"/>
        <w:jc w:val="both"/>
      </w:pPr>
      <w:r>
        <w:rPr>
          <w:rFonts w:ascii="Arial" w:eastAsia="Arial" w:hAnsi="Arial" w:cs="Arial"/>
          <w:i/>
        </w:rPr>
        <w:t xml:space="preserve">Que así esté previsto en los pliegos, que deberán detallar la fórmula de revisión aplicable. </w:t>
      </w:r>
    </w:p>
    <w:p w:rsidR="00FF384B" w:rsidRDefault="003E3BA9">
      <w:pPr>
        <w:spacing w:after="172" w:line="247" w:lineRule="auto"/>
        <w:ind w:left="427" w:right="8" w:firstLine="360"/>
        <w:jc w:val="both"/>
      </w:pPr>
      <w:r>
        <w:rPr>
          <w:rFonts w:ascii="Arial" w:eastAsia="Arial" w:hAnsi="Arial" w:cs="Arial"/>
          <w:i/>
        </w:rPr>
        <w:t xml:space="preserve">A tales efectos, en la </w:t>
      </w:r>
      <w:r>
        <w:rPr>
          <w:rFonts w:ascii="Arial" w:eastAsia="Arial" w:hAnsi="Arial" w:cs="Arial"/>
          <w:i/>
        </w:rPr>
        <w:t>memoria que acompañe al expediente de contratación, el órgano de contratación deberá justificar el carácter recurrente de la variación de los distintos componentes de coste a considerar en la fórmula de revisión de precios, el cumplimiento de los principio</w:t>
      </w:r>
      <w:r>
        <w:rPr>
          <w:rFonts w:ascii="Arial" w:eastAsia="Arial" w:hAnsi="Arial" w:cs="Arial"/>
          <w:i/>
        </w:rPr>
        <w:t>s y límites contenidos en los artículos 3, 4, 5 y 7, así como el período de recuperación de la inversión del contrato. Deberá justificarse asimismo que los índices elegidos son aquellos que, con la mayor desagregación posible de entre los disponibles al pú</w:t>
      </w:r>
      <w:r>
        <w:rPr>
          <w:rFonts w:ascii="Arial" w:eastAsia="Arial" w:hAnsi="Arial" w:cs="Arial"/>
          <w:i/>
        </w:rPr>
        <w:t xml:space="preserve">blico, mejor reflejen la evolución del componente de coste susceptible de revisión en cuestión. </w:t>
      </w:r>
    </w:p>
    <w:p w:rsidR="00FF384B" w:rsidRDefault="003E3BA9">
      <w:pPr>
        <w:spacing w:after="169" w:line="247" w:lineRule="auto"/>
        <w:ind w:left="798" w:hanging="10"/>
        <w:jc w:val="both"/>
      </w:pPr>
      <w:r>
        <w:rPr>
          <w:rFonts w:ascii="Arial" w:eastAsia="Arial" w:hAnsi="Arial" w:cs="Arial"/>
          <w:i/>
        </w:rPr>
        <w:t xml:space="preserve">Cuando se utilice una fórmula tipo aprobada por Consejo de Ministros, sólo se exigirá la justificación del período de recuperación de la inversión. </w:t>
      </w:r>
    </w:p>
    <w:p w:rsidR="00FF384B" w:rsidRDefault="003E3BA9">
      <w:pPr>
        <w:numPr>
          <w:ilvl w:val="0"/>
          <w:numId w:val="320"/>
        </w:numPr>
        <w:spacing w:after="171" w:line="247" w:lineRule="auto"/>
        <w:ind w:right="122" w:firstLine="360"/>
        <w:jc w:val="both"/>
      </w:pPr>
      <w:r>
        <w:rPr>
          <w:rFonts w:ascii="Arial" w:eastAsia="Arial" w:hAnsi="Arial" w:cs="Arial"/>
          <w:i/>
        </w:rPr>
        <w:t>En los con</w:t>
      </w:r>
      <w:r>
        <w:rPr>
          <w:rFonts w:ascii="Arial" w:eastAsia="Arial" w:hAnsi="Arial" w:cs="Arial"/>
          <w:i/>
        </w:rPr>
        <w:t xml:space="preserve">tratos de gestión de servicios públicos, la condición relativa al porcentaje de ejecución del contrato no será exigible a efectos de proceder a la revisión periódica y predeterminada. </w:t>
      </w:r>
    </w:p>
    <w:p w:rsidR="00FF384B" w:rsidRDefault="003E3BA9">
      <w:pPr>
        <w:numPr>
          <w:ilvl w:val="0"/>
          <w:numId w:val="320"/>
        </w:numPr>
        <w:spacing w:after="351" w:line="247" w:lineRule="auto"/>
        <w:ind w:right="122" w:firstLine="360"/>
        <w:jc w:val="both"/>
      </w:pPr>
      <w:r>
        <w:rPr>
          <w:rFonts w:ascii="Arial" w:eastAsia="Arial" w:hAnsi="Arial" w:cs="Arial"/>
          <w:i/>
        </w:rPr>
        <w:t>Para que pueda producirse la revisión periódica y predeterminada, los p</w:t>
      </w:r>
      <w:r>
        <w:rPr>
          <w:rFonts w:ascii="Arial" w:eastAsia="Arial" w:hAnsi="Arial" w:cs="Arial"/>
          <w:i/>
        </w:rPr>
        <w:t xml:space="preserve">liegos deberán especificar, al menos: </w:t>
      </w:r>
    </w:p>
    <w:p w:rsidR="00FF384B" w:rsidRDefault="003E3BA9">
      <w:pPr>
        <w:numPr>
          <w:ilvl w:val="0"/>
          <w:numId w:val="321"/>
        </w:numPr>
        <w:spacing w:after="169" w:line="247" w:lineRule="auto"/>
        <w:ind w:right="244" w:hanging="259"/>
        <w:jc w:val="both"/>
      </w:pPr>
      <w:r>
        <w:rPr>
          <w:rFonts w:ascii="Arial" w:eastAsia="Arial" w:hAnsi="Arial" w:cs="Arial"/>
          <w:i/>
        </w:rPr>
        <w:t xml:space="preserve">Un desglose de los componentes de coste de la actividad objeto del contrato, y la ponderación de cada uno de ellos sobre el precio del contrato. </w:t>
      </w:r>
    </w:p>
    <w:p w:rsidR="00FF384B" w:rsidRDefault="003E3BA9">
      <w:pPr>
        <w:numPr>
          <w:ilvl w:val="0"/>
          <w:numId w:val="321"/>
        </w:numPr>
        <w:spacing w:after="169" w:line="247" w:lineRule="auto"/>
        <w:ind w:right="244" w:hanging="259"/>
        <w:jc w:val="both"/>
      </w:pPr>
      <w:r>
        <w:rPr>
          <w:rFonts w:ascii="Arial" w:eastAsia="Arial" w:hAnsi="Arial" w:cs="Arial"/>
          <w:i/>
        </w:rPr>
        <w:t>Los precios individuales o índices de precios específicos asociados a c</w:t>
      </w:r>
      <w:r>
        <w:rPr>
          <w:rFonts w:ascii="Arial" w:eastAsia="Arial" w:hAnsi="Arial" w:cs="Arial"/>
          <w:i/>
        </w:rPr>
        <w:t xml:space="preserve">ada componente de coste susceptible de revisión. </w:t>
      </w:r>
    </w:p>
    <w:p w:rsidR="00FF384B" w:rsidRDefault="003E3BA9">
      <w:pPr>
        <w:numPr>
          <w:ilvl w:val="0"/>
          <w:numId w:val="321"/>
        </w:numPr>
        <w:spacing w:after="351" w:line="247" w:lineRule="auto"/>
        <w:ind w:right="244" w:hanging="259"/>
        <w:jc w:val="both"/>
      </w:pPr>
      <w:r>
        <w:rPr>
          <w:rFonts w:ascii="Arial" w:eastAsia="Arial" w:hAnsi="Arial" w:cs="Arial"/>
          <w:i/>
        </w:rPr>
        <w:t xml:space="preserve">El mecanismo de incentivo de eficiencia, en su caso, contemplado en el artículo 7, de este real decreto. </w:t>
      </w:r>
    </w:p>
    <w:p w:rsidR="00FF384B" w:rsidRDefault="003E3BA9">
      <w:pPr>
        <w:spacing w:after="174" w:line="247" w:lineRule="auto"/>
        <w:ind w:left="427" w:firstLine="360"/>
        <w:jc w:val="both"/>
      </w:pPr>
      <w:r>
        <w:rPr>
          <w:rFonts w:ascii="Arial" w:eastAsia="Arial" w:hAnsi="Arial" w:cs="Arial"/>
          <w:i/>
        </w:rPr>
        <w:t>No será exigible la especificación de las cuestiones contenidas en las letras a), b) y c) anteriores</w:t>
      </w:r>
      <w:r>
        <w:rPr>
          <w:rFonts w:ascii="Arial" w:eastAsia="Arial" w:hAnsi="Arial" w:cs="Arial"/>
          <w:i/>
        </w:rPr>
        <w:t xml:space="preserve">, en el supuesto de que se utilice una fórmula tipo aprobada por Consejo de Ministros. </w:t>
      </w:r>
    </w:p>
    <w:p w:rsidR="00FF384B" w:rsidRDefault="003E3BA9">
      <w:pPr>
        <w:numPr>
          <w:ilvl w:val="0"/>
          <w:numId w:val="322"/>
        </w:numPr>
        <w:spacing w:after="169" w:line="247" w:lineRule="auto"/>
        <w:ind w:firstLine="360"/>
        <w:jc w:val="both"/>
      </w:pPr>
      <w:r>
        <w:rPr>
          <w:rFonts w:ascii="Arial" w:eastAsia="Arial" w:hAnsi="Arial" w:cs="Arial"/>
          <w:i/>
        </w:rPr>
        <w:t xml:space="preserve">La revisión no podrá tener lugar transcurrido el período de recuperación de la inversión del contrato. </w:t>
      </w:r>
    </w:p>
    <w:p w:rsidR="00FF384B" w:rsidRDefault="003E3BA9">
      <w:pPr>
        <w:numPr>
          <w:ilvl w:val="0"/>
          <w:numId w:val="322"/>
        </w:numPr>
        <w:spacing w:after="174" w:line="247" w:lineRule="auto"/>
        <w:ind w:firstLine="360"/>
        <w:jc w:val="both"/>
      </w:pPr>
      <w:r>
        <w:rPr>
          <w:rFonts w:ascii="Arial" w:eastAsia="Arial" w:hAnsi="Arial" w:cs="Arial"/>
          <w:i/>
        </w:rPr>
        <w:t xml:space="preserve">Cuando para un determinado tipo de contrato exista una fórmula tipo de revisión, aprobada por Consejo de Ministros, el órgano de contratación deberá incluir dicha fórmula en los pliegos. </w:t>
      </w:r>
    </w:p>
    <w:p w:rsidR="00FF384B" w:rsidRDefault="003E3BA9">
      <w:pPr>
        <w:spacing w:after="174" w:line="247" w:lineRule="auto"/>
        <w:ind w:left="427" w:firstLine="360"/>
        <w:jc w:val="both"/>
      </w:pPr>
      <w:r>
        <w:rPr>
          <w:rFonts w:ascii="Arial" w:eastAsia="Arial" w:hAnsi="Arial" w:cs="Arial"/>
          <w:i/>
        </w:rPr>
        <w:t>En caso de que no exista fórmula tipo, el órgano de contratación jus</w:t>
      </w:r>
      <w:r>
        <w:rPr>
          <w:rFonts w:ascii="Arial" w:eastAsia="Arial" w:hAnsi="Arial" w:cs="Arial"/>
          <w:i/>
        </w:rPr>
        <w:t xml:space="preserve">tificará el cumplimiento del principio de eficiencia y buena gestión empresarial mencionado en el artículo 4, según lo dispuesto en los apartados 7 y 8. </w:t>
      </w:r>
    </w:p>
    <w:p w:rsidR="00FF384B" w:rsidRDefault="003E3BA9">
      <w:pPr>
        <w:numPr>
          <w:ilvl w:val="0"/>
          <w:numId w:val="322"/>
        </w:numPr>
        <w:spacing w:after="172" w:line="247" w:lineRule="auto"/>
        <w:ind w:firstLine="360"/>
        <w:jc w:val="both"/>
      </w:pPr>
      <w:r>
        <w:rPr>
          <w:noProof/>
        </w:rPr>
        <mc:AlternateContent>
          <mc:Choice Requires="wpg">
            <w:drawing>
              <wp:anchor distT="0" distB="0" distL="114300" distR="114300" simplePos="0" relativeHeight="251949056" behindDoc="1" locked="0" layoutInCell="1" allowOverlap="1">
                <wp:simplePos x="0" y="0"/>
                <wp:positionH relativeFrom="column">
                  <wp:posOffset>6952743</wp:posOffset>
                </wp:positionH>
                <wp:positionV relativeFrom="paragraph">
                  <wp:posOffset>-2314940</wp:posOffset>
                </wp:positionV>
                <wp:extent cx="524148" cy="3797300"/>
                <wp:effectExtent l="0" t="0" r="0" b="0"/>
                <wp:wrapNone/>
                <wp:docPr id="501447" name="Group 5014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2964" name="Picture 52964"/>
                          <pic:cNvPicPr/>
                        </pic:nvPicPr>
                        <pic:blipFill>
                          <a:blip r:embed="rId62"/>
                          <a:stretch>
                            <a:fillRect/>
                          </a:stretch>
                        </pic:blipFill>
                        <pic:spPr>
                          <a:xfrm rot="-5399999">
                            <a:off x="-1720849" y="1720850"/>
                            <a:ext cx="3797299" cy="355600"/>
                          </a:xfrm>
                          <a:prstGeom prst="rect">
                            <a:avLst/>
                          </a:prstGeom>
                        </pic:spPr>
                      </pic:pic>
                      <wps:wsp>
                        <wps:cNvPr id="52965" name="Rectangle 5296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2966" name="Rectangle 5296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1447" style="width:41.2715pt;height:299pt;position:absolute;z-index:-2147483564;mso-position-horizontal-relative:text;mso-position-horizontal:absolute;margin-left:547.46pt;mso-position-vertical-relative:text;margin-top:-182.279pt;" coordsize="5241,37973">
                <v:shape id="Picture 52964" style="position:absolute;width:37972;height:3556;left:-17208;top:17208;rotation:-89;" filled="f">
                  <v:imagedata r:id="rId63"/>
                </v:shape>
                <v:rect id="Rectangle 5296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296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283 de 353 </w:t>
                        </w:r>
                      </w:p>
                    </w:txbxContent>
                  </v:textbox>
                </v:rect>
              </v:group>
            </w:pict>
          </mc:Fallback>
        </mc:AlternateContent>
      </w:r>
      <w:r>
        <w:rPr>
          <w:rFonts w:ascii="Arial" w:eastAsia="Arial" w:hAnsi="Arial" w:cs="Arial"/>
          <w:i/>
        </w:rPr>
        <w:t>Para los contratos con un precio igual o superior a cinco millones de euros, el órgano de contratación incluirá en el expediente de contratación un informe prec</w:t>
      </w:r>
      <w:r>
        <w:rPr>
          <w:rFonts w:ascii="Arial" w:eastAsia="Arial" w:hAnsi="Arial" w:cs="Arial"/>
          <w:i/>
        </w:rPr>
        <w:t xml:space="preserve">eptivo valorativo de la estructura de costes, emitido por el Comité Superior de Precios de Contratos del Estado. </w:t>
      </w:r>
    </w:p>
    <w:p w:rsidR="00FF384B" w:rsidRDefault="003E3BA9">
      <w:pPr>
        <w:spacing w:after="4" w:line="247" w:lineRule="auto"/>
        <w:ind w:left="798" w:right="244" w:hanging="10"/>
        <w:jc w:val="both"/>
      </w:pPr>
      <w:r>
        <w:rPr>
          <w:rFonts w:ascii="Arial" w:eastAsia="Arial" w:hAnsi="Arial" w:cs="Arial"/>
          <w:i/>
        </w:rPr>
        <w:t xml:space="preserve">A tales efectos, el órgano de contratación deberá: </w:t>
      </w:r>
    </w:p>
    <w:p w:rsidR="00FF384B" w:rsidRDefault="003E3BA9">
      <w:pPr>
        <w:numPr>
          <w:ilvl w:val="0"/>
          <w:numId w:val="323"/>
        </w:numPr>
        <w:spacing w:after="169" w:line="247" w:lineRule="auto"/>
        <w:ind w:right="130" w:hanging="268"/>
        <w:jc w:val="both"/>
      </w:pPr>
      <w:r>
        <w:rPr>
          <w:rFonts w:ascii="Arial" w:eastAsia="Arial" w:hAnsi="Arial" w:cs="Arial"/>
          <w:i/>
        </w:rPr>
        <w:t>Solicitar a cinco operadores económicos del sector la remisión de su estructura de costes.</w:t>
      </w:r>
      <w:r>
        <w:rPr>
          <w:rFonts w:ascii="Arial" w:eastAsia="Arial" w:hAnsi="Arial" w:cs="Arial"/>
          <w:i/>
        </w:rPr>
        <w:t xml:space="preserve"> </w:t>
      </w:r>
    </w:p>
    <w:p w:rsidR="00FF384B" w:rsidRDefault="003E3BA9">
      <w:pPr>
        <w:numPr>
          <w:ilvl w:val="0"/>
          <w:numId w:val="323"/>
        </w:numPr>
        <w:spacing w:after="4" w:line="250" w:lineRule="auto"/>
        <w:ind w:right="130" w:hanging="268"/>
        <w:jc w:val="both"/>
      </w:pPr>
      <w:r>
        <w:rPr>
          <w:rFonts w:ascii="Arial" w:eastAsia="Arial" w:hAnsi="Arial" w:cs="Arial"/>
          <w:i/>
        </w:rPr>
        <w:t xml:space="preserve">Elaborar una propuesta de estructura de costes de la actividad. Para ello utilizará, siempre que sea posible, la información de las respuestas </w:t>
      </w:r>
    </w:p>
    <w:p w:rsidR="00FF384B" w:rsidRDefault="003E3BA9">
      <w:pPr>
        <w:spacing w:after="169" w:line="247" w:lineRule="auto"/>
        <w:ind w:left="437" w:right="244" w:hanging="10"/>
        <w:jc w:val="both"/>
      </w:pPr>
      <w:r>
        <w:rPr>
          <w:rFonts w:ascii="Arial" w:eastAsia="Arial" w:hAnsi="Arial" w:cs="Arial"/>
          <w:i/>
        </w:rPr>
        <w:t xml:space="preserve">que reciba de los operadores económicos mencionados en la letra anterior. </w:t>
      </w:r>
    </w:p>
    <w:p w:rsidR="00FF384B" w:rsidRDefault="003E3BA9">
      <w:pPr>
        <w:numPr>
          <w:ilvl w:val="0"/>
          <w:numId w:val="323"/>
        </w:numPr>
        <w:spacing w:after="4" w:line="250" w:lineRule="auto"/>
        <w:ind w:right="130" w:hanging="268"/>
        <w:jc w:val="both"/>
      </w:pPr>
      <w:r>
        <w:rPr>
          <w:rFonts w:ascii="Arial" w:eastAsia="Arial" w:hAnsi="Arial" w:cs="Arial"/>
          <w:i/>
        </w:rPr>
        <w:t xml:space="preserve">Someter su propuesta de </w:t>
      </w:r>
      <w:r>
        <w:rPr>
          <w:rFonts w:ascii="Arial" w:eastAsia="Arial" w:hAnsi="Arial" w:cs="Arial"/>
          <w:i/>
        </w:rPr>
        <w:t xml:space="preserve">estructura de costes a un trámite de información pública por un plazo de 20 días. En caso de que se presenten </w:t>
      </w:r>
    </w:p>
    <w:p w:rsidR="00FF384B" w:rsidRDefault="003E3BA9">
      <w:pPr>
        <w:spacing w:after="169" w:line="247" w:lineRule="auto"/>
        <w:ind w:left="437" w:right="244" w:hanging="10"/>
        <w:jc w:val="both"/>
      </w:pPr>
      <w:r>
        <w:rPr>
          <w:rFonts w:ascii="Arial" w:eastAsia="Arial" w:hAnsi="Arial" w:cs="Arial"/>
          <w:i/>
        </w:rPr>
        <w:t xml:space="preserve">alegaciones en dicho trámite, el órgano de contratación deberá valorar su aceptación o rechazo de forma motivada en la memoria. </w:t>
      </w:r>
    </w:p>
    <w:p w:rsidR="00FF384B" w:rsidRDefault="003E3BA9">
      <w:pPr>
        <w:spacing w:after="172" w:line="247" w:lineRule="auto"/>
        <w:ind w:left="427" w:right="7" w:firstLine="360"/>
        <w:jc w:val="both"/>
      </w:pPr>
      <w:r>
        <w:rPr>
          <w:rFonts w:ascii="Arial" w:eastAsia="Arial" w:hAnsi="Arial" w:cs="Arial"/>
          <w:i/>
        </w:rPr>
        <w:t>En el caso de lo</w:t>
      </w:r>
      <w:r>
        <w:rPr>
          <w:rFonts w:ascii="Arial" w:eastAsia="Arial" w:hAnsi="Arial" w:cs="Arial"/>
          <w:i/>
        </w:rPr>
        <w:t>s contratos de concesión de obra pública, el órgano de contratación podrá optar por incluir este trámite de información como parte del previsto en el apartado 3 del artículo 128 del texto refundido de la Ley de Contratos del Sector Público, aprobado por Re</w:t>
      </w:r>
      <w:r>
        <w:rPr>
          <w:rFonts w:ascii="Arial" w:eastAsia="Arial" w:hAnsi="Arial" w:cs="Arial"/>
          <w:i/>
        </w:rPr>
        <w:t xml:space="preserve">al Decreto legislativo 3/2011, de 14 de noviembre. </w:t>
      </w:r>
    </w:p>
    <w:p w:rsidR="00FF384B" w:rsidRDefault="003E3BA9">
      <w:pPr>
        <w:numPr>
          <w:ilvl w:val="0"/>
          <w:numId w:val="323"/>
        </w:numPr>
        <w:spacing w:after="351" w:line="247" w:lineRule="auto"/>
        <w:ind w:right="130" w:hanging="268"/>
        <w:jc w:val="both"/>
      </w:pPr>
      <w:r>
        <w:rPr>
          <w:rFonts w:ascii="Arial" w:eastAsia="Arial" w:hAnsi="Arial" w:cs="Arial"/>
          <w:i/>
        </w:rPr>
        <w:t xml:space="preserve">Remitir su propuesta de estructura de costes al Comité Superior de Precios de Contratos del Estado. </w:t>
      </w:r>
    </w:p>
    <w:p w:rsidR="00FF384B" w:rsidRDefault="003E3BA9">
      <w:pPr>
        <w:spacing w:after="172" w:line="247" w:lineRule="auto"/>
        <w:ind w:left="427" w:right="7" w:firstLine="360"/>
        <w:jc w:val="both"/>
      </w:pPr>
      <w:r>
        <w:rPr>
          <w:rFonts w:ascii="Arial" w:eastAsia="Arial" w:hAnsi="Arial" w:cs="Arial"/>
          <w:i/>
        </w:rPr>
        <w:t xml:space="preserve">El Comité Superior de Precios de Contratos del Estado deberá evacuar el informe preceptivo en un plazo </w:t>
      </w:r>
      <w:r>
        <w:rPr>
          <w:rFonts w:ascii="Arial" w:eastAsia="Arial" w:hAnsi="Arial" w:cs="Arial"/>
          <w:i/>
        </w:rPr>
        <w:t>no superior a veinte días, a contar desde el día siguiente a la recepción de la propuesta de estructura de costes mencionada en la letra d) anterior. En caso de que el Comité considere que la información remitida no es suficiente o requiera alguna aclaraci</w:t>
      </w:r>
      <w:r>
        <w:rPr>
          <w:rFonts w:ascii="Arial" w:eastAsia="Arial" w:hAnsi="Arial" w:cs="Arial"/>
          <w:i/>
        </w:rPr>
        <w:t xml:space="preserve">ón, podrá solicitar al órgano proponente información adicional. Este requerimiento suspenderá el plazo de evacuación del informe en tanto no haya respuesta del órgano de contratación. </w:t>
      </w:r>
    </w:p>
    <w:p w:rsidR="00FF384B" w:rsidRDefault="003E3BA9">
      <w:pPr>
        <w:spacing w:after="172" w:line="247" w:lineRule="auto"/>
        <w:ind w:left="427" w:right="8" w:firstLine="360"/>
        <w:jc w:val="both"/>
      </w:pPr>
      <w:r>
        <w:rPr>
          <w:rFonts w:ascii="Arial" w:eastAsia="Arial" w:hAnsi="Arial" w:cs="Arial"/>
          <w:i/>
        </w:rPr>
        <w:t>En el caso de las Comunidades Autónomas y de las Entidades Locales, así</w:t>
      </w:r>
      <w:r>
        <w:rPr>
          <w:rFonts w:ascii="Arial" w:eastAsia="Arial" w:hAnsi="Arial" w:cs="Arial"/>
          <w:i/>
        </w:rPr>
        <w:t xml:space="preserve"> como de los organismos y entidades de ellas dependientes, este informe podrá ser recabado del órgano autonómico consultivo en materia de contratación pública, si existiera. En caso contrario, deberá ser recabado del Comité Superior de Precios de Contratos</w:t>
      </w:r>
      <w:r>
        <w:rPr>
          <w:rFonts w:ascii="Arial" w:eastAsia="Arial" w:hAnsi="Arial" w:cs="Arial"/>
          <w:i/>
        </w:rPr>
        <w:t xml:space="preserve"> del Estado. </w:t>
      </w:r>
    </w:p>
    <w:p w:rsidR="00FF384B" w:rsidRDefault="003E3BA9">
      <w:pPr>
        <w:spacing w:after="171" w:line="247" w:lineRule="auto"/>
        <w:ind w:left="427" w:firstLine="360"/>
        <w:jc w:val="both"/>
      </w:pPr>
      <w:r>
        <w:rPr>
          <w:rFonts w:ascii="Arial" w:eastAsia="Arial" w:hAnsi="Arial" w:cs="Arial"/>
          <w:i/>
        </w:rPr>
        <w:t>En todo caso, el órgano de contratación deberá comunicar a efectos informativos al Comité Superior de Precios de Contratos del Estado y, en su caso, al órgano autonómico consultivo correspondiente, la estructura de costes incluida en el plieg</w:t>
      </w:r>
      <w:r>
        <w:rPr>
          <w:rFonts w:ascii="Arial" w:eastAsia="Arial" w:hAnsi="Arial" w:cs="Arial"/>
          <w:i/>
        </w:rPr>
        <w:t xml:space="preserve">o. </w:t>
      </w:r>
    </w:p>
    <w:p w:rsidR="00FF384B" w:rsidRDefault="003E3BA9">
      <w:pPr>
        <w:spacing w:after="175" w:line="247" w:lineRule="auto"/>
        <w:ind w:left="427" w:right="7" w:firstLine="360"/>
        <w:jc w:val="both"/>
      </w:pPr>
      <w:r>
        <w:rPr>
          <w:noProof/>
        </w:rPr>
        <mc:AlternateContent>
          <mc:Choice Requires="wpg">
            <w:drawing>
              <wp:anchor distT="0" distB="0" distL="114300" distR="114300" simplePos="0" relativeHeight="251950080" behindDoc="1" locked="0" layoutInCell="1" allowOverlap="1">
                <wp:simplePos x="0" y="0"/>
                <wp:positionH relativeFrom="column">
                  <wp:posOffset>6952743</wp:posOffset>
                </wp:positionH>
                <wp:positionV relativeFrom="paragraph">
                  <wp:posOffset>-1696196</wp:posOffset>
                </wp:positionV>
                <wp:extent cx="524148" cy="3797300"/>
                <wp:effectExtent l="0" t="0" r="0" b="0"/>
                <wp:wrapNone/>
                <wp:docPr id="502329" name="Group 50232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072" name="Picture 53072"/>
                          <pic:cNvPicPr/>
                        </pic:nvPicPr>
                        <pic:blipFill>
                          <a:blip r:embed="rId62"/>
                          <a:stretch>
                            <a:fillRect/>
                          </a:stretch>
                        </pic:blipFill>
                        <pic:spPr>
                          <a:xfrm rot="-5399999">
                            <a:off x="-1720849" y="1720850"/>
                            <a:ext cx="3797299" cy="355600"/>
                          </a:xfrm>
                          <a:prstGeom prst="rect">
                            <a:avLst/>
                          </a:prstGeom>
                        </pic:spPr>
                      </pic:pic>
                      <wps:wsp>
                        <wps:cNvPr id="53073" name="Rectangle 5307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074" name="Rectangle 5307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329" style="width:41.2715pt;height:299pt;position:absolute;z-index:-2147483557;mso-position-horizontal-relative:text;mso-position-horizontal:absolute;margin-left:547.46pt;mso-position-vertical-relative:text;margin-top:-133.559pt;" coordsize="5241,37973">
                <v:shape id="Picture 53072" style="position:absolute;width:37972;height:3556;left:-17208;top:17208;rotation:-89;" filled="f">
                  <v:imagedata r:id="rId63"/>
                </v:shape>
                <v:rect id="Rectangle 5307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07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284 de 353 </w:t>
                        </w:r>
                      </w:p>
                    </w:txbxContent>
                  </v:textbox>
                </v:rect>
              </v:group>
            </w:pict>
          </mc:Fallback>
        </mc:AlternateContent>
      </w:r>
      <w:r>
        <w:rPr>
          <w:rFonts w:ascii="Arial" w:eastAsia="Arial" w:hAnsi="Arial" w:cs="Arial"/>
          <w:i/>
        </w:rPr>
        <w:t>8. Para los contratos con un precio inferior a cinco millones de euros, el órgano de contratación solicitará a cinco operadores económicos del sector la remisión de su estructura de costes. El órgano de contratación elaborará una propuesta de estructura de</w:t>
      </w:r>
      <w:r>
        <w:rPr>
          <w:rFonts w:ascii="Arial" w:eastAsia="Arial" w:hAnsi="Arial" w:cs="Arial"/>
          <w:i/>
        </w:rPr>
        <w:t xml:space="preserve"> costes de la actividad. Para ello utilizará, siempre que sea posible, la información de las respuestas que reciba. La propuesta de estructura de costes será sometida a un trámite de información pública por un plazo de 20 días, con carácter previo a la apr</w:t>
      </w:r>
      <w:r>
        <w:rPr>
          <w:rFonts w:ascii="Arial" w:eastAsia="Arial" w:hAnsi="Arial" w:cs="Arial"/>
          <w:i/>
        </w:rPr>
        <w:t xml:space="preserve">obación de los pliegos. </w:t>
      </w:r>
    </w:p>
    <w:p w:rsidR="00FF384B" w:rsidRDefault="003E3BA9">
      <w:pPr>
        <w:spacing w:after="4" w:line="247" w:lineRule="auto"/>
        <w:ind w:left="427" w:firstLine="360"/>
        <w:jc w:val="both"/>
      </w:pPr>
      <w:r>
        <w:rPr>
          <w:rFonts w:ascii="Arial" w:eastAsia="Arial" w:hAnsi="Arial" w:cs="Arial"/>
          <w:i/>
        </w:rPr>
        <w:t xml:space="preserve">En caso de que se presenten alegaciones en dicho trámite, el órgano de contratación deberá valorar su aceptación o rechazo de forma motivada en la memoria. </w:t>
      </w:r>
    </w:p>
    <w:p w:rsidR="00FF384B" w:rsidRDefault="003E3BA9">
      <w:pPr>
        <w:spacing w:after="172" w:line="247" w:lineRule="auto"/>
        <w:ind w:left="427" w:right="8" w:firstLine="360"/>
        <w:jc w:val="both"/>
      </w:pPr>
      <w:r>
        <w:rPr>
          <w:rFonts w:ascii="Arial" w:eastAsia="Arial" w:hAnsi="Arial" w:cs="Arial"/>
          <w:i/>
        </w:rPr>
        <w:t>En el caso de los contratos de concesión de obra pública, el órgano de con</w:t>
      </w:r>
      <w:r>
        <w:rPr>
          <w:rFonts w:ascii="Arial" w:eastAsia="Arial" w:hAnsi="Arial" w:cs="Arial"/>
          <w:i/>
        </w:rPr>
        <w:t xml:space="preserve">tratación podrá optar por incluir este trámite de información como parte del previsto en el apartado 3 del artículo 128 del texto refundido de la Ley de Contratos del Sector Público, aprobado por Real Decreto legislativo 3/2011, de 14 de noviembre. </w:t>
      </w:r>
    </w:p>
    <w:p w:rsidR="00FF384B" w:rsidRDefault="003E3BA9">
      <w:pPr>
        <w:spacing w:after="178" w:line="247" w:lineRule="auto"/>
        <w:ind w:left="427" w:firstLine="360"/>
        <w:jc w:val="both"/>
      </w:pPr>
      <w:r>
        <w:rPr>
          <w:rFonts w:ascii="Arial" w:eastAsia="Arial" w:hAnsi="Arial" w:cs="Arial"/>
          <w:i/>
        </w:rPr>
        <w:t>El órg</w:t>
      </w:r>
      <w:r>
        <w:rPr>
          <w:rFonts w:ascii="Arial" w:eastAsia="Arial" w:hAnsi="Arial" w:cs="Arial"/>
          <w:i/>
        </w:rPr>
        <w:t xml:space="preserve">ano de contratación deberá comunicar a efectos informativos al Comité Superior de Precios de Contratos del Estado y, en su caso, al órgano autonómico consultivo correspondiente, la estructura de costes incluida en el pliego.” </w:t>
      </w:r>
    </w:p>
    <w:p w:rsidR="00FF384B" w:rsidRDefault="003E3BA9">
      <w:pPr>
        <w:spacing w:after="0"/>
        <w:ind w:left="427"/>
      </w:pPr>
      <w:r>
        <w:rPr>
          <w:rFonts w:ascii="Times New Roman" w:eastAsia="Times New Roman" w:hAnsi="Times New Roman" w:cs="Times New Roman"/>
          <w:i/>
          <w:sz w:val="24"/>
        </w:rPr>
        <w:t xml:space="preserve"> </w:t>
      </w:r>
    </w:p>
    <w:p w:rsidR="00FF384B" w:rsidRDefault="003E3BA9">
      <w:pPr>
        <w:spacing w:after="9" w:line="249" w:lineRule="auto"/>
        <w:ind w:left="427" w:hanging="10"/>
        <w:jc w:val="center"/>
      </w:pPr>
      <w:r>
        <w:rPr>
          <w:rFonts w:ascii="Arial" w:eastAsia="Arial" w:hAnsi="Arial" w:cs="Arial"/>
          <w:b/>
          <w:i/>
        </w:rPr>
        <w:t xml:space="preserve">CUARTO: </w:t>
      </w:r>
    </w:p>
    <w:p w:rsidR="00FF384B" w:rsidRDefault="003E3BA9">
      <w:pPr>
        <w:spacing w:after="0"/>
        <w:ind w:left="427"/>
      </w:pPr>
      <w:r>
        <w:rPr>
          <w:rFonts w:ascii="Arial" w:eastAsia="Arial" w:hAnsi="Arial" w:cs="Arial"/>
          <w:b/>
          <w:i/>
        </w:rPr>
        <w:t xml:space="preserve"> </w:t>
      </w:r>
    </w:p>
    <w:p w:rsidR="00FF384B" w:rsidRDefault="003E3BA9">
      <w:pPr>
        <w:spacing w:after="4" w:line="247" w:lineRule="auto"/>
        <w:ind w:left="437" w:hanging="10"/>
        <w:jc w:val="both"/>
      </w:pPr>
      <w:r>
        <w:rPr>
          <w:rFonts w:ascii="Arial" w:eastAsia="Arial" w:hAnsi="Arial" w:cs="Arial"/>
          <w:i/>
        </w:rPr>
        <w:t>En cuanto a la competencia corresponde al Pleno de la Corporación por cuanto la duración de la licitación es superior a cuatro años, siendo de aplicación la disposición adicional quinta, apartados 1 y 2 de la Ley 9/2017, de 8 de noviembre, de Contratos del</w:t>
      </w:r>
      <w:r>
        <w:rPr>
          <w:rFonts w:ascii="Arial" w:eastAsia="Arial" w:hAnsi="Arial" w:cs="Arial"/>
          <w:i/>
        </w:rPr>
        <w:t xml:space="preserve"> Sector Público. </w:t>
      </w:r>
    </w:p>
    <w:p w:rsidR="00FF384B" w:rsidRDefault="003E3BA9">
      <w:pPr>
        <w:spacing w:after="325"/>
        <w:ind w:left="427"/>
      </w:pPr>
      <w:r>
        <w:rPr>
          <w:rFonts w:ascii="Times New Roman" w:eastAsia="Times New Roman" w:hAnsi="Times New Roman" w:cs="Times New Roman"/>
          <w:i/>
          <w:sz w:val="24"/>
        </w:rPr>
        <w:t xml:space="preserve"> </w:t>
      </w:r>
    </w:p>
    <w:p w:rsidR="00FF384B" w:rsidRDefault="003E3BA9">
      <w:pPr>
        <w:spacing w:after="145" w:line="247" w:lineRule="auto"/>
        <w:ind w:left="437" w:right="244" w:hanging="10"/>
        <w:jc w:val="both"/>
      </w:pPr>
      <w:r>
        <w:rPr>
          <w:rFonts w:ascii="Arial" w:eastAsia="Arial" w:hAnsi="Arial" w:cs="Arial"/>
        </w:rPr>
        <w:t>“Disposición adicional segunda. Competencias en materia de contratación en las Entidades Locales.</w:t>
      </w:r>
      <w:r>
        <w:rPr>
          <w:color w:val="2E74B5"/>
          <w:sz w:val="24"/>
        </w:rPr>
        <w:t xml:space="preserve"> </w:t>
      </w:r>
    </w:p>
    <w:p w:rsidR="00FF384B" w:rsidRDefault="003E3BA9">
      <w:pPr>
        <w:numPr>
          <w:ilvl w:val="0"/>
          <w:numId w:val="324"/>
        </w:numPr>
        <w:spacing w:after="172" w:line="247" w:lineRule="auto"/>
        <w:ind w:right="2" w:firstLine="360"/>
        <w:jc w:val="both"/>
      </w:pPr>
      <w:r>
        <w:rPr>
          <w:noProof/>
        </w:rPr>
        <mc:AlternateContent>
          <mc:Choice Requires="wpg">
            <w:drawing>
              <wp:anchor distT="0" distB="0" distL="114300" distR="114300" simplePos="0" relativeHeight="251951104" behindDoc="1" locked="0" layoutInCell="1" allowOverlap="1">
                <wp:simplePos x="0" y="0"/>
                <wp:positionH relativeFrom="column">
                  <wp:posOffset>6952743</wp:posOffset>
                </wp:positionH>
                <wp:positionV relativeFrom="paragraph">
                  <wp:posOffset>-304530</wp:posOffset>
                </wp:positionV>
                <wp:extent cx="524148" cy="3797300"/>
                <wp:effectExtent l="0" t="0" r="0" b="0"/>
                <wp:wrapNone/>
                <wp:docPr id="502574" name="Group 50257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154" name="Picture 53154"/>
                          <pic:cNvPicPr/>
                        </pic:nvPicPr>
                        <pic:blipFill>
                          <a:blip r:embed="rId62"/>
                          <a:stretch>
                            <a:fillRect/>
                          </a:stretch>
                        </pic:blipFill>
                        <pic:spPr>
                          <a:xfrm rot="-5399999">
                            <a:off x="-1720849" y="1720850"/>
                            <a:ext cx="3797299" cy="355600"/>
                          </a:xfrm>
                          <a:prstGeom prst="rect">
                            <a:avLst/>
                          </a:prstGeom>
                        </pic:spPr>
                      </pic:pic>
                      <wps:wsp>
                        <wps:cNvPr id="53155" name="Rectangle 5315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156" name="Rectangle 5315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574" style="width:41.2715pt;height:299pt;position:absolute;z-index:-2147483577;mso-position-horizontal-relative:text;mso-position-horizontal:absolute;margin-left:547.46pt;mso-position-vertical-relative:text;margin-top:-23.9788pt;" coordsize="5241,37973">
                <v:shape id="Picture 53154" style="position:absolute;width:37972;height:3556;left:-17208;top:17208;rotation:-89;" filled="f">
                  <v:imagedata r:id="rId63"/>
                </v:shape>
                <v:rect id="Rectangle 531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15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285 de 353 </w:t>
                        </w:r>
                      </w:p>
                    </w:txbxContent>
                  </v:textbox>
                </v:rect>
              </v:group>
            </w:pict>
          </mc:Fallback>
        </mc:AlternateContent>
      </w:r>
      <w:r>
        <w:rPr>
          <w:rFonts w:ascii="Arial" w:eastAsia="Arial" w:hAnsi="Arial" w:cs="Arial"/>
          <w:i/>
        </w:rPr>
        <w:t>Corresponden a los Alcaldes y a los Presidentes de las Entidades Locales las competencias como órgano de contratación respecto de los contratos de obras, de sumi</w:t>
      </w:r>
      <w:r>
        <w:rPr>
          <w:rFonts w:ascii="Arial" w:eastAsia="Arial" w:hAnsi="Arial" w:cs="Arial"/>
          <w:i/>
        </w:rPr>
        <w:t>nistro, de servicios, los contratos de concesión de obras, los contratos de concesión de servicios y los contratos administrativos especiales, cuando su valor estimado no supere el 10 por ciento de los recursos ordinarios del presupuesto ni, en cualquier c</w:t>
      </w:r>
      <w:r>
        <w:rPr>
          <w:rFonts w:ascii="Arial" w:eastAsia="Arial" w:hAnsi="Arial" w:cs="Arial"/>
          <w:i/>
        </w:rPr>
        <w:t xml:space="preserve">aso, la cuantía de seis millones de euros, incluidos los de carácter plurianual cuando su duración no sea superior a cuatro años, eventuales prórrogas incluidas siempre que el importe acumulado de todas sus anualidades no supere ni el porcentaje indicado, </w:t>
      </w:r>
      <w:r>
        <w:rPr>
          <w:rFonts w:ascii="Arial" w:eastAsia="Arial" w:hAnsi="Arial" w:cs="Arial"/>
          <w:i/>
        </w:rPr>
        <w:t xml:space="preserve">referido a los recursos ordinarios del presupuesto del primer ejercicio, ni la cuantía señalada. </w:t>
      </w:r>
    </w:p>
    <w:p w:rsidR="00FF384B" w:rsidRDefault="003E3BA9">
      <w:pPr>
        <w:numPr>
          <w:ilvl w:val="0"/>
          <w:numId w:val="324"/>
        </w:numPr>
        <w:spacing w:after="4" w:line="247" w:lineRule="auto"/>
        <w:ind w:right="2" w:firstLine="360"/>
        <w:jc w:val="both"/>
      </w:pPr>
      <w:r>
        <w:rPr>
          <w:rFonts w:ascii="Arial" w:eastAsia="Arial" w:hAnsi="Arial" w:cs="Arial"/>
          <w:i/>
        </w:rPr>
        <w:t>Corresponden al Pleno las competencias como órgano de contratación respecto de los contratos mencionados en el apartado anterior que celebre la Entidad Local,</w:t>
      </w:r>
      <w:r>
        <w:rPr>
          <w:rFonts w:ascii="Arial" w:eastAsia="Arial" w:hAnsi="Arial" w:cs="Arial"/>
          <w:i/>
        </w:rPr>
        <w:t xml:space="preserve"> cuando por su valor o duración no correspondan al Alcalde o Presidente de la Entidad Local, conforme al apartado anterior. </w:t>
      </w:r>
    </w:p>
    <w:p w:rsidR="00FF384B" w:rsidRDefault="003E3BA9">
      <w:pPr>
        <w:spacing w:after="184" w:line="247" w:lineRule="auto"/>
        <w:ind w:left="437" w:hanging="10"/>
        <w:jc w:val="both"/>
      </w:pPr>
      <w:r>
        <w:rPr>
          <w:rFonts w:ascii="Arial" w:eastAsia="Arial" w:hAnsi="Arial" w:cs="Arial"/>
          <w:i/>
        </w:rPr>
        <w:t>Asimismo, corresponde al Pleno la aprobación de los pliegos de cláusulas administrativas generales a los que se refiere el artículo</w:t>
      </w:r>
      <w:r>
        <w:rPr>
          <w:rFonts w:ascii="Arial" w:eastAsia="Arial" w:hAnsi="Arial" w:cs="Arial"/>
          <w:i/>
        </w:rPr>
        <w:t xml:space="preserve"> 121 de esta Ley.” </w:t>
      </w:r>
    </w:p>
    <w:p w:rsidR="00FF384B" w:rsidRDefault="003E3BA9">
      <w:pPr>
        <w:spacing w:after="0"/>
        <w:ind w:left="427"/>
      </w:pPr>
      <w:r>
        <w:rPr>
          <w:rFonts w:ascii="Times New Roman" w:eastAsia="Times New Roman" w:hAnsi="Times New Roman" w:cs="Times New Roman"/>
          <w:i/>
          <w:sz w:val="24"/>
        </w:rPr>
        <w:t xml:space="preserve">  </w:t>
      </w:r>
    </w:p>
    <w:p w:rsidR="00FF384B" w:rsidRDefault="003E3BA9">
      <w:pPr>
        <w:tabs>
          <w:tab w:val="center" w:pos="427"/>
          <w:tab w:val="center" w:pos="4988"/>
        </w:tabs>
        <w:spacing w:after="4" w:line="247" w:lineRule="auto"/>
      </w:pPr>
      <w:r>
        <w:tab/>
      </w: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Arial" w:eastAsia="Arial" w:hAnsi="Arial" w:cs="Arial"/>
          <w:i/>
        </w:rPr>
        <w:t xml:space="preserve">En base a los antecedente de hecho y fundamentos de derecho, se emite la siguiente,  </w:t>
      </w:r>
      <w:r>
        <w:rPr>
          <w:rFonts w:ascii="Times New Roman" w:eastAsia="Times New Roman" w:hAnsi="Times New Roman" w:cs="Times New Roman"/>
          <w:sz w:val="24"/>
        </w:rPr>
        <w:t xml:space="preserve"> </w:t>
      </w:r>
    </w:p>
    <w:p w:rsidR="00FF384B" w:rsidRDefault="003E3BA9">
      <w:pPr>
        <w:spacing w:after="0"/>
        <w:ind w:left="436"/>
        <w:jc w:val="center"/>
      </w:pPr>
      <w:r>
        <w:rPr>
          <w:rFonts w:ascii="Arial" w:eastAsia="Arial" w:hAnsi="Arial" w:cs="Arial"/>
          <w:b/>
          <w:i/>
        </w:rPr>
        <w:t xml:space="preserve"> </w:t>
      </w:r>
    </w:p>
    <w:p w:rsidR="00FF384B" w:rsidRDefault="003E3BA9">
      <w:pPr>
        <w:pStyle w:val="Ttulo3"/>
        <w:shd w:val="clear" w:color="auto" w:fill="auto"/>
        <w:spacing w:after="9" w:line="249" w:lineRule="auto"/>
        <w:ind w:left="427" w:right="39"/>
      </w:pPr>
      <w:r>
        <w:t xml:space="preserve">PROPUESTA DE RESOLUCIÓN </w:t>
      </w:r>
    </w:p>
    <w:p w:rsidR="00FF384B" w:rsidRDefault="003E3BA9">
      <w:pPr>
        <w:spacing w:after="0"/>
        <w:ind w:left="436"/>
        <w:jc w:val="center"/>
      </w:pPr>
      <w:r>
        <w:rPr>
          <w:rFonts w:ascii="Arial" w:eastAsia="Arial" w:hAnsi="Arial" w:cs="Arial"/>
          <w:b/>
          <w:i/>
        </w:rPr>
        <w:t xml:space="preserve"> </w:t>
      </w:r>
    </w:p>
    <w:p w:rsidR="00FF384B" w:rsidRDefault="003E3BA9">
      <w:pPr>
        <w:spacing w:after="0"/>
        <w:ind w:left="436"/>
        <w:jc w:val="center"/>
      </w:pPr>
      <w:r>
        <w:rPr>
          <w:rFonts w:ascii="Arial" w:eastAsia="Arial" w:hAnsi="Arial" w:cs="Arial"/>
          <w:b/>
          <w:i/>
        </w:rPr>
        <w:t xml:space="preserve"> </w:t>
      </w:r>
    </w:p>
    <w:p w:rsidR="00FF384B" w:rsidRDefault="003E3BA9">
      <w:pPr>
        <w:spacing w:after="4" w:line="247" w:lineRule="auto"/>
        <w:ind w:left="437" w:right="53" w:hanging="10"/>
        <w:jc w:val="both"/>
      </w:pPr>
      <w:r>
        <w:rPr>
          <w:rFonts w:ascii="Arial" w:eastAsia="Arial" w:hAnsi="Arial" w:cs="Arial"/>
          <w:b/>
          <w:i/>
        </w:rPr>
        <w:t xml:space="preserve">PRIMERO.- </w:t>
      </w:r>
      <w:r>
        <w:rPr>
          <w:rFonts w:ascii="Arial" w:eastAsia="Arial" w:hAnsi="Arial" w:cs="Arial"/>
          <w:i/>
        </w:rPr>
        <w:t xml:space="preserve">Aprobar la propuesta de estructura de  costes de </w:t>
      </w:r>
      <w:r>
        <w:rPr>
          <w:rFonts w:ascii="Arial" w:eastAsia="Arial" w:hAnsi="Arial" w:cs="Arial"/>
          <w:i/>
        </w:rPr>
        <w:t>del servicio de gestión de residuos, limpieza viaria y del litoral del municipio de Candelaria, recogida en el  informe firmado por el Ingeniero técnico industrial municipal, Arquitecto técnico municipal y por el Agente de Empleo y Desarrollo Local de fech</w:t>
      </w:r>
      <w:r>
        <w:rPr>
          <w:rFonts w:ascii="Arial" w:eastAsia="Arial" w:hAnsi="Arial" w:cs="Arial"/>
          <w:i/>
        </w:rPr>
        <w:t>a 21 de abril de 2021.</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i/>
        </w:rPr>
        <w:t xml:space="preserve"> </w:t>
      </w:r>
    </w:p>
    <w:p w:rsidR="00FF384B" w:rsidRDefault="003E3BA9">
      <w:pPr>
        <w:spacing w:after="4" w:line="247" w:lineRule="auto"/>
        <w:ind w:left="437" w:hanging="10"/>
        <w:jc w:val="both"/>
      </w:pPr>
      <w:r>
        <w:rPr>
          <w:rFonts w:ascii="Arial" w:eastAsia="Arial" w:hAnsi="Arial" w:cs="Arial"/>
          <w:b/>
          <w:i/>
        </w:rPr>
        <w:t xml:space="preserve">SEGUNDO.- </w:t>
      </w:r>
      <w:r>
        <w:rPr>
          <w:rFonts w:ascii="Arial" w:eastAsia="Arial" w:hAnsi="Arial" w:cs="Arial"/>
          <w:i/>
        </w:rPr>
        <w:t>Someter la misma a información pública por un período de 20 días mediante su publicación en el Boletín Oficial de la Provincia  de Santa Cruz de Tenerife.</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i/>
        </w:rPr>
        <w:t xml:space="preserve"> </w:t>
      </w:r>
    </w:p>
    <w:p w:rsidR="00FF384B" w:rsidRDefault="003E3BA9">
      <w:pPr>
        <w:spacing w:after="4" w:line="247" w:lineRule="auto"/>
        <w:ind w:left="437" w:hanging="10"/>
        <w:jc w:val="both"/>
      </w:pPr>
      <w:r>
        <w:rPr>
          <w:rFonts w:ascii="Arial" w:eastAsia="Arial" w:hAnsi="Arial" w:cs="Arial"/>
          <w:b/>
          <w:i/>
        </w:rPr>
        <w:t xml:space="preserve">TERCERO.- </w:t>
      </w:r>
      <w:r>
        <w:rPr>
          <w:rFonts w:ascii="Arial" w:eastAsia="Arial" w:hAnsi="Arial" w:cs="Arial"/>
          <w:i/>
        </w:rPr>
        <w:t>Transcurrido el plazo de información pública dar tra</w:t>
      </w:r>
      <w:r>
        <w:rPr>
          <w:rFonts w:ascii="Arial" w:eastAsia="Arial" w:hAnsi="Arial" w:cs="Arial"/>
          <w:i/>
        </w:rPr>
        <w:t>slado a la Junta Consultiva de Contratación del Gobierno de Canarias para la emisión del pertinente informe”.</w:t>
      </w:r>
      <w:r>
        <w:rPr>
          <w:rFonts w:ascii="Times New Roman" w:eastAsia="Times New Roman" w:hAnsi="Times New Roman" w:cs="Times New Roman"/>
          <w:sz w:val="24"/>
        </w:rPr>
        <w:t xml:space="preserve"> </w:t>
      </w:r>
    </w:p>
    <w:p w:rsidR="00FF384B" w:rsidRDefault="003E3BA9">
      <w:pPr>
        <w:spacing w:after="218"/>
        <w:ind w:left="427"/>
      </w:pPr>
      <w:r>
        <w:rPr>
          <w:rFonts w:ascii="Arial" w:eastAsia="Arial" w:hAnsi="Arial" w:cs="Arial"/>
          <w:i/>
        </w:rPr>
        <w:t xml:space="preserve"> </w:t>
      </w:r>
    </w:p>
    <w:p w:rsidR="00FF384B" w:rsidRDefault="003E3BA9">
      <w:pPr>
        <w:spacing w:after="229" w:line="247" w:lineRule="auto"/>
        <w:ind w:left="1146" w:right="244" w:hanging="10"/>
        <w:jc w:val="both"/>
      </w:pPr>
      <w:r>
        <w:rPr>
          <w:rFonts w:ascii="Arial" w:eastAsia="Arial" w:hAnsi="Arial" w:cs="Arial"/>
        </w:rPr>
        <w:t xml:space="preserve">En virtud de lo expuesto, se somete al Pleno la siguiente propuesta de Resolución: </w:t>
      </w:r>
    </w:p>
    <w:p w:rsidR="00FF384B" w:rsidRDefault="003E3BA9">
      <w:pPr>
        <w:spacing w:after="220"/>
        <w:ind w:left="1136"/>
      </w:pPr>
      <w:r>
        <w:rPr>
          <w:rFonts w:ascii="Arial" w:eastAsia="Arial" w:hAnsi="Arial" w:cs="Arial"/>
        </w:rPr>
        <w:t xml:space="preserve"> </w:t>
      </w:r>
    </w:p>
    <w:p w:rsidR="00FF384B" w:rsidRDefault="003E3BA9">
      <w:pPr>
        <w:spacing w:after="0"/>
        <w:ind w:left="1136"/>
      </w:pPr>
      <w:r>
        <w:rPr>
          <w:rFonts w:ascii="Arial" w:eastAsia="Arial" w:hAnsi="Arial" w:cs="Arial"/>
        </w:rPr>
        <w:t xml:space="preserve"> </w:t>
      </w:r>
    </w:p>
    <w:p w:rsidR="00FF384B" w:rsidRDefault="003E3BA9">
      <w:pPr>
        <w:spacing w:after="0"/>
        <w:ind w:left="427"/>
      </w:pPr>
      <w:r>
        <w:rPr>
          <w:rFonts w:ascii="Arial" w:eastAsia="Arial" w:hAnsi="Arial" w:cs="Arial"/>
          <w:b/>
        </w:rPr>
        <w:t xml:space="preserve"> </w:t>
      </w:r>
    </w:p>
    <w:p w:rsidR="00FF384B" w:rsidRDefault="003E3BA9">
      <w:pPr>
        <w:pStyle w:val="Ttulo3"/>
        <w:shd w:val="clear" w:color="auto" w:fill="auto"/>
        <w:spacing w:after="8" w:line="253" w:lineRule="auto"/>
        <w:ind w:left="767" w:right="388"/>
      </w:pPr>
      <w:r>
        <w:rPr>
          <w:i w:val="0"/>
        </w:rPr>
        <w:t xml:space="preserve">PROPUESTA DE ACUERDO </w:t>
      </w:r>
    </w:p>
    <w:p w:rsidR="00FF384B" w:rsidRDefault="003E3BA9">
      <w:pPr>
        <w:spacing w:after="0"/>
        <w:ind w:left="435"/>
        <w:jc w:val="center"/>
      </w:pPr>
      <w:r>
        <w:rPr>
          <w:rFonts w:ascii="Times New Roman" w:eastAsia="Times New Roman" w:hAnsi="Times New Roman" w:cs="Times New Roman"/>
          <w:b/>
          <w:sz w:val="24"/>
        </w:rPr>
        <w:t xml:space="preserve"> </w:t>
      </w:r>
    </w:p>
    <w:p w:rsidR="00FF384B" w:rsidRDefault="003E3BA9">
      <w:pPr>
        <w:spacing w:after="5" w:line="247" w:lineRule="auto"/>
        <w:ind w:left="437" w:right="52" w:hanging="10"/>
        <w:jc w:val="both"/>
      </w:pPr>
      <w:r>
        <w:rPr>
          <w:noProof/>
        </w:rPr>
        <mc:AlternateContent>
          <mc:Choice Requires="wpg">
            <w:drawing>
              <wp:anchor distT="0" distB="0" distL="114300" distR="114300" simplePos="0" relativeHeight="251952128" behindDoc="1" locked="0" layoutInCell="1" allowOverlap="1">
                <wp:simplePos x="0" y="0"/>
                <wp:positionH relativeFrom="column">
                  <wp:posOffset>6952743</wp:posOffset>
                </wp:positionH>
                <wp:positionV relativeFrom="paragraph">
                  <wp:posOffset>-816772</wp:posOffset>
                </wp:positionV>
                <wp:extent cx="524148" cy="3797300"/>
                <wp:effectExtent l="0" t="0" r="0" b="0"/>
                <wp:wrapNone/>
                <wp:docPr id="502774" name="Group 50277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251" name="Picture 53251"/>
                          <pic:cNvPicPr/>
                        </pic:nvPicPr>
                        <pic:blipFill>
                          <a:blip r:embed="rId62"/>
                          <a:stretch>
                            <a:fillRect/>
                          </a:stretch>
                        </pic:blipFill>
                        <pic:spPr>
                          <a:xfrm rot="-5399999">
                            <a:off x="-1720849" y="1720850"/>
                            <a:ext cx="3797299" cy="355600"/>
                          </a:xfrm>
                          <a:prstGeom prst="rect">
                            <a:avLst/>
                          </a:prstGeom>
                        </pic:spPr>
                      </pic:pic>
                      <wps:wsp>
                        <wps:cNvPr id="53252" name="Rectangle 5325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253" name="Rectangle 5325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774" style="width:41.2715pt;height:299pt;position:absolute;z-index:-2147483564;mso-position-horizontal-relative:text;mso-position-horizontal:absolute;margin-left:547.46pt;mso-position-vertical-relative:text;margin-top:-64.3128pt;" coordsize="5241,37973">
                <v:shape id="Picture 53251" style="position:absolute;width:37972;height:3556;left:-17208;top:17208;rotation:-89;" filled="f">
                  <v:imagedata r:id="rId63"/>
                </v:shape>
                <v:rect id="Rectangle 532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25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286 de 353 </w:t>
                        </w:r>
                      </w:p>
                    </w:txbxContent>
                  </v:textbox>
                </v:rect>
              </v:group>
            </w:pict>
          </mc:Fallback>
        </mc:AlternateContent>
      </w:r>
      <w:r>
        <w:rPr>
          <w:rFonts w:ascii="Times New Roman" w:eastAsia="Times New Roman" w:hAnsi="Times New Roman" w:cs="Times New Roman"/>
          <w:b/>
          <w:sz w:val="24"/>
        </w:rPr>
        <w:t xml:space="preserve">  </w:t>
      </w:r>
      <w:r>
        <w:rPr>
          <w:rFonts w:ascii="Arial" w:eastAsia="Arial" w:hAnsi="Arial" w:cs="Arial"/>
          <w:b/>
        </w:rPr>
        <w:t xml:space="preserve">PRIMERO. - </w:t>
      </w:r>
      <w:r>
        <w:rPr>
          <w:rFonts w:ascii="Arial" w:eastAsia="Arial" w:hAnsi="Arial" w:cs="Arial"/>
        </w:rPr>
        <w:t xml:space="preserve">Aprobar la propuesta de estructura de costes de </w:t>
      </w:r>
      <w:r>
        <w:rPr>
          <w:rFonts w:ascii="Arial" w:eastAsia="Arial" w:hAnsi="Arial" w:cs="Arial"/>
        </w:rPr>
        <w:t>del servicio de gestión de residuos, limpieza viaria y del litoral del municipio de Candelaria, recogida en el informe firmado por el Ingeniero técnico industrial municipal, Arquitecto técnico municipal y por el Agente de Empleo y Desarrollo Local de fecha</w:t>
      </w:r>
      <w:r>
        <w:rPr>
          <w:rFonts w:ascii="Arial" w:eastAsia="Arial" w:hAnsi="Arial" w:cs="Arial"/>
        </w:rPr>
        <w:t xml:space="preserve"> 21 de abril de 2021.</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b/>
        </w:rPr>
        <w:t xml:space="preserve"> SEGUNDO. - </w:t>
      </w:r>
      <w:r>
        <w:rPr>
          <w:rFonts w:ascii="Arial" w:eastAsia="Arial" w:hAnsi="Arial" w:cs="Arial"/>
        </w:rPr>
        <w:t>Someter la misma a información pública por un período de 20 días mediante su publicación en el Boletín Oficial de la Provincia de Santa Cruz de Tenerife.</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b/>
        </w:rPr>
        <w:t xml:space="preserve"> TERCERO. - </w:t>
      </w:r>
      <w:r>
        <w:rPr>
          <w:rFonts w:ascii="Arial" w:eastAsia="Arial" w:hAnsi="Arial" w:cs="Arial"/>
        </w:rPr>
        <w:t>Transcurrido el plazo de información pública dar t</w:t>
      </w:r>
      <w:r>
        <w:rPr>
          <w:rFonts w:ascii="Arial" w:eastAsia="Arial" w:hAnsi="Arial" w:cs="Arial"/>
        </w:rPr>
        <w:t>raslado a la Junta Consultiva de Contratación del Gobierno de Canarias para la emisión del pertinente informe.”</w:t>
      </w:r>
      <w:r>
        <w:rPr>
          <w:rFonts w:ascii="Times New Roman" w:eastAsia="Times New Roman" w:hAnsi="Times New Roman" w:cs="Times New Roman"/>
          <w:sz w:val="24"/>
        </w:rPr>
        <w:t xml:space="preserve"> </w:t>
      </w:r>
    </w:p>
    <w:p w:rsidR="00FF384B" w:rsidRDefault="003E3BA9">
      <w:pPr>
        <w:spacing w:after="101"/>
        <w:ind w:left="427"/>
      </w:pPr>
      <w:r>
        <w:rPr>
          <w:rFonts w:ascii="Arial" w:eastAsia="Arial" w:hAnsi="Arial" w:cs="Arial"/>
          <w:b/>
        </w:rPr>
        <w:t xml:space="preserve"> </w:t>
      </w:r>
    </w:p>
    <w:p w:rsidR="00FF384B" w:rsidRDefault="003E3BA9">
      <w:pPr>
        <w:spacing w:after="131"/>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DICTAMEN FAVORABLE DE LA COMISIÓN INFORMATIVA DE HACIENDA</w:t>
      </w:r>
      <w:r>
        <w:rPr>
          <w:rFonts w:ascii="Times New Roman" w:eastAsia="Times New Roman" w:hAnsi="Times New Roman" w:cs="Times New Roman"/>
          <w:b/>
          <w:sz w:val="24"/>
        </w:rPr>
        <w:t xml:space="preserve">, </w:t>
      </w:r>
      <w:r>
        <w:rPr>
          <w:rFonts w:ascii="Arial" w:eastAsia="Arial" w:hAnsi="Arial" w:cs="Arial"/>
          <w:b/>
        </w:rPr>
        <w:t xml:space="preserve">RECURSOS HUMANOS Y SERVICIOS GENERALES DE FECHA 26 DE ABRIL DE 2021. </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37" w:right="244" w:hanging="10"/>
        <w:jc w:val="both"/>
      </w:pPr>
      <w:r>
        <w:rPr>
          <w:rFonts w:ascii="Arial" w:eastAsia="Arial" w:hAnsi="Arial" w:cs="Arial"/>
        </w:rPr>
        <w:t>Votos a</w:t>
      </w:r>
      <w:r>
        <w:rPr>
          <w:rFonts w:ascii="Arial" w:eastAsia="Arial" w:hAnsi="Arial" w:cs="Arial"/>
        </w:rPr>
        <w:t xml:space="preserve"> favor: 4. </w:t>
      </w:r>
    </w:p>
    <w:p w:rsidR="00FF384B" w:rsidRDefault="003E3BA9">
      <w:pPr>
        <w:spacing w:after="5" w:line="247" w:lineRule="auto"/>
        <w:ind w:left="437" w:hanging="10"/>
        <w:jc w:val="both"/>
      </w:pPr>
      <w:r>
        <w:rPr>
          <w:rFonts w:ascii="Arial" w:eastAsia="Arial" w:hAnsi="Arial" w:cs="Arial"/>
        </w:rPr>
        <w:t xml:space="preserve">4 concejales del Grupo Socialista: Don Airam Pérez Chinea, Don José Francisco Pinto Ramos, Don Olegario Francisco Alonso Bello y Don Jorge Baute Delgado.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Votos en contra: 0.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Abstenciones: 3. </w:t>
      </w:r>
    </w:p>
    <w:p w:rsidR="00FF384B" w:rsidRDefault="003E3BA9">
      <w:pPr>
        <w:spacing w:after="5" w:line="247" w:lineRule="auto"/>
        <w:ind w:left="437" w:right="244" w:hanging="10"/>
        <w:jc w:val="both"/>
      </w:pPr>
      <w:r>
        <w:rPr>
          <w:rFonts w:ascii="Arial" w:eastAsia="Arial" w:hAnsi="Arial" w:cs="Arial"/>
        </w:rPr>
        <w:t xml:space="preserve">1 de la concejal del Grupo Popular, Doña Raquel Martín Castro. </w:t>
      </w:r>
    </w:p>
    <w:p w:rsidR="00FF384B" w:rsidRDefault="003E3BA9">
      <w:pPr>
        <w:numPr>
          <w:ilvl w:val="0"/>
          <w:numId w:val="325"/>
        </w:numPr>
        <w:spacing w:after="5" w:line="247" w:lineRule="auto"/>
        <w:ind w:left="965" w:right="3718" w:hanging="184"/>
        <w:jc w:val="both"/>
      </w:pPr>
      <w:r>
        <w:rPr>
          <w:rFonts w:ascii="Arial" w:eastAsia="Arial" w:hAnsi="Arial" w:cs="Arial"/>
        </w:rPr>
        <w:t xml:space="preserve">de la concejal del Grupo Mixto: Lourdes del Carmen Mondéjar Rondón. 1 de la concejal del Grupo Mixto, Doña Ángela Cruz Perera.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113" w:line="247" w:lineRule="auto"/>
        <w:ind w:left="415" w:hanging="3"/>
        <w:jc w:val="both"/>
      </w:pPr>
      <w:r>
        <w:rPr>
          <w:rFonts w:ascii="Arial" w:eastAsia="Arial" w:hAnsi="Arial" w:cs="Arial"/>
          <w:b/>
        </w:rPr>
        <w:t xml:space="preserve">JUNTA DE PORTAVOCES DE 26 DE ABRIL DE 2021. </w:t>
      </w:r>
    </w:p>
    <w:p w:rsidR="00FF384B" w:rsidRDefault="003E3BA9">
      <w:pPr>
        <w:spacing w:after="106" w:line="247" w:lineRule="auto"/>
        <w:ind w:left="437" w:right="244" w:hanging="10"/>
        <w:jc w:val="both"/>
      </w:pPr>
      <w:r>
        <w:rPr>
          <w:rFonts w:ascii="Arial" w:eastAsia="Arial" w:hAnsi="Arial" w:cs="Arial"/>
        </w:rPr>
        <w:t xml:space="preserve">Quedó oída. </w:t>
      </w:r>
    </w:p>
    <w:p w:rsidR="00FF384B" w:rsidRDefault="003E3BA9">
      <w:pPr>
        <w:spacing w:after="100"/>
        <w:ind w:left="427"/>
      </w:pPr>
      <w:r>
        <w:rPr>
          <w:rFonts w:ascii="Arial" w:eastAsia="Arial" w:hAnsi="Arial" w:cs="Arial"/>
          <w:b/>
        </w:rPr>
        <w:t xml:space="preserve"> </w:t>
      </w:r>
    </w:p>
    <w:p w:rsidR="00FF384B" w:rsidRDefault="003E3BA9">
      <w:pPr>
        <w:spacing w:after="111" w:line="247" w:lineRule="auto"/>
        <w:ind w:left="415" w:hanging="3"/>
        <w:jc w:val="both"/>
      </w:pPr>
      <w:r>
        <w:rPr>
          <w:rFonts w:ascii="Arial" w:eastAsia="Arial" w:hAnsi="Arial" w:cs="Arial"/>
          <w:b/>
        </w:rPr>
        <w:t xml:space="preserve">VOTACIÓN DEL PLENO DE 29 DE ABRIL DE 2021. </w:t>
      </w:r>
    </w:p>
    <w:p w:rsidR="00FF384B" w:rsidRDefault="003E3BA9">
      <w:pPr>
        <w:spacing w:after="109" w:line="247" w:lineRule="auto"/>
        <w:ind w:left="1146" w:right="244" w:hanging="10"/>
        <w:jc w:val="both"/>
      </w:pPr>
      <w:r>
        <w:rPr>
          <w:rFonts w:ascii="Arial" w:eastAsia="Arial" w:hAnsi="Arial" w:cs="Arial"/>
        </w:rPr>
        <w:t xml:space="preserve">Votos a favor: 12. </w:t>
      </w:r>
    </w:p>
    <w:p w:rsidR="00FF384B" w:rsidRDefault="003E3BA9">
      <w:pPr>
        <w:spacing w:after="114" w:line="247" w:lineRule="auto"/>
        <w:ind w:left="427" w:right="11" w:firstLine="708"/>
        <w:jc w:val="both"/>
      </w:pPr>
      <w:r>
        <w:rPr>
          <w:noProof/>
        </w:rPr>
        <mc:AlternateContent>
          <mc:Choice Requires="wpg">
            <w:drawing>
              <wp:anchor distT="0" distB="0" distL="114300" distR="114300" simplePos="0" relativeHeight="251953152" behindDoc="1" locked="0" layoutInCell="1" allowOverlap="1">
                <wp:simplePos x="0" y="0"/>
                <wp:positionH relativeFrom="column">
                  <wp:posOffset>6952743</wp:posOffset>
                </wp:positionH>
                <wp:positionV relativeFrom="paragraph">
                  <wp:posOffset>-1077452</wp:posOffset>
                </wp:positionV>
                <wp:extent cx="524148" cy="3797300"/>
                <wp:effectExtent l="0" t="0" r="0" b="0"/>
                <wp:wrapNone/>
                <wp:docPr id="502467" name="Group 50246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328" name="Picture 53328"/>
                          <pic:cNvPicPr/>
                        </pic:nvPicPr>
                        <pic:blipFill>
                          <a:blip r:embed="rId62"/>
                          <a:stretch>
                            <a:fillRect/>
                          </a:stretch>
                        </pic:blipFill>
                        <pic:spPr>
                          <a:xfrm rot="-5399999">
                            <a:off x="-1720849" y="1720850"/>
                            <a:ext cx="3797299" cy="355600"/>
                          </a:xfrm>
                          <a:prstGeom prst="rect">
                            <a:avLst/>
                          </a:prstGeom>
                        </pic:spPr>
                      </pic:pic>
                      <wps:wsp>
                        <wps:cNvPr id="53329" name="Rectangle 5332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330" name="Rectangle 5333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467" style="width:41.2715pt;height:299pt;position:absolute;z-index:-2147483578;mso-position-horizontal-relative:text;mso-position-horizontal:absolute;margin-left:547.46pt;mso-position-vertical-relative:text;margin-top:-84.8388pt;" coordsize="5241,37973">
                <v:shape id="Picture 53328" style="position:absolute;width:37972;height:3556;left:-17208;top:17208;rotation:-89;" filled="f">
                  <v:imagedata r:id="rId63"/>
                </v:shape>
                <v:rect id="Rectangle 533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33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287 de 353 </w:t>
                        </w:r>
                      </w:p>
                    </w:txbxContent>
                  </v:textbox>
                </v:rect>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w:t>
      </w:r>
      <w:r>
        <w:rPr>
          <w:rFonts w:ascii="Arial" w:eastAsia="Arial" w:hAnsi="Arial" w:cs="Arial"/>
        </w:rPr>
        <w:t xml:space="preserve">, Doña Hilaria Cecilia Otazo González, Don Airam Pérez Chinea, Doña Margarita Eva Tendero Barroso, Don Manuel Alberto González Pestano, Doña María del Carmen Clemente Díaz, Don Olegario Francisco Alonso Bello y Don Reinaldo José Triviño Blanco. </w:t>
      </w:r>
    </w:p>
    <w:p w:rsidR="00FF384B" w:rsidRDefault="003E3BA9">
      <w:pPr>
        <w:numPr>
          <w:ilvl w:val="1"/>
          <w:numId w:val="325"/>
        </w:numPr>
        <w:spacing w:after="109" w:line="247" w:lineRule="auto"/>
        <w:ind w:right="244" w:hanging="184"/>
        <w:jc w:val="both"/>
      </w:pPr>
      <w:r>
        <w:rPr>
          <w:rFonts w:ascii="Arial" w:eastAsia="Arial" w:hAnsi="Arial" w:cs="Arial"/>
        </w:rPr>
        <w:t>de la conc</w:t>
      </w:r>
      <w:r>
        <w:rPr>
          <w:rFonts w:ascii="Arial" w:eastAsia="Arial" w:hAnsi="Arial" w:cs="Arial"/>
        </w:rPr>
        <w:t xml:space="preserve">ejal del Grupo Mixto, Doña Ángela Cruz Perera (CC-PNC). </w:t>
      </w:r>
    </w:p>
    <w:p w:rsidR="00FF384B" w:rsidRDefault="003E3BA9">
      <w:pPr>
        <w:spacing w:after="98"/>
        <w:ind w:left="1136"/>
      </w:pPr>
      <w:r>
        <w:rPr>
          <w:rFonts w:ascii="Arial" w:eastAsia="Arial" w:hAnsi="Arial" w:cs="Arial"/>
        </w:rPr>
        <w:t xml:space="preserve"> </w:t>
      </w:r>
    </w:p>
    <w:p w:rsidR="00FF384B" w:rsidRDefault="003E3BA9">
      <w:pPr>
        <w:spacing w:after="111" w:line="247" w:lineRule="auto"/>
        <w:ind w:left="1146" w:right="244" w:hanging="10"/>
        <w:jc w:val="both"/>
      </w:pPr>
      <w:r>
        <w:rPr>
          <w:rFonts w:ascii="Arial" w:eastAsia="Arial" w:hAnsi="Arial" w:cs="Arial"/>
        </w:rPr>
        <w:t xml:space="preserve">Abstenciones: 5. </w:t>
      </w:r>
    </w:p>
    <w:p w:rsidR="00FF384B" w:rsidRDefault="003E3BA9">
      <w:pPr>
        <w:numPr>
          <w:ilvl w:val="1"/>
          <w:numId w:val="325"/>
        </w:numPr>
        <w:spacing w:after="109" w:line="247" w:lineRule="auto"/>
        <w:ind w:right="244" w:hanging="184"/>
        <w:jc w:val="both"/>
      </w:pPr>
      <w:r>
        <w:rPr>
          <w:rFonts w:ascii="Arial" w:eastAsia="Arial" w:hAnsi="Arial" w:cs="Arial"/>
        </w:rPr>
        <w:t xml:space="preserve">concejales del Grupo Popular: Doña Raquel Martín Castro y Don Jacobo López Fariña. </w:t>
      </w:r>
    </w:p>
    <w:p w:rsidR="00FF384B" w:rsidRDefault="003E3BA9">
      <w:pPr>
        <w:numPr>
          <w:ilvl w:val="0"/>
          <w:numId w:val="325"/>
        </w:numPr>
        <w:spacing w:after="111" w:line="247" w:lineRule="auto"/>
        <w:ind w:left="965" w:right="3718" w:hanging="184"/>
        <w:jc w:val="both"/>
      </w:pPr>
      <w:r>
        <w:rPr>
          <w:rFonts w:ascii="Arial" w:eastAsia="Arial" w:hAnsi="Arial" w:cs="Arial"/>
        </w:rPr>
        <w:t>concejales del Grupo Mixto (SSP), Don Antonio Delgado García y Lourdes del Carmen Mondéjar Rond</w:t>
      </w:r>
      <w:r>
        <w:rPr>
          <w:rFonts w:ascii="Arial" w:eastAsia="Arial" w:hAnsi="Arial" w:cs="Arial"/>
        </w:rPr>
        <w:t xml:space="preserve">ón. </w:t>
      </w:r>
    </w:p>
    <w:p w:rsidR="00FF384B" w:rsidRDefault="003E3BA9">
      <w:pPr>
        <w:numPr>
          <w:ilvl w:val="1"/>
          <w:numId w:val="325"/>
        </w:numPr>
        <w:spacing w:after="5" w:line="247" w:lineRule="auto"/>
        <w:ind w:right="244" w:hanging="184"/>
        <w:jc w:val="both"/>
      </w:pPr>
      <w:r>
        <w:rPr>
          <w:rFonts w:ascii="Arial" w:eastAsia="Arial" w:hAnsi="Arial" w:cs="Arial"/>
        </w:rPr>
        <w:t xml:space="preserve">concejal del Grupo Mixto (VxC) Don José Fernando Gómez Martín. </w:t>
      </w:r>
    </w:p>
    <w:p w:rsidR="00FF384B" w:rsidRDefault="003E3BA9">
      <w:pPr>
        <w:spacing w:after="95"/>
        <w:ind w:left="1136"/>
      </w:pPr>
      <w:r>
        <w:rPr>
          <w:rFonts w:ascii="Arial" w:eastAsia="Arial" w:hAnsi="Arial" w:cs="Arial"/>
        </w:rPr>
        <w:t xml:space="preserve"> </w:t>
      </w:r>
    </w:p>
    <w:p w:rsidR="00FF384B" w:rsidRDefault="003E3BA9">
      <w:pPr>
        <w:spacing w:after="0"/>
        <w:ind w:left="1136"/>
      </w:pPr>
      <w:r>
        <w:rPr>
          <w:rFonts w:ascii="Arial" w:eastAsia="Arial" w:hAnsi="Arial" w:cs="Arial"/>
          <w:b/>
        </w:rPr>
        <w:t xml:space="preserve"> </w:t>
      </w:r>
    </w:p>
    <w:p w:rsidR="00FF384B" w:rsidRDefault="003E3BA9">
      <w:pPr>
        <w:spacing w:after="15" w:line="247" w:lineRule="auto"/>
        <w:ind w:left="412" w:firstLine="708"/>
        <w:jc w:val="both"/>
      </w:pPr>
      <w:r>
        <w:rPr>
          <w:rFonts w:ascii="Arial" w:eastAsia="Arial" w:hAnsi="Arial" w:cs="Arial"/>
          <w:b/>
        </w:rPr>
        <w:t>Consta en el debate felicitaciones de la Alcaldesa-</w:t>
      </w:r>
      <w:r>
        <w:rPr>
          <w:rFonts w:ascii="Arial" w:eastAsia="Arial" w:hAnsi="Arial" w:cs="Arial"/>
          <w:b/>
        </w:rPr>
        <w:t>Presidenta y del Concejal delegado de Hacienda al equipo de trabajo que ha tramitado este expediente: Técnicos municipales firmantes del informe técnico: Ingeniero Técnico, Agente de Empleo y Desarrollo Local y Arquitecto Técnico por el trabajo desarrollad</w:t>
      </w:r>
      <w:r>
        <w:rPr>
          <w:rFonts w:ascii="Arial" w:eastAsia="Arial" w:hAnsi="Arial" w:cs="Arial"/>
          <w:b/>
        </w:rPr>
        <w:t xml:space="preserve">o, a Contratación, Secretario e Interventor. </w:t>
      </w:r>
    </w:p>
    <w:p w:rsidR="00FF384B" w:rsidRDefault="003E3BA9">
      <w:pPr>
        <w:spacing w:after="0"/>
        <w:ind w:left="1136"/>
      </w:pPr>
      <w:r>
        <w:rPr>
          <w:rFonts w:ascii="Arial" w:eastAsia="Arial" w:hAnsi="Arial" w:cs="Arial"/>
          <w:b/>
        </w:rPr>
        <w:t xml:space="preserve"> </w:t>
      </w:r>
    </w:p>
    <w:p w:rsidR="00FF384B" w:rsidRDefault="003E3BA9">
      <w:pPr>
        <w:spacing w:after="0"/>
        <w:ind w:left="1136"/>
      </w:pPr>
      <w:r>
        <w:rPr>
          <w:rFonts w:ascii="Arial" w:eastAsia="Arial" w:hAnsi="Arial" w:cs="Arial"/>
          <w:b/>
        </w:rPr>
        <w:t xml:space="preserve"> </w:t>
      </w:r>
    </w:p>
    <w:p w:rsidR="00FF384B" w:rsidRDefault="003E3BA9">
      <w:pPr>
        <w:spacing w:after="0"/>
        <w:ind w:left="1136"/>
      </w:pPr>
      <w:r>
        <w:rPr>
          <w:rFonts w:ascii="Arial" w:eastAsia="Arial" w:hAnsi="Arial" w:cs="Arial"/>
          <w:b/>
        </w:rPr>
        <w:t xml:space="preserve"> </w:t>
      </w:r>
    </w:p>
    <w:p w:rsidR="00FF384B" w:rsidRDefault="003E3BA9">
      <w:pPr>
        <w:spacing w:after="0"/>
        <w:ind w:left="1136"/>
      </w:pPr>
      <w:r>
        <w:rPr>
          <w:rFonts w:ascii="Arial" w:eastAsia="Arial" w:hAnsi="Arial" w:cs="Arial"/>
          <w:b/>
        </w:rPr>
        <w:t xml:space="preserve"> </w:t>
      </w:r>
    </w:p>
    <w:p w:rsidR="00FF384B" w:rsidRDefault="003E3BA9">
      <w:pPr>
        <w:spacing w:after="15" w:line="247" w:lineRule="auto"/>
        <w:ind w:left="1849" w:hanging="3"/>
        <w:jc w:val="both"/>
      </w:pPr>
      <w:r>
        <w:rPr>
          <w:rFonts w:ascii="Arial" w:eastAsia="Arial" w:hAnsi="Arial" w:cs="Arial"/>
          <w:b/>
        </w:rPr>
        <w:t xml:space="preserve">ACUERDO DEL PLENO DE FECHA 29 DE ABRIL DE 2021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 PRIMERO. - Aprobar la propuesta de estructura de costes de del servicio de gestión de residuos, limpieza viaria y del litoral del municipio de Candelar</w:t>
      </w:r>
      <w:r>
        <w:rPr>
          <w:rFonts w:ascii="Arial" w:eastAsia="Arial" w:hAnsi="Arial" w:cs="Arial"/>
          <w:b/>
        </w:rPr>
        <w:t>ia, recogida en el informe firmado por el Ingeniero técnico industrial municipal, Arquitecto técnico municipal y por el Agente de Empleo y Desarrollo Local de fecha 21 de abril de 2021.</w:t>
      </w:r>
      <w:r>
        <w:rPr>
          <w:rFonts w:ascii="Times New Roman" w:eastAsia="Times New Roman" w:hAnsi="Times New Roman" w:cs="Times New Roman"/>
          <w:sz w:val="24"/>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415" w:hanging="3"/>
        <w:jc w:val="both"/>
      </w:pPr>
      <w:r>
        <w:rPr>
          <w:noProof/>
        </w:rPr>
        <mc:AlternateContent>
          <mc:Choice Requires="wpg">
            <w:drawing>
              <wp:anchor distT="0" distB="0" distL="114300" distR="114300" simplePos="0" relativeHeight="251954176" behindDoc="0" locked="0" layoutInCell="1" allowOverlap="1">
                <wp:simplePos x="0" y="0"/>
                <wp:positionH relativeFrom="column">
                  <wp:posOffset>6952743</wp:posOffset>
                </wp:positionH>
                <wp:positionV relativeFrom="paragraph">
                  <wp:posOffset>-260334</wp:posOffset>
                </wp:positionV>
                <wp:extent cx="524148" cy="3797300"/>
                <wp:effectExtent l="0" t="0" r="0" b="0"/>
                <wp:wrapSquare wrapText="bothSides"/>
                <wp:docPr id="502570" name="Group 50257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420" name="Picture 53420"/>
                          <pic:cNvPicPr/>
                        </pic:nvPicPr>
                        <pic:blipFill>
                          <a:blip r:embed="rId62"/>
                          <a:stretch>
                            <a:fillRect/>
                          </a:stretch>
                        </pic:blipFill>
                        <pic:spPr>
                          <a:xfrm rot="-5399999">
                            <a:off x="-1720849" y="1720850"/>
                            <a:ext cx="3797299" cy="355600"/>
                          </a:xfrm>
                          <a:prstGeom prst="rect">
                            <a:avLst/>
                          </a:prstGeom>
                        </pic:spPr>
                      </pic:pic>
                      <wps:wsp>
                        <wps:cNvPr id="53421" name="Rectangle 5342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Validación: 9792ADAG9QWZ53RMHD5RCHL7K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53422" name="Rectangle 5342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570" style="width:41.2715pt;height:299pt;position:absolute;mso-position-horizontal-relative:text;mso-position-horizontal:absolute;margin-left:547.46pt;mso-position-vertical-relative:text;margin-top:-20.4988pt;" coordsize="5241,37973">
                <v:shape id="Picture 53420" style="position:absolute;width:37972;height:3556;left:-17208;top:17208;rotation:-89;" filled="f">
                  <v:imagedata r:id="rId63"/>
                </v:shape>
                <v:rect id="Rectangle 5342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42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288 de 353 </w:t>
                        </w:r>
                      </w:p>
                    </w:txbxContent>
                  </v:textbox>
                </v:rect>
                <w10:wrap type="square"/>
              </v:group>
            </w:pict>
          </mc:Fallback>
        </mc:AlternateContent>
      </w:r>
      <w:r>
        <w:rPr>
          <w:rFonts w:ascii="Arial" w:eastAsia="Arial" w:hAnsi="Arial" w:cs="Arial"/>
          <w:b/>
        </w:rPr>
        <w:t xml:space="preserve"> SEGUNDO. - </w:t>
      </w:r>
      <w:r>
        <w:rPr>
          <w:rFonts w:ascii="Arial" w:eastAsia="Arial" w:hAnsi="Arial" w:cs="Arial"/>
          <w:b/>
        </w:rPr>
        <w:t xml:space="preserve">Someter la misma a información pública por un período de 20 días mediante su publicación en el Boletín Oficial de la Provincia de Santa Cruz de Tenerife.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 </w:t>
      </w:r>
      <w:r>
        <w:rPr>
          <w:rFonts w:ascii="Arial" w:eastAsia="Arial" w:hAnsi="Arial" w:cs="Arial"/>
          <w:b/>
        </w:rPr>
        <w:tab/>
        <w:t>TERCERO. - Transcurrido el plazo de información pública dar traslado a la Junta Consultiva de Con</w:t>
      </w:r>
      <w:r>
        <w:rPr>
          <w:rFonts w:ascii="Arial" w:eastAsia="Arial" w:hAnsi="Arial" w:cs="Arial"/>
          <w:b/>
        </w:rPr>
        <w:t xml:space="preserve">tratación del Gobierno de Canarias para la emisión del pertinente informe.”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right="128" w:hanging="3"/>
        <w:jc w:val="both"/>
      </w:pPr>
      <w:r>
        <w:rPr>
          <w:rFonts w:ascii="Arial" w:eastAsia="Arial" w:hAnsi="Arial" w:cs="Arial"/>
          <w:b/>
        </w:rPr>
        <w:t xml:space="preserve">8.- </w:t>
      </w:r>
      <w:r>
        <w:rPr>
          <w:rFonts w:ascii="Arial" w:eastAsia="Arial" w:hAnsi="Arial" w:cs="Arial"/>
          <w:b/>
        </w:rPr>
        <w:t>Expediente 3351/2021. Propuesta de la Concejal Delegada de Servicios Sociales, Igualdad y Sanidad de fecha 21 de abril de 2021 al Pleno para la Adhesión a la Red Española de Ciudades Saludables RECS, a través de la Federación Española de Municipios y Provi</w:t>
      </w:r>
      <w:r>
        <w:rPr>
          <w:rFonts w:ascii="Arial" w:eastAsia="Arial" w:hAnsi="Arial" w:cs="Arial"/>
          <w:b/>
        </w:rPr>
        <w:t>ncias FEMP, mediante compromiso político municipal de adscripción a la Sección, expresado por acuerdo del Pleno.</w:t>
      </w:r>
      <w:r>
        <w:rPr>
          <w:rFonts w:ascii="Times New Roman" w:eastAsia="Times New Roman" w:hAnsi="Times New Roman" w:cs="Times New Roman"/>
          <w:sz w:val="24"/>
        </w:rPr>
        <w:t xml:space="preserve"> </w:t>
      </w:r>
    </w:p>
    <w:p w:rsidR="00FF384B" w:rsidRDefault="003E3BA9">
      <w:pPr>
        <w:spacing w:after="0"/>
        <w:ind w:left="547"/>
      </w:pPr>
      <w:r>
        <w:rPr>
          <w:rFonts w:ascii="Times New Roman" w:eastAsia="Times New Roman" w:hAnsi="Times New Roman" w:cs="Times New Roman"/>
          <w:b/>
          <w:sz w:val="24"/>
        </w:rPr>
        <w:t xml:space="preserve"> </w:t>
      </w:r>
    </w:p>
    <w:p w:rsidR="00FF384B" w:rsidRDefault="003E3BA9">
      <w:pPr>
        <w:spacing w:after="0"/>
        <w:ind w:left="547"/>
      </w:pPr>
      <w:r>
        <w:rPr>
          <w:rFonts w:ascii="Times New Roman" w:eastAsia="Times New Roman" w:hAnsi="Times New Roman" w:cs="Times New Roman"/>
          <w:b/>
          <w:sz w:val="24"/>
        </w:rPr>
        <w:t xml:space="preserve"> </w:t>
      </w:r>
    </w:p>
    <w:p w:rsidR="00FF384B" w:rsidRDefault="003E3BA9">
      <w:pPr>
        <w:spacing w:after="15" w:line="247" w:lineRule="auto"/>
        <w:ind w:left="415" w:hanging="3"/>
        <w:jc w:val="both"/>
      </w:pPr>
      <w:r>
        <w:rPr>
          <w:rFonts w:ascii="Arial" w:eastAsia="Arial" w:hAnsi="Arial" w:cs="Arial"/>
          <w:b/>
        </w:rPr>
        <w:t xml:space="preserve">   Consta en el expediente propuesta de la Concejala delegada de Servicios Sociales, Igualdad y Sanidad, Dª Olivia Concepción Pérez Díaz, </w:t>
      </w:r>
      <w:r>
        <w:rPr>
          <w:rFonts w:ascii="Arial" w:eastAsia="Arial" w:hAnsi="Arial" w:cs="Arial"/>
          <w:b/>
        </w:rPr>
        <w:t>de fecha 21 de abril de 2021, que transcrito literalmente dice:</w:t>
      </w:r>
      <w:r>
        <w:rPr>
          <w:rFonts w:ascii="Times New Roman" w:eastAsia="Times New Roman" w:hAnsi="Times New Roman" w:cs="Times New Roman"/>
          <w:sz w:val="24"/>
        </w:rPr>
        <w:t xml:space="preserve"> </w:t>
      </w:r>
    </w:p>
    <w:p w:rsidR="00FF384B" w:rsidRDefault="003E3BA9">
      <w:pPr>
        <w:spacing w:after="0"/>
        <w:ind w:left="547"/>
      </w:pPr>
      <w:r>
        <w:rPr>
          <w:rFonts w:ascii="Arial" w:eastAsia="Arial" w:hAnsi="Arial" w:cs="Arial"/>
          <w:b/>
        </w:rPr>
        <w:t xml:space="preserve"> </w:t>
      </w:r>
    </w:p>
    <w:p w:rsidR="00FF384B" w:rsidRDefault="003E3BA9">
      <w:pPr>
        <w:spacing w:after="0"/>
        <w:ind w:left="547"/>
      </w:pPr>
      <w:r>
        <w:rPr>
          <w:rFonts w:ascii="Times New Roman" w:eastAsia="Times New Roman" w:hAnsi="Times New Roman" w:cs="Times New Roman"/>
          <w:b/>
          <w:sz w:val="24"/>
        </w:rPr>
        <w:t xml:space="preserve"> </w:t>
      </w:r>
    </w:p>
    <w:p w:rsidR="00FF384B" w:rsidRDefault="003E3BA9">
      <w:pPr>
        <w:spacing w:after="5" w:line="247" w:lineRule="auto"/>
        <w:ind w:left="437" w:hanging="10"/>
        <w:jc w:val="both"/>
      </w:pPr>
      <w:r>
        <w:rPr>
          <w:rFonts w:ascii="Arial" w:eastAsia="Arial" w:hAnsi="Arial" w:cs="Arial"/>
        </w:rPr>
        <w:t>“La Red Española de Ciudades Saludables (RECS) está integrada por más de 200 Gobiernos Locales, en conjunto se agrupan a más de 20 millones de habitantes, es decir, en torno al 40 % de la</w:t>
      </w:r>
      <w:r>
        <w:rPr>
          <w:rFonts w:ascii="Arial" w:eastAsia="Arial" w:hAnsi="Arial" w:cs="Arial"/>
        </w:rPr>
        <w:t xml:space="preserve"> población española.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La </w:t>
      </w:r>
      <w:r>
        <w:rPr>
          <w:rFonts w:ascii="Arial" w:eastAsia="Arial" w:hAnsi="Arial" w:cs="Arial"/>
          <w:b/>
        </w:rPr>
        <w:t xml:space="preserve">RECS </w:t>
      </w:r>
      <w:r>
        <w:rPr>
          <w:rFonts w:ascii="Arial" w:eastAsia="Arial" w:hAnsi="Arial" w:cs="Arial"/>
        </w:rPr>
        <w:t>es una sección de la Federación Española de Municipios y Provincias (FEMP), que trabaja de manera coordinada con el Ministerio de Sanidad, Consumo y Bienestar Social (MSCBS) para impulsar y extender la Red en todo el territ</w:t>
      </w:r>
      <w:r>
        <w:rPr>
          <w:rFonts w:ascii="Arial" w:eastAsia="Arial" w:hAnsi="Arial" w:cs="Arial"/>
        </w:rPr>
        <w:t>orio.</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10" w:hanging="10"/>
        <w:jc w:val="both"/>
      </w:pPr>
      <w:r>
        <w:rPr>
          <w:noProof/>
        </w:rPr>
        <mc:AlternateContent>
          <mc:Choice Requires="wpg">
            <w:drawing>
              <wp:anchor distT="0" distB="0" distL="114300" distR="114300" simplePos="0" relativeHeight="251955200" behindDoc="1" locked="0" layoutInCell="1" allowOverlap="1">
                <wp:simplePos x="0" y="0"/>
                <wp:positionH relativeFrom="column">
                  <wp:posOffset>6952743</wp:posOffset>
                </wp:positionH>
                <wp:positionV relativeFrom="paragraph">
                  <wp:posOffset>-388350</wp:posOffset>
                </wp:positionV>
                <wp:extent cx="524148" cy="3797300"/>
                <wp:effectExtent l="0" t="0" r="0" b="0"/>
                <wp:wrapNone/>
                <wp:docPr id="502943" name="Group 50294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510" name="Picture 53510"/>
                          <pic:cNvPicPr/>
                        </pic:nvPicPr>
                        <pic:blipFill>
                          <a:blip r:embed="rId62"/>
                          <a:stretch>
                            <a:fillRect/>
                          </a:stretch>
                        </pic:blipFill>
                        <pic:spPr>
                          <a:xfrm rot="-5399999">
                            <a:off x="-1720849" y="1720850"/>
                            <a:ext cx="3797299" cy="355600"/>
                          </a:xfrm>
                          <a:prstGeom prst="rect">
                            <a:avLst/>
                          </a:prstGeom>
                        </pic:spPr>
                      </pic:pic>
                      <wps:wsp>
                        <wps:cNvPr id="53511" name="Rectangle 5351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512" name="Rectangle 5351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289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2943" style="width:41.2715pt;height:299pt;position:absolute;z-index:-2147483565;mso-position-horizontal-relative:text;mso-position-horizontal:absolute;margin-left:547.46pt;mso-position-vertical-relative:text;margin-top:-30.5788pt;" coordsize="5241,37973">
                <v:shape id="Picture 53510" style="position:absolute;width:37972;height:3556;left:-17208;top:17208;rotation:-89;" filled="f">
                  <v:imagedata r:id="rId63"/>
                </v:shape>
                <v:rect id="Rectangle 535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5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289 de 353 </w:t>
                        </w:r>
                      </w:p>
                    </w:txbxContent>
                  </v:textbox>
                </v:rect>
              </v:group>
            </w:pict>
          </mc:Fallback>
        </mc:AlternateContent>
      </w:r>
      <w:r>
        <w:rPr>
          <w:rFonts w:ascii="Arial" w:eastAsia="Arial" w:hAnsi="Arial" w:cs="Arial"/>
        </w:rPr>
        <w:t xml:space="preserve">Una </w:t>
      </w:r>
      <w:r>
        <w:rPr>
          <w:rFonts w:ascii="Arial" w:eastAsia="Arial" w:hAnsi="Arial" w:cs="Arial"/>
          <w:b/>
        </w:rPr>
        <w:t xml:space="preserve">ciudad saludable </w:t>
      </w:r>
      <w:r>
        <w:rPr>
          <w:rFonts w:ascii="Arial" w:eastAsia="Arial" w:hAnsi="Arial" w:cs="Arial"/>
        </w:rPr>
        <w:t>es aquella cuyo gobierno se</w:t>
      </w:r>
      <w:r>
        <w:rPr>
          <w:rFonts w:ascii="Arial" w:eastAsia="Arial" w:hAnsi="Arial" w:cs="Arial"/>
        </w:rPr>
        <w:t xml:space="preserve"> compromete a poner la salud en un lugar destacado de su agenda social, económica y política. Adoptar este compromiso e iniciar un proceso para ganar más salud y bienestar para la ciudadanía es la base para que una entidad local pueda ser saludable. </w:t>
      </w:r>
      <w:r>
        <w:rPr>
          <w:rFonts w:ascii="Arial" w:eastAsia="Arial" w:hAnsi="Arial" w:cs="Arial"/>
          <w:sz w:val="24"/>
        </w:rPr>
        <w:t xml:space="preserve"> </w:t>
      </w:r>
    </w:p>
    <w:p w:rsidR="00FF384B" w:rsidRDefault="003E3BA9">
      <w:pPr>
        <w:spacing w:after="0" w:line="249" w:lineRule="auto"/>
        <w:ind w:left="557" w:hanging="10"/>
        <w:jc w:val="both"/>
      </w:pPr>
      <w:r>
        <w:rPr>
          <w:rFonts w:ascii="Times New Roman" w:eastAsia="Times New Roman" w:hAnsi="Times New Roman" w:cs="Times New Roman"/>
          <w:sz w:val="24"/>
        </w:rPr>
        <w:t>La R</w:t>
      </w:r>
      <w:r>
        <w:rPr>
          <w:rFonts w:ascii="Times New Roman" w:eastAsia="Times New Roman" w:hAnsi="Times New Roman" w:cs="Times New Roman"/>
          <w:sz w:val="24"/>
        </w:rPr>
        <w:t xml:space="preserve">ECS nace en 1988 dentro del proyecto de Ciudades Saludables de la Organización Mundial de la Salud (OMS) y contribuye desde entonces a ese movimiento global. </w:t>
      </w:r>
    </w:p>
    <w:p w:rsidR="00FF384B" w:rsidRDefault="003E3BA9">
      <w:pPr>
        <w:spacing w:after="0"/>
        <w:ind w:left="547"/>
      </w:pPr>
      <w:r>
        <w:rPr>
          <w:rFonts w:ascii="Times New Roman" w:eastAsia="Times New Roman" w:hAnsi="Times New Roman" w:cs="Times New Roman"/>
          <w:sz w:val="24"/>
        </w:rPr>
        <w:t xml:space="preserve"> </w:t>
      </w:r>
    </w:p>
    <w:p w:rsidR="00FF384B" w:rsidRDefault="003E3BA9">
      <w:pPr>
        <w:spacing w:after="5" w:line="247" w:lineRule="auto"/>
        <w:ind w:left="437" w:hanging="10"/>
        <w:jc w:val="both"/>
      </w:pPr>
      <w:r>
        <w:rPr>
          <w:rFonts w:ascii="Arial" w:eastAsia="Arial" w:hAnsi="Arial" w:cs="Arial"/>
        </w:rPr>
        <w:t xml:space="preserve">Más de 30 redes nacionales y unas 1400 ciudades forman parte de la Red Europea, coordinada por </w:t>
      </w:r>
      <w:r>
        <w:rPr>
          <w:rFonts w:ascii="Arial" w:eastAsia="Arial" w:hAnsi="Arial" w:cs="Arial"/>
        </w:rPr>
        <w:t xml:space="preserve">la OMS desde Copenhague para desarrollar el trabajo en fases plurianuales.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La </w:t>
      </w:r>
      <w:r>
        <w:rPr>
          <w:rFonts w:ascii="Arial" w:eastAsia="Arial" w:hAnsi="Arial" w:cs="Arial"/>
          <w:b/>
        </w:rPr>
        <w:t xml:space="preserve">forma </w:t>
      </w:r>
      <w:r>
        <w:rPr>
          <w:rFonts w:ascii="Arial" w:eastAsia="Arial" w:hAnsi="Arial" w:cs="Arial"/>
        </w:rPr>
        <w:t xml:space="preserve">en que las Entidades Locales pueden </w:t>
      </w:r>
      <w:r>
        <w:rPr>
          <w:rFonts w:ascii="Arial" w:eastAsia="Arial" w:hAnsi="Arial" w:cs="Arial"/>
          <w:b/>
        </w:rPr>
        <w:t xml:space="preserve">ganar más salud </w:t>
      </w:r>
      <w:r>
        <w:rPr>
          <w:rFonts w:ascii="Arial" w:eastAsia="Arial" w:hAnsi="Arial" w:cs="Arial"/>
        </w:rPr>
        <w:t xml:space="preserve">para la ciudadanía pasa por actuar sobre la salud pública, gracias a las competencias sobre numerosos ámbitos, tales como medio ambiente urbano, educación, deporte, cultura, cohesión social, vivienda, planificación urbana, etc.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Más allá de lo que puede</w:t>
      </w:r>
      <w:r>
        <w:rPr>
          <w:rFonts w:ascii="Arial" w:eastAsia="Arial" w:hAnsi="Arial" w:cs="Arial"/>
        </w:rPr>
        <w:t xml:space="preserve"> aportar el sector sanitario, promover ciudades saludables también consiste en crear ciudades más seguras, más equitativas y solidarias, más participativas, más respirables, con menos humos.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Cualquier ciudad puede ser saludable si se compromete con la salud, si tiene una estructura para trabajar la salud y si comienza un proceso para conseguirlo promoviendo la adopción de estilos de vida saludables y creando entornos que los favorezcan.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Lo</w:t>
      </w:r>
      <w:r>
        <w:rPr>
          <w:rFonts w:ascii="Arial" w:eastAsia="Arial" w:hAnsi="Arial" w:cs="Arial"/>
        </w:rPr>
        <w:t xml:space="preserve">s Gobiernos Locales tienen un papel privilegiado para crear entornos que favorezcan la salud, ya que: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Disponen de las competencias para intervenir a través de las políticas que contribuyan a mejorar la salud de toda la población con equidad y efectiv</w:t>
      </w:r>
      <w:r>
        <w:rPr>
          <w:rFonts w:ascii="Arial" w:eastAsia="Arial" w:hAnsi="Arial" w:cs="Arial"/>
        </w:rPr>
        <w:t xml:space="preserve">idad.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 xml:space="preserve">Tienen cercanía y conocimiento de los problemas concretos de la gente que vive en su entorno.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 xml:space="preserve">Pueden organizar de manera fluida y operativa la participación ciudadana en la promoción de la salud.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Formar parte de la RECS aporta a las Entidades Locales: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 xml:space="preserve">Intercambio de experiencias municipales en salud y desarrollo sostenible.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 xml:space="preserve">Apoyo técnico para proyectos y actividades locales de promoción de la salud.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Formación y capacitación al perso</w:t>
      </w:r>
      <w:r>
        <w:rPr>
          <w:rFonts w:ascii="Arial" w:eastAsia="Arial" w:hAnsi="Arial" w:cs="Arial"/>
        </w:rPr>
        <w:t xml:space="preserve">nal técnico del municipio.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noProof/>
        </w:rPr>
        <mc:AlternateContent>
          <mc:Choice Requires="wpg">
            <w:drawing>
              <wp:anchor distT="0" distB="0" distL="114300" distR="114300" simplePos="0" relativeHeight="251956224" behindDoc="0" locked="0" layoutInCell="1" allowOverlap="1">
                <wp:simplePos x="0" y="0"/>
                <wp:positionH relativeFrom="column">
                  <wp:posOffset>6952743</wp:posOffset>
                </wp:positionH>
                <wp:positionV relativeFrom="paragraph">
                  <wp:posOffset>-2179558</wp:posOffset>
                </wp:positionV>
                <wp:extent cx="524148" cy="3797300"/>
                <wp:effectExtent l="0" t="0" r="0" b="0"/>
                <wp:wrapSquare wrapText="bothSides"/>
                <wp:docPr id="503385" name="Group 50338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596" name="Picture 53596"/>
                          <pic:cNvPicPr/>
                        </pic:nvPicPr>
                        <pic:blipFill>
                          <a:blip r:embed="rId62"/>
                          <a:stretch>
                            <a:fillRect/>
                          </a:stretch>
                        </pic:blipFill>
                        <pic:spPr>
                          <a:xfrm rot="-5399999">
                            <a:off x="-1720849" y="1720850"/>
                            <a:ext cx="3797299" cy="355600"/>
                          </a:xfrm>
                          <a:prstGeom prst="rect">
                            <a:avLst/>
                          </a:prstGeom>
                        </pic:spPr>
                      </pic:pic>
                      <wps:wsp>
                        <wps:cNvPr id="53597" name="Rectangle 53597"/>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598" name="Rectangle 53598"/>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3385" style="width:41.2715pt;height:299pt;position:absolute;mso-position-horizontal-relative:text;mso-position-horizontal:absolute;margin-left:547.46pt;mso-position-vertical-relative:text;margin-top:-171.619pt;" coordsize="5241,37973">
                <v:shape id="Picture 53596" style="position:absolute;width:37972;height:3556;left:-17208;top:17208;rotation:-89;" filled="f">
                  <v:imagedata r:id="rId63"/>
                </v:shape>
                <v:rect id="Rectangle 53597"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598"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290 de 353 </w:t>
                        </w:r>
                      </w:p>
                    </w:txbxContent>
                  </v:textbox>
                </v:rect>
                <w10:wrap type="square"/>
              </v:group>
            </w:pict>
          </mc:Fallback>
        </mc:AlternateContent>
      </w:r>
      <w:r>
        <w:rPr>
          <w:rFonts w:ascii="Arial" w:eastAsia="Arial" w:hAnsi="Arial" w:cs="Arial"/>
        </w:rPr>
        <w:t xml:space="preserve">Apoyo económico a través </w:t>
      </w:r>
      <w:r>
        <w:rPr>
          <w:rFonts w:ascii="Arial" w:eastAsia="Arial" w:hAnsi="Arial" w:cs="Arial"/>
        </w:rPr>
        <w:t xml:space="preserve">de un convenio entre el Ministerio de Sanidad, Consumo y Bienestar Social y la FEMP para: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 xml:space="preserve">El desarrollo de actividades de promoción de la salud en el ámbito local    que vayan en línea con la Fase VII de Ciudades Saludables (2019-2024). </w:t>
      </w:r>
    </w:p>
    <w:p w:rsidR="00FF384B" w:rsidRDefault="003E3BA9">
      <w:pPr>
        <w:spacing w:after="0"/>
        <w:ind w:left="427" w:right="3161"/>
      </w:pPr>
      <w:r>
        <w:rPr>
          <w:rFonts w:ascii="Arial" w:eastAsia="Arial" w:hAnsi="Arial" w:cs="Arial"/>
        </w:rPr>
        <w:t xml:space="preserve"> </w:t>
      </w:r>
    </w:p>
    <w:p w:rsidR="00FF384B" w:rsidRDefault="003E3BA9">
      <w:pPr>
        <w:numPr>
          <w:ilvl w:val="0"/>
          <w:numId w:val="326"/>
        </w:numPr>
        <w:spacing w:after="5" w:line="247" w:lineRule="auto"/>
        <w:ind w:right="244" w:hanging="360"/>
        <w:jc w:val="both"/>
      </w:pPr>
      <w:r>
        <w:rPr>
          <w:rFonts w:ascii="Arial" w:eastAsia="Arial" w:hAnsi="Arial" w:cs="Arial"/>
        </w:rPr>
        <w:t>La adhesión a</w:t>
      </w:r>
      <w:r>
        <w:rPr>
          <w:rFonts w:ascii="Arial" w:eastAsia="Arial" w:hAnsi="Arial" w:cs="Arial"/>
        </w:rPr>
        <w:t xml:space="preserve"> la Estrategia de Promoción de la Salud y Prevención en el Sistema Nacional de la Salud.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Por lo anteriormente expuesto, esta Concejalía realiza la siguiente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pStyle w:val="Ttulo3"/>
        <w:shd w:val="clear" w:color="auto" w:fill="auto"/>
        <w:spacing w:after="8" w:line="253" w:lineRule="auto"/>
        <w:ind w:left="767" w:right="337"/>
      </w:pPr>
      <w:r>
        <w:rPr>
          <w:i w:val="0"/>
        </w:rPr>
        <w:t xml:space="preserve">PROPUESTA </w:t>
      </w:r>
    </w:p>
    <w:p w:rsidR="00FF384B" w:rsidRDefault="003E3BA9">
      <w:pPr>
        <w:spacing w:after="0"/>
        <w:ind w:left="479"/>
        <w:jc w:val="center"/>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b/>
        </w:rPr>
        <w:t xml:space="preserve">Primero. - </w:t>
      </w:r>
      <w:r>
        <w:rPr>
          <w:rFonts w:ascii="Arial" w:eastAsia="Arial" w:hAnsi="Arial" w:cs="Arial"/>
        </w:rPr>
        <w:t xml:space="preserve">Adherirse a la Red Española de Ciudades Saludables RECS, a través de la Federación Española de Municipios y Provincias FEMP, mediante compromiso político municipal de adscripción a la Sección, expresado por acuerdo del Pleno. </w:t>
      </w:r>
      <w:r>
        <w:rPr>
          <w:rFonts w:ascii="Arial" w:eastAsia="Arial" w:hAnsi="Arial" w:cs="Arial"/>
          <w:sz w:val="24"/>
        </w:rPr>
        <w:t xml:space="preserve"> </w:t>
      </w:r>
    </w:p>
    <w:p w:rsidR="00FF384B" w:rsidRDefault="003E3BA9">
      <w:pPr>
        <w:spacing w:after="24"/>
        <w:ind w:left="427"/>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b/>
        </w:rPr>
        <w:t xml:space="preserve">Segundo. - </w:t>
      </w:r>
      <w:r>
        <w:rPr>
          <w:rFonts w:ascii="Arial" w:eastAsia="Arial" w:hAnsi="Arial" w:cs="Arial"/>
        </w:rPr>
        <w:t>Remitir a la FE</w:t>
      </w:r>
      <w:r>
        <w:rPr>
          <w:rFonts w:ascii="Arial" w:eastAsia="Arial" w:hAnsi="Arial" w:cs="Arial"/>
        </w:rPr>
        <w:t>MP los acuerdos tomados al respecto.”</w:t>
      </w:r>
      <w:r>
        <w:rPr>
          <w:rFonts w:ascii="Arial" w:eastAsia="Arial" w:hAnsi="Arial" w:cs="Arial"/>
          <w:sz w:val="24"/>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hanging="3"/>
        <w:jc w:val="both"/>
      </w:pPr>
      <w:r>
        <w:rPr>
          <w:noProof/>
        </w:rPr>
        <mc:AlternateContent>
          <mc:Choice Requires="wpg">
            <w:drawing>
              <wp:anchor distT="0" distB="0" distL="114300" distR="114300" simplePos="0" relativeHeight="251957248" behindDoc="0" locked="0" layoutInCell="1" allowOverlap="1">
                <wp:simplePos x="0" y="0"/>
                <wp:positionH relativeFrom="column">
                  <wp:posOffset>6952743</wp:posOffset>
                </wp:positionH>
                <wp:positionV relativeFrom="paragraph">
                  <wp:posOffset>-514842</wp:posOffset>
                </wp:positionV>
                <wp:extent cx="524148" cy="3797300"/>
                <wp:effectExtent l="0" t="0" r="0" b="0"/>
                <wp:wrapSquare wrapText="bothSides"/>
                <wp:docPr id="503303" name="Group 50330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675" name="Picture 53675"/>
                          <pic:cNvPicPr/>
                        </pic:nvPicPr>
                        <pic:blipFill>
                          <a:blip r:embed="rId62"/>
                          <a:stretch>
                            <a:fillRect/>
                          </a:stretch>
                        </pic:blipFill>
                        <pic:spPr>
                          <a:xfrm rot="-5399999">
                            <a:off x="-1720849" y="1720850"/>
                            <a:ext cx="3797299" cy="355600"/>
                          </a:xfrm>
                          <a:prstGeom prst="rect">
                            <a:avLst/>
                          </a:prstGeom>
                        </pic:spPr>
                      </pic:pic>
                      <wps:wsp>
                        <wps:cNvPr id="53676" name="Rectangle 5367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677" name="Rectangle 5367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3303" style="width:41.2715pt;height:299pt;position:absolute;mso-position-horizontal-relative:text;mso-position-horizontal:absolute;margin-left:547.46pt;mso-position-vertical-relative:text;margin-top:-40.5388pt;" coordsize="5241,37973">
                <v:shape id="Picture 53675" style="position:absolute;width:37972;height:3556;left:-17208;top:17208;rotation:-89;" filled="f">
                  <v:imagedata r:id="rId63"/>
                </v:shape>
                <v:rect id="Rectangle 5367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67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291 de 353 </w:t>
                        </w:r>
                      </w:p>
                    </w:txbxContent>
                  </v:textbox>
                </v:rect>
                <w10:wrap type="square"/>
              </v:group>
            </w:pict>
          </mc:Fallback>
        </mc:AlternateContent>
      </w:r>
      <w:r>
        <w:rPr>
          <w:rFonts w:ascii="Arial" w:eastAsia="Arial" w:hAnsi="Arial" w:cs="Arial"/>
          <w:b/>
        </w:rPr>
        <w:t xml:space="preserve">DICTAMEN FAVORABLE DE LA COMISIÓN INFORMATIVA DE SERVICIOS A LAS PERSONAS DE 26 DE ABRIL DE 2021. </w:t>
      </w:r>
    </w:p>
    <w:p w:rsidR="00FF384B" w:rsidRDefault="003E3BA9">
      <w:pPr>
        <w:spacing w:after="0"/>
        <w:ind w:left="427" w:right="3161"/>
      </w:pPr>
      <w:r>
        <w:rPr>
          <w:rFonts w:ascii="Arial" w:eastAsia="Arial" w:hAnsi="Arial" w:cs="Arial"/>
          <w:b/>
        </w:rPr>
        <w:t xml:space="preserve"> </w:t>
      </w:r>
    </w:p>
    <w:p w:rsidR="00FF384B" w:rsidRDefault="003E3BA9">
      <w:pPr>
        <w:spacing w:after="5" w:line="247" w:lineRule="auto"/>
        <w:ind w:left="437" w:right="3161" w:hanging="10"/>
        <w:jc w:val="both"/>
      </w:pPr>
      <w:r>
        <w:rPr>
          <w:rFonts w:ascii="Arial" w:eastAsia="Arial" w:hAnsi="Arial" w:cs="Arial"/>
        </w:rPr>
        <w:t xml:space="preserve">Votos a favor: 5. </w:t>
      </w:r>
    </w:p>
    <w:p w:rsidR="00FF384B" w:rsidRDefault="003E3BA9">
      <w:pPr>
        <w:spacing w:after="5" w:line="247" w:lineRule="auto"/>
        <w:ind w:left="437" w:hanging="10"/>
        <w:jc w:val="both"/>
      </w:pPr>
      <w:r>
        <w:rPr>
          <w:rFonts w:ascii="Arial" w:eastAsia="Arial" w:hAnsi="Arial" w:cs="Arial"/>
        </w:rPr>
        <w:t>4 concejales del Grupo Socialista: Doña Olivia Concepción Pérez Díaz, Don José Francisco Pinto Ramos, Don Manuel Alberto González Pestan</w:t>
      </w:r>
      <w:r>
        <w:rPr>
          <w:rFonts w:ascii="Arial" w:eastAsia="Arial" w:hAnsi="Arial" w:cs="Arial"/>
        </w:rPr>
        <w:t xml:space="preserve">o y Doña Margarita Eva Tendero Barroso. </w:t>
      </w:r>
    </w:p>
    <w:p w:rsidR="00FF384B" w:rsidRDefault="003E3BA9">
      <w:pPr>
        <w:spacing w:after="5" w:line="247" w:lineRule="auto"/>
        <w:ind w:left="437" w:right="3161" w:hanging="10"/>
        <w:jc w:val="both"/>
      </w:pPr>
      <w:r>
        <w:rPr>
          <w:rFonts w:ascii="Arial" w:eastAsia="Arial" w:hAnsi="Arial" w:cs="Arial"/>
        </w:rPr>
        <w:t xml:space="preserve">1 de la concejal del Grupo Mixto (CC-PNC), Doña Ángela Cruz Perera.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Votos en contra: 0.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Abstenciones: 2. </w:t>
      </w:r>
    </w:p>
    <w:p w:rsidR="00FF384B" w:rsidRDefault="003E3BA9">
      <w:pPr>
        <w:spacing w:after="5" w:line="247" w:lineRule="auto"/>
        <w:ind w:left="437" w:right="3161" w:hanging="10"/>
        <w:jc w:val="both"/>
      </w:pPr>
      <w:r>
        <w:rPr>
          <w:rFonts w:ascii="Arial" w:eastAsia="Arial" w:hAnsi="Arial" w:cs="Arial"/>
        </w:rPr>
        <w:t xml:space="preserve">1 de la concejal del Grupo Popular, Doña Raquel Martín Castro. </w:t>
      </w:r>
    </w:p>
    <w:p w:rsidR="00FF384B" w:rsidRDefault="003E3BA9">
      <w:pPr>
        <w:numPr>
          <w:ilvl w:val="0"/>
          <w:numId w:val="327"/>
        </w:numPr>
        <w:spacing w:after="5" w:line="247" w:lineRule="auto"/>
        <w:ind w:left="965" w:right="1702" w:hanging="184"/>
        <w:jc w:val="both"/>
      </w:pPr>
      <w:r>
        <w:rPr>
          <w:rFonts w:ascii="Arial" w:eastAsia="Arial" w:hAnsi="Arial" w:cs="Arial"/>
        </w:rPr>
        <w:t>de la concejal del Grupo Mixto (VxC): D</w:t>
      </w:r>
      <w:r>
        <w:rPr>
          <w:rFonts w:ascii="Arial" w:eastAsia="Arial" w:hAnsi="Arial" w:cs="Arial"/>
        </w:rPr>
        <w:t xml:space="preserve">oña Lourdes del Carmen Mondéjar Rondón.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JUNTA DE PORTAVOCES DE 26 DE ABRIL DE 2021.  </w:t>
      </w:r>
    </w:p>
    <w:p w:rsidR="00FF384B" w:rsidRDefault="003E3BA9">
      <w:pPr>
        <w:spacing w:after="5" w:line="247" w:lineRule="auto"/>
        <w:ind w:left="437" w:right="3161" w:hanging="10"/>
        <w:jc w:val="both"/>
      </w:pPr>
      <w:r>
        <w:rPr>
          <w:rFonts w:ascii="Arial" w:eastAsia="Arial" w:hAnsi="Arial" w:cs="Arial"/>
        </w:rPr>
        <w:t xml:space="preserve">Quedó oída.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VOTACIÓN EN EL PLENO DE 29 DE ABRIL DE 2021.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1146" w:right="244" w:hanging="10"/>
        <w:jc w:val="both"/>
      </w:pPr>
      <w:r>
        <w:rPr>
          <w:rFonts w:ascii="Arial" w:eastAsia="Arial" w:hAnsi="Arial" w:cs="Arial"/>
        </w:rPr>
        <w:t xml:space="preserve">La unanimidad de los 17 concejales presentes: </w:t>
      </w:r>
    </w:p>
    <w:p w:rsidR="00FF384B" w:rsidRDefault="003E3BA9">
      <w:pPr>
        <w:spacing w:after="0"/>
        <w:ind w:left="427"/>
      </w:pPr>
      <w:r>
        <w:rPr>
          <w:rFonts w:ascii="Arial" w:eastAsia="Arial" w:hAnsi="Arial" w:cs="Arial"/>
        </w:rPr>
        <w:t xml:space="preserve"> </w:t>
      </w:r>
    </w:p>
    <w:p w:rsidR="00FF384B" w:rsidRDefault="003E3BA9">
      <w:pPr>
        <w:spacing w:after="114" w:line="247" w:lineRule="auto"/>
        <w:ind w:left="427" w:right="9"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FF384B" w:rsidRDefault="003E3BA9">
      <w:pPr>
        <w:numPr>
          <w:ilvl w:val="0"/>
          <w:numId w:val="327"/>
        </w:numPr>
        <w:spacing w:after="109" w:line="247" w:lineRule="auto"/>
        <w:ind w:left="965" w:right="1702" w:hanging="184"/>
        <w:jc w:val="both"/>
      </w:pPr>
      <w:r>
        <w:rPr>
          <w:rFonts w:ascii="Arial" w:eastAsia="Arial" w:hAnsi="Arial" w:cs="Arial"/>
        </w:rPr>
        <w:t xml:space="preserve">concejales del Grupo Popular: Doña Raquel Martín Castro y Don Jacobo López Fariña. </w:t>
      </w:r>
    </w:p>
    <w:p w:rsidR="00FF384B" w:rsidRDefault="003E3BA9">
      <w:pPr>
        <w:spacing w:after="109" w:line="247" w:lineRule="auto"/>
        <w:ind w:left="1146" w:right="244" w:hanging="10"/>
        <w:jc w:val="both"/>
      </w:pPr>
      <w:r>
        <w:rPr>
          <w:rFonts w:ascii="Arial" w:eastAsia="Arial" w:hAnsi="Arial" w:cs="Arial"/>
        </w:rPr>
        <w:t xml:space="preserve">2 concejales del Grupo Mixto (SSP), Don Antonio Delgado García y Lourdes del Carmen Mondéjar Rondón. </w:t>
      </w:r>
    </w:p>
    <w:p w:rsidR="00FF384B" w:rsidRDefault="003E3BA9">
      <w:pPr>
        <w:spacing w:after="111" w:line="247" w:lineRule="auto"/>
        <w:ind w:left="1146" w:right="244" w:hanging="10"/>
        <w:jc w:val="both"/>
      </w:pPr>
      <w:r>
        <w:rPr>
          <w:rFonts w:ascii="Arial" w:eastAsia="Arial" w:hAnsi="Arial" w:cs="Arial"/>
        </w:rPr>
        <w:t xml:space="preserve">1 de la concejal del Grupo Mixto, Doña Ángela Cruz Perera (CC-PNC). </w:t>
      </w:r>
    </w:p>
    <w:p w:rsidR="00FF384B" w:rsidRDefault="003E3BA9">
      <w:pPr>
        <w:spacing w:after="121" w:line="247" w:lineRule="auto"/>
        <w:ind w:left="1146" w:right="3161" w:hanging="10"/>
        <w:jc w:val="both"/>
      </w:pPr>
      <w:r>
        <w:rPr>
          <w:rFonts w:ascii="Arial" w:eastAsia="Arial" w:hAnsi="Arial" w:cs="Arial"/>
        </w:rPr>
        <w:t xml:space="preserve">1 del  concejal del Grupo Mixto (VxC), Don José Fernando Gómez Martín. </w:t>
      </w:r>
    </w:p>
    <w:p w:rsidR="00FF384B" w:rsidRDefault="003E3BA9">
      <w:pPr>
        <w:spacing w:after="0"/>
        <w:ind w:left="427" w:right="3161"/>
      </w:pPr>
      <w:r>
        <w:rPr>
          <w:rFonts w:ascii="Times New Roman" w:eastAsia="Times New Roman" w:hAnsi="Times New Roman" w:cs="Times New Roman"/>
          <w:sz w:val="24"/>
        </w:rPr>
        <w:t xml:space="preserve"> </w:t>
      </w:r>
    </w:p>
    <w:p w:rsidR="00FF384B" w:rsidRDefault="003E3BA9">
      <w:pPr>
        <w:spacing w:after="0"/>
        <w:ind w:left="427" w:right="3161"/>
      </w:pPr>
      <w:r>
        <w:rPr>
          <w:rFonts w:ascii="Times New Roman" w:eastAsia="Times New Roman" w:hAnsi="Times New Roman" w:cs="Times New Roman"/>
          <w:sz w:val="24"/>
        </w:rPr>
        <w:t xml:space="preserve"> </w:t>
      </w:r>
    </w:p>
    <w:p w:rsidR="00FF384B" w:rsidRDefault="003E3BA9">
      <w:pPr>
        <w:spacing w:after="0"/>
        <w:ind w:left="1846" w:right="3161"/>
      </w:pPr>
      <w:r>
        <w:rPr>
          <w:rFonts w:ascii="Times New Roman" w:eastAsia="Times New Roman" w:hAnsi="Times New Roman" w:cs="Times New Roman"/>
          <w:b/>
          <w:sz w:val="24"/>
        </w:rPr>
        <w:t xml:space="preserve"> </w:t>
      </w:r>
    </w:p>
    <w:p w:rsidR="00FF384B" w:rsidRDefault="003E3BA9">
      <w:pPr>
        <w:spacing w:after="15" w:line="247" w:lineRule="auto"/>
        <w:ind w:left="1849" w:right="3161" w:hanging="3"/>
        <w:jc w:val="both"/>
      </w:pPr>
      <w:r>
        <w:rPr>
          <w:rFonts w:ascii="Arial" w:eastAsia="Arial" w:hAnsi="Arial" w:cs="Arial"/>
          <w:b/>
        </w:rPr>
        <w:t xml:space="preserve">ACUERDO DEL PLENO DE 29 DE ABRIL DE 2021. </w:t>
      </w:r>
    </w:p>
    <w:p w:rsidR="00FF384B" w:rsidRDefault="003E3BA9">
      <w:pPr>
        <w:spacing w:after="98"/>
        <w:ind w:left="427" w:right="3161"/>
      </w:pPr>
      <w:r>
        <w:rPr>
          <w:rFonts w:ascii="Arial" w:eastAsia="Arial" w:hAnsi="Arial" w:cs="Arial"/>
          <w:b/>
        </w:rPr>
        <w:t xml:space="preserve"> </w:t>
      </w:r>
    </w:p>
    <w:p w:rsidR="00FF384B" w:rsidRDefault="003E3BA9">
      <w:pPr>
        <w:spacing w:after="15" w:line="247" w:lineRule="auto"/>
        <w:ind w:left="412" w:firstLine="708"/>
        <w:jc w:val="both"/>
      </w:pPr>
      <w:r>
        <w:rPr>
          <w:noProof/>
        </w:rPr>
        <mc:AlternateContent>
          <mc:Choice Requires="wpg">
            <w:drawing>
              <wp:anchor distT="0" distB="0" distL="114300" distR="114300" simplePos="0" relativeHeight="251958272" behindDoc="0" locked="0" layoutInCell="1" allowOverlap="1">
                <wp:simplePos x="0" y="0"/>
                <wp:positionH relativeFrom="column">
                  <wp:posOffset>6952743</wp:posOffset>
                </wp:positionH>
                <wp:positionV relativeFrom="paragraph">
                  <wp:posOffset>-1167368</wp:posOffset>
                </wp:positionV>
                <wp:extent cx="524148" cy="3797300"/>
                <wp:effectExtent l="0" t="0" r="0" b="0"/>
                <wp:wrapSquare wrapText="bothSides"/>
                <wp:docPr id="504055" name="Group 5040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760" name="Picture 53760"/>
                          <pic:cNvPicPr/>
                        </pic:nvPicPr>
                        <pic:blipFill>
                          <a:blip r:embed="rId62"/>
                          <a:stretch>
                            <a:fillRect/>
                          </a:stretch>
                        </pic:blipFill>
                        <pic:spPr>
                          <a:xfrm rot="-5399999">
                            <a:off x="-1720849" y="1720850"/>
                            <a:ext cx="3797299" cy="355600"/>
                          </a:xfrm>
                          <a:prstGeom prst="rect">
                            <a:avLst/>
                          </a:prstGeom>
                        </pic:spPr>
                      </pic:pic>
                      <wps:wsp>
                        <wps:cNvPr id="53761" name="Rectangle 5376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762" name="Rectangle 5376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055" style="width:41.2715pt;height:299pt;position:absolute;mso-position-horizontal-relative:text;mso-position-horizontal:absolute;margin-left:547.46pt;mso-position-vertical-relative:text;margin-top:-91.9188pt;" coordsize="5241,37973">
                <v:shape id="Picture 53760" style="position:absolute;width:37972;height:3556;left:-17208;top:17208;rotation:-89;" filled="f">
                  <v:imagedata r:id="rId63"/>
                </v:shape>
                <v:rect id="Rectangle 5376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76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292 de 353 </w:t>
                        </w:r>
                      </w:p>
                    </w:txbxContent>
                  </v:textbox>
                </v:rect>
                <w10:wrap type="square"/>
              </v:group>
            </w:pict>
          </mc:Fallback>
        </mc:AlternateContent>
      </w:r>
      <w:r>
        <w:rPr>
          <w:rFonts w:ascii="Arial" w:eastAsia="Arial" w:hAnsi="Arial" w:cs="Arial"/>
          <w:b/>
        </w:rPr>
        <w:t xml:space="preserve">Primero. - </w:t>
      </w:r>
      <w:r>
        <w:rPr>
          <w:rFonts w:ascii="Arial" w:eastAsia="Arial" w:hAnsi="Arial" w:cs="Arial"/>
          <w:b/>
        </w:rPr>
        <w:t xml:space="preserve">Adherirse a la Red Española de Ciudades Saludables RECS, a través de la Federación Española de Municipios y Provincias FEMP, mediante compromiso político municipal de adscripción a la Sección, expresado por acuerdo del Pleno. </w:t>
      </w:r>
      <w:r>
        <w:rPr>
          <w:rFonts w:ascii="Arial" w:eastAsia="Arial" w:hAnsi="Arial" w:cs="Arial"/>
          <w:sz w:val="24"/>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1139" w:right="3161" w:hanging="3"/>
        <w:jc w:val="both"/>
      </w:pPr>
      <w:r>
        <w:rPr>
          <w:rFonts w:ascii="Arial" w:eastAsia="Arial" w:hAnsi="Arial" w:cs="Arial"/>
          <w:b/>
        </w:rPr>
        <w:t>Segundo. - Remitir a la FE</w:t>
      </w:r>
      <w:r>
        <w:rPr>
          <w:rFonts w:ascii="Arial" w:eastAsia="Arial" w:hAnsi="Arial" w:cs="Arial"/>
          <w:b/>
        </w:rPr>
        <w:t>MP los acuerdos tomados al respecto.</w:t>
      </w:r>
      <w:r>
        <w:rPr>
          <w:rFonts w:ascii="Arial" w:eastAsia="Arial" w:hAnsi="Arial" w:cs="Arial"/>
          <w:sz w:val="24"/>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1136" w:right="3161"/>
      </w:pPr>
      <w:r>
        <w:rPr>
          <w:rFonts w:ascii="Arial" w:eastAsia="Arial" w:hAnsi="Arial" w:cs="Arial"/>
          <w:b/>
        </w:rPr>
        <w:t xml:space="preserve"> </w:t>
      </w:r>
    </w:p>
    <w:p w:rsidR="00FF384B" w:rsidRDefault="003E3BA9">
      <w:pPr>
        <w:spacing w:after="100"/>
        <w:ind w:left="427" w:right="3161"/>
      </w:pPr>
      <w:r>
        <w:rPr>
          <w:rFonts w:ascii="Arial" w:eastAsia="Arial" w:hAnsi="Arial" w:cs="Arial"/>
          <w:b/>
        </w:rPr>
        <w:t xml:space="preserve"> </w:t>
      </w:r>
    </w:p>
    <w:p w:rsidR="00FF384B" w:rsidRDefault="003E3BA9">
      <w:pPr>
        <w:spacing w:after="98"/>
        <w:ind w:left="427" w:right="3161"/>
      </w:pPr>
      <w:r>
        <w:rPr>
          <w:rFonts w:ascii="Arial" w:eastAsia="Arial" w:hAnsi="Arial" w:cs="Arial"/>
          <w:b/>
        </w:rPr>
        <w:t xml:space="preserve"> </w:t>
      </w:r>
    </w:p>
    <w:p w:rsidR="00FF384B" w:rsidRDefault="003E3BA9">
      <w:pPr>
        <w:spacing w:after="10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98"/>
        <w:ind w:left="427"/>
      </w:pPr>
      <w:r>
        <w:rPr>
          <w:rFonts w:ascii="Arial" w:eastAsia="Arial" w:hAnsi="Arial" w:cs="Arial"/>
          <w:b/>
        </w:rPr>
        <w:t xml:space="preserve"> </w:t>
      </w:r>
    </w:p>
    <w:p w:rsidR="00FF384B" w:rsidRDefault="003E3BA9">
      <w:pPr>
        <w:spacing w:after="100"/>
        <w:ind w:left="427"/>
      </w:pPr>
      <w:r>
        <w:rPr>
          <w:rFonts w:ascii="Arial" w:eastAsia="Arial" w:hAnsi="Arial" w:cs="Arial"/>
          <w:b/>
        </w:rPr>
        <w:t xml:space="preserve"> </w:t>
      </w:r>
    </w:p>
    <w:p w:rsidR="00FF384B" w:rsidRDefault="003E3BA9">
      <w:pPr>
        <w:spacing w:after="114" w:line="247" w:lineRule="auto"/>
        <w:ind w:left="415" w:hanging="3"/>
        <w:jc w:val="both"/>
      </w:pPr>
      <w:r>
        <w:rPr>
          <w:rFonts w:ascii="Arial" w:eastAsia="Arial" w:hAnsi="Arial" w:cs="Arial"/>
          <w:b/>
        </w:rPr>
        <w:t>9.-Expediente 3033/2021. Propuesta de la Concejal Delegada de Servicios Sociales, Igualdad y Sanidad de fecha 13 de abril de 2021 al Pleno para la adhesión a la Declaración Institucional del Día Mundial</w:t>
      </w:r>
      <w:r>
        <w:rPr>
          <w:rFonts w:ascii="Arial" w:eastAsia="Arial" w:hAnsi="Arial" w:cs="Arial"/>
          <w:b/>
        </w:rPr>
        <w:t xml:space="preserve"> contra la Esclavitud Infantil (16 de abril) realizada por la Comisión de Cooperación, Juventud, Igualdad y Diversidad de la FECAM.</w:t>
      </w:r>
      <w:r>
        <w:rPr>
          <w:rFonts w:ascii="Arial" w:eastAsia="Arial" w:hAnsi="Arial" w:cs="Arial"/>
        </w:rPr>
        <w:t xml:space="preserve"> </w:t>
      </w:r>
    </w:p>
    <w:p w:rsidR="00FF384B" w:rsidRDefault="003E3BA9">
      <w:pPr>
        <w:spacing w:after="98"/>
        <w:ind w:left="427"/>
      </w:pPr>
      <w:r>
        <w:rPr>
          <w:rFonts w:ascii="Arial" w:eastAsia="Arial" w:hAnsi="Arial" w:cs="Arial"/>
        </w:rPr>
        <w:t xml:space="preserve"> </w:t>
      </w:r>
    </w:p>
    <w:p w:rsidR="00FF384B" w:rsidRDefault="003E3BA9">
      <w:pPr>
        <w:spacing w:after="98"/>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Consta en el expediente propuesta de la Concejala delegada de Servicios Sociales, Igualdad y Sanidad, Dª </w:t>
      </w:r>
      <w:r>
        <w:rPr>
          <w:rFonts w:ascii="Arial" w:eastAsia="Arial" w:hAnsi="Arial" w:cs="Arial"/>
          <w:b/>
        </w:rPr>
        <w:t>Olivia Concepción Pérez Díaz, de fecha de 13 de abril de 2021, que transcrito literalmente dice:</w:t>
      </w:r>
      <w:r>
        <w:rPr>
          <w:rFonts w:ascii="Times New Roman" w:eastAsia="Times New Roman" w:hAnsi="Times New Roman" w:cs="Times New Roman"/>
          <w:sz w:val="24"/>
        </w:rPr>
        <w:t xml:space="preserve"> </w:t>
      </w:r>
    </w:p>
    <w:p w:rsidR="00FF384B" w:rsidRDefault="003E3BA9">
      <w:pPr>
        <w:spacing w:after="98"/>
        <w:ind w:left="427"/>
      </w:pPr>
      <w:r>
        <w:rPr>
          <w:rFonts w:ascii="Arial" w:eastAsia="Arial" w:hAnsi="Arial" w:cs="Arial"/>
        </w:rPr>
        <w:t xml:space="preserve"> </w:t>
      </w:r>
    </w:p>
    <w:p w:rsidR="00FF384B" w:rsidRDefault="003E3BA9">
      <w:pPr>
        <w:spacing w:after="13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“Vista la Declaración Institucional del Día Mundial Contra la Esclavitud Infantil, a celebrar el día 16 de abril, realizada desde la Comisión de Coop</w:t>
      </w:r>
      <w:r>
        <w:rPr>
          <w:rFonts w:ascii="Arial" w:eastAsia="Arial" w:hAnsi="Arial" w:cs="Arial"/>
        </w:rPr>
        <w:t xml:space="preserve">eración, Juventud, Igualdad y Diversidad de la Federación Canaria de Municipios (FECAM), cuyo tenor literal es el siguiente: </w:t>
      </w:r>
    </w:p>
    <w:p w:rsidR="00FF384B" w:rsidRDefault="003E3BA9">
      <w:pPr>
        <w:spacing w:after="13"/>
        <w:ind w:left="427"/>
      </w:pPr>
      <w:r>
        <w:rPr>
          <w:rFonts w:ascii="Arial" w:eastAsia="Arial" w:hAnsi="Arial" w:cs="Arial"/>
        </w:rPr>
        <w:t xml:space="preserve"> </w:t>
      </w:r>
    </w:p>
    <w:p w:rsidR="00FF384B" w:rsidRDefault="003E3BA9">
      <w:pPr>
        <w:spacing w:after="5" w:line="247" w:lineRule="auto"/>
        <w:ind w:left="437" w:right="6" w:hanging="10"/>
        <w:jc w:val="both"/>
      </w:pPr>
      <w:r>
        <w:rPr>
          <w:noProof/>
        </w:rPr>
        <mc:AlternateContent>
          <mc:Choice Requires="wpg">
            <w:drawing>
              <wp:anchor distT="0" distB="0" distL="114300" distR="114300" simplePos="0" relativeHeight="251959296" behindDoc="1" locked="0" layoutInCell="1" allowOverlap="1">
                <wp:simplePos x="0" y="0"/>
                <wp:positionH relativeFrom="column">
                  <wp:posOffset>6952743</wp:posOffset>
                </wp:positionH>
                <wp:positionV relativeFrom="paragraph">
                  <wp:posOffset>-579898</wp:posOffset>
                </wp:positionV>
                <wp:extent cx="524148" cy="3797300"/>
                <wp:effectExtent l="0" t="0" r="0" b="0"/>
                <wp:wrapNone/>
                <wp:docPr id="504297" name="Group 50429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859" name="Picture 53859"/>
                          <pic:cNvPicPr/>
                        </pic:nvPicPr>
                        <pic:blipFill>
                          <a:blip r:embed="rId62"/>
                          <a:stretch>
                            <a:fillRect/>
                          </a:stretch>
                        </pic:blipFill>
                        <pic:spPr>
                          <a:xfrm rot="-5399999">
                            <a:off x="-1720849" y="1720850"/>
                            <a:ext cx="3797299" cy="355600"/>
                          </a:xfrm>
                          <a:prstGeom prst="rect">
                            <a:avLst/>
                          </a:prstGeom>
                        </pic:spPr>
                      </pic:pic>
                      <wps:wsp>
                        <wps:cNvPr id="53860" name="Rectangle 5386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861" name="Rectangle 5386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297" style="width:41.2715pt;height:299pt;position:absolute;z-index:-2147483566;mso-position-horizontal-relative:text;mso-position-horizontal:absolute;margin-left:547.46pt;mso-position-vertical-relative:text;margin-top:-45.6613pt;" coordsize="5241,37973">
                <v:shape id="Picture 53859" style="position:absolute;width:37972;height:3556;left:-17208;top:17208;rotation:-89;" filled="f">
                  <v:imagedata r:id="rId63"/>
                </v:shape>
                <v:rect id="Rectangle 5386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86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293 de 353 </w:t>
                        </w:r>
                      </w:p>
                    </w:txbxContent>
                  </v:textbox>
                </v:rect>
              </v:group>
            </w:pict>
          </mc:Fallback>
        </mc:AlternateContent>
      </w:r>
      <w:r>
        <w:rPr>
          <w:rFonts w:ascii="Arial" w:eastAsia="Arial" w:hAnsi="Arial" w:cs="Arial"/>
        </w:rPr>
        <w:t xml:space="preserve">     “El 16 de abril, es el Día Mundial contra la esclavitud infantil, conmemorándose la muerte de Iqbal Mashil, un niño paquistaní que con tan sólo 4 años fue v</w:t>
      </w:r>
      <w:r>
        <w:rPr>
          <w:rFonts w:ascii="Arial" w:eastAsia="Arial" w:hAnsi="Arial" w:cs="Arial"/>
        </w:rPr>
        <w:t>endido por su padre a una fábrica de alfombras, para pagar sus deudas. Iqbal fue esclavizado y obligado a trabajar durante más de 12 horas diarias. Recibió un constante maltrato y fue rebelde y castigado reiteradamente por ello, hasta, que con 10 años, Iqb</w:t>
      </w:r>
      <w:r>
        <w:rPr>
          <w:rFonts w:ascii="Arial" w:eastAsia="Arial" w:hAnsi="Arial" w:cs="Arial"/>
        </w:rPr>
        <w:t>al logró escapar, convirtiéndose a su corta edad en un activista que luchó por los derechos de la infancia víctima de la esclavitud. Una lucha que le costaría la vida, pues a la edad de 12 años, mientras manejaba su bicicleta de vuelta a casa, fue asesinad</w:t>
      </w:r>
      <w:r>
        <w:rPr>
          <w:rFonts w:ascii="Arial" w:eastAsia="Arial" w:hAnsi="Arial" w:cs="Arial"/>
        </w:rPr>
        <w:t xml:space="preserve">o el 16 de abril de 1995.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El 16 de abril es un día para el recuerdo y el homenaje, cuyo objetivo debe ser visibilizar la problemática de la esclavitud infantil y hacer a la ciudadanía, consciente de ella.  </w:t>
      </w:r>
    </w:p>
    <w:p w:rsidR="00FF384B" w:rsidRDefault="003E3BA9">
      <w:pPr>
        <w:spacing w:after="0"/>
        <w:ind w:left="427"/>
      </w:pPr>
      <w:r>
        <w:rPr>
          <w:rFonts w:ascii="Arial" w:eastAsia="Arial" w:hAnsi="Arial" w:cs="Arial"/>
        </w:rPr>
        <w:t xml:space="preserve"> </w:t>
      </w:r>
    </w:p>
    <w:p w:rsidR="00FF384B" w:rsidRDefault="003E3BA9">
      <w:pPr>
        <w:spacing w:after="115" w:line="247" w:lineRule="auto"/>
        <w:ind w:left="437" w:right="8" w:hanging="10"/>
        <w:jc w:val="both"/>
      </w:pPr>
      <w:r>
        <w:rPr>
          <w:rFonts w:ascii="Arial" w:eastAsia="Arial" w:hAnsi="Arial" w:cs="Arial"/>
        </w:rPr>
        <w:t xml:space="preserve">     La explotación infantil está rigu</w:t>
      </w:r>
      <w:r>
        <w:rPr>
          <w:rFonts w:ascii="Arial" w:eastAsia="Arial" w:hAnsi="Arial" w:cs="Arial"/>
        </w:rPr>
        <w:t>rosamente prohibida por todas las legislaciones internacionales. Sin embargo, a día de hoy, datos ofrecidos por UNICEF y la Organización Mundial del Trabajo, en el mundo existen millones de niños y niñas víctimas de la explotación laboral, los cuales ponen</w:t>
      </w:r>
      <w:r>
        <w:rPr>
          <w:rFonts w:ascii="Arial" w:eastAsia="Arial" w:hAnsi="Arial" w:cs="Arial"/>
        </w:rPr>
        <w:t xml:space="preserve"> en riesgo su vida realizando trabajos peligrosos, poniendo en peligro su desarrollo físico y psíquico. </w:t>
      </w:r>
    </w:p>
    <w:p w:rsidR="00FF384B" w:rsidRDefault="003E3BA9">
      <w:pPr>
        <w:spacing w:after="98"/>
        <w:ind w:left="427"/>
      </w:pPr>
      <w:r>
        <w:rPr>
          <w:rFonts w:ascii="Arial" w:eastAsia="Arial" w:hAnsi="Arial" w:cs="Arial"/>
        </w:rPr>
        <w:t xml:space="preserve"> </w:t>
      </w:r>
    </w:p>
    <w:p w:rsidR="00FF384B" w:rsidRDefault="003E3BA9">
      <w:pPr>
        <w:spacing w:after="112" w:line="247" w:lineRule="auto"/>
        <w:ind w:left="437" w:hanging="10"/>
        <w:jc w:val="both"/>
      </w:pPr>
      <w:r>
        <w:rPr>
          <w:rFonts w:ascii="Arial" w:eastAsia="Arial" w:hAnsi="Arial" w:cs="Arial"/>
        </w:rPr>
        <w:t xml:space="preserve">     Un año después del inicio de la pandemia de la COVID-19, el progreso ha retrocedido en indicadores tan importantes como la INFANCIA. La </w:t>
      </w:r>
      <w:r>
        <w:rPr>
          <w:rFonts w:ascii="Arial" w:eastAsia="Arial" w:hAnsi="Arial" w:cs="Arial"/>
        </w:rPr>
        <w:t>normalidad es devastadora y distorsionada para los niños y niñas de todo el mundo. Su acceso a la educación, la socialización y algunos servicios esenciales como pueden ser, la nutrición y la protección se han visto disminuidos. Son los más sufridores de l</w:t>
      </w:r>
      <w:r>
        <w:rPr>
          <w:rFonts w:ascii="Arial" w:eastAsia="Arial" w:hAnsi="Arial" w:cs="Arial"/>
        </w:rPr>
        <w:t xml:space="preserve">as peores consecuencias de la pandemia que vinimos sufriendo. </w:t>
      </w:r>
    </w:p>
    <w:p w:rsidR="00FF384B" w:rsidRDefault="003E3BA9">
      <w:pPr>
        <w:spacing w:after="10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Por todo ello, la FECAM, en nombre de todas las Entidades Locales de Canarias, debemos luchar por una infancia libre, feliz, crear conciencia, sensibilizando y promoviendo, la reflexión</w:t>
      </w:r>
      <w:r>
        <w:rPr>
          <w:rFonts w:ascii="Arial" w:eastAsia="Arial" w:hAnsi="Arial" w:cs="Arial"/>
        </w:rPr>
        <w:t xml:space="preserve"> y el diálogo, incidiendo en la responsabilidad y la solidaridad. </w:t>
      </w:r>
    </w:p>
    <w:p w:rsidR="00FF384B" w:rsidRDefault="003E3BA9">
      <w:pPr>
        <w:spacing w:after="16"/>
        <w:ind w:left="427"/>
      </w:pPr>
      <w:r>
        <w:rPr>
          <w:rFonts w:ascii="Arial" w:eastAsia="Arial" w:hAnsi="Arial" w:cs="Arial"/>
        </w:rPr>
        <w:t xml:space="preserve">  </w:t>
      </w:r>
    </w:p>
    <w:p w:rsidR="00FF384B" w:rsidRDefault="003E3BA9">
      <w:pPr>
        <w:spacing w:after="109" w:line="247" w:lineRule="auto"/>
        <w:ind w:left="437" w:right="9" w:hanging="10"/>
        <w:jc w:val="both"/>
      </w:pPr>
      <w:r>
        <w:rPr>
          <w:rFonts w:ascii="Arial" w:eastAsia="Arial" w:hAnsi="Arial" w:cs="Arial"/>
        </w:rPr>
        <w:t xml:space="preserve">     En la CONVENCIÓN DE LOS DERECHOS DEL NIÑO, se establece que: “Todo niño y niña tiene derecho a la educación y es obligación del Estado asegurar, por lo menos, la educación primaria </w:t>
      </w:r>
      <w:r>
        <w:rPr>
          <w:rFonts w:ascii="Arial" w:eastAsia="Arial" w:hAnsi="Arial" w:cs="Arial"/>
        </w:rPr>
        <w:t xml:space="preserve">gratuita y obligatoria; y es obligación del Estado proteger al niño y niña contra el desempeño de cualquier trabajo nocivo para su salud, educación o desarrollo”. </w:t>
      </w:r>
    </w:p>
    <w:p w:rsidR="00FF384B" w:rsidRDefault="003E3BA9">
      <w:pPr>
        <w:spacing w:after="98"/>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Por todo ello, y con motivo de la conmemoración del Día Mundial contra la esclavitud </w:t>
      </w:r>
      <w:r>
        <w:rPr>
          <w:rFonts w:ascii="Arial" w:eastAsia="Arial" w:hAnsi="Arial" w:cs="Arial"/>
        </w:rPr>
        <w:t xml:space="preserve">infantil, se hace un llamamiento a la reflexión y se propone al Comité Ejecutivo de la FECAM, a la adopción de los siguientes ACUERDOS: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     PRIMERO. - Ratificar el contenido de esta Declaración Institucional por el Día Mundial contra la esclavitud inf</w:t>
      </w:r>
      <w:r>
        <w:rPr>
          <w:rFonts w:ascii="Arial" w:eastAsia="Arial" w:hAnsi="Arial" w:cs="Arial"/>
        </w:rPr>
        <w:t xml:space="preserve">antil. </w:t>
      </w:r>
    </w:p>
    <w:p w:rsidR="00FF384B" w:rsidRDefault="003E3BA9">
      <w:pPr>
        <w:spacing w:after="0"/>
        <w:ind w:left="427"/>
      </w:pPr>
      <w:r>
        <w:rPr>
          <w:rFonts w:ascii="Arial" w:eastAsia="Arial" w:hAnsi="Arial" w:cs="Arial"/>
        </w:rPr>
        <w:t xml:space="preserve">  </w:t>
      </w:r>
    </w:p>
    <w:p w:rsidR="00FF384B" w:rsidRDefault="003E3BA9">
      <w:pPr>
        <w:spacing w:after="1" w:line="239" w:lineRule="auto"/>
        <w:ind w:left="437" w:hanging="10"/>
      </w:pPr>
      <w:r>
        <w:rPr>
          <w:noProof/>
        </w:rPr>
        <mc:AlternateContent>
          <mc:Choice Requires="wpg">
            <w:drawing>
              <wp:anchor distT="0" distB="0" distL="114300" distR="114300" simplePos="0" relativeHeight="251960320" behindDoc="1" locked="0" layoutInCell="1" allowOverlap="1">
                <wp:simplePos x="0" y="0"/>
                <wp:positionH relativeFrom="column">
                  <wp:posOffset>6952743</wp:posOffset>
                </wp:positionH>
                <wp:positionV relativeFrom="paragraph">
                  <wp:posOffset>-650478</wp:posOffset>
                </wp:positionV>
                <wp:extent cx="524148" cy="3797300"/>
                <wp:effectExtent l="0" t="0" r="0" b="0"/>
                <wp:wrapNone/>
                <wp:docPr id="504494" name="Group 50449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3960" name="Picture 53960"/>
                          <pic:cNvPicPr/>
                        </pic:nvPicPr>
                        <pic:blipFill>
                          <a:blip r:embed="rId62"/>
                          <a:stretch>
                            <a:fillRect/>
                          </a:stretch>
                        </pic:blipFill>
                        <pic:spPr>
                          <a:xfrm rot="-5399999">
                            <a:off x="-1720849" y="1720850"/>
                            <a:ext cx="3797299" cy="355600"/>
                          </a:xfrm>
                          <a:prstGeom prst="rect">
                            <a:avLst/>
                          </a:prstGeom>
                        </pic:spPr>
                      </pic:pic>
                      <wps:wsp>
                        <wps:cNvPr id="53961" name="Rectangle 5396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3962" name="Rectangle 5396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494" style="width:41.2715pt;height:299pt;position:absolute;z-index:-2147483558;mso-position-horizontal-relative:text;mso-position-horizontal:absolute;margin-left:547.46pt;mso-position-vertical-relative:text;margin-top:-51.2188pt;" coordsize="5241,37973">
                <v:shape id="Picture 53960" style="position:absolute;width:37972;height:3556;left:-17208;top:17208;rotation:-89;" filled="f">
                  <v:imagedata r:id="rId63"/>
                </v:shape>
                <v:rect id="Rectangle 5396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396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294 de 353 </w:t>
                        </w:r>
                      </w:p>
                    </w:txbxContent>
                  </v:textbox>
                </v:rect>
              </v:group>
            </w:pict>
          </mc:Fallback>
        </mc:AlternateContent>
      </w:r>
      <w:r>
        <w:rPr>
          <w:rFonts w:ascii="Arial" w:eastAsia="Arial" w:hAnsi="Arial" w:cs="Arial"/>
        </w:rPr>
        <w:t xml:space="preserve">     SEGUNDO. - </w:t>
      </w:r>
      <w:r>
        <w:rPr>
          <w:rFonts w:ascii="Arial" w:eastAsia="Arial" w:hAnsi="Arial" w:cs="Arial"/>
        </w:rPr>
        <w:t>Invitamos al Gobierno de Canarias, a los Cabildos Insulares y los Ayuntamientos a adherirse a esta Declaración, con la finalidad de que los niños y niñas ocupen un lugar primordial en los esfuerzos por su recuperación, con más protección social y proporcio</w:t>
      </w:r>
      <w:r>
        <w:rPr>
          <w:rFonts w:ascii="Arial" w:eastAsia="Arial" w:hAnsi="Arial" w:cs="Arial"/>
        </w:rPr>
        <w:t xml:space="preserve">nar servicios esenciales a los niños y niñas más vulnerables.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TERCERO. - El compromiso por parte de todos los Ayuntamientos a seguir trabajando por la cooperación internacional al desarrollo. La humanidad debe tomar conciencia del largo camino que</w:t>
      </w:r>
      <w:r>
        <w:rPr>
          <w:rFonts w:ascii="Arial" w:eastAsia="Arial" w:hAnsi="Arial" w:cs="Arial"/>
        </w:rPr>
        <w:t xml:space="preserve"> aún queda por recorrer y asumir que la infancia de un país es su futuro.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14" w:line="247" w:lineRule="auto"/>
        <w:ind w:left="437" w:hanging="10"/>
        <w:jc w:val="both"/>
      </w:pPr>
      <w:r>
        <w:rPr>
          <w:rFonts w:ascii="Arial" w:eastAsia="Arial" w:hAnsi="Arial" w:cs="Arial"/>
        </w:rPr>
        <w:t xml:space="preserve">     CUARTO. - Exigir al Gobierno de Canarias una financiación suficiente para llevar a cabo políticas educativas y sociales, para poder combatir las causas que originan este f</w:t>
      </w:r>
      <w:r>
        <w:rPr>
          <w:rFonts w:ascii="Arial" w:eastAsia="Arial" w:hAnsi="Arial" w:cs="Arial"/>
        </w:rPr>
        <w:t xml:space="preserve">enómeno, pero que pueden resumirse en la pobreza extrema. </w:t>
      </w:r>
    </w:p>
    <w:p w:rsidR="00FF384B" w:rsidRDefault="003E3BA9">
      <w:pPr>
        <w:spacing w:after="98"/>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Desde la Federación Canaria de Municipios, consideramos que no podemos robarles a los niños y niñas sus derechos a disfrutar, a aprender, a jugar, a divertirse y a crecer como lo que son, co</w:t>
      </w:r>
      <w:r>
        <w:rPr>
          <w:rFonts w:ascii="Arial" w:eastAsia="Arial" w:hAnsi="Arial" w:cs="Arial"/>
        </w:rPr>
        <w:t xml:space="preserve">mo niños y niñas.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11" w:line="247" w:lineRule="auto"/>
        <w:ind w:left="437" w:right="244" w:hanging="10"/>
        <w:jc w:val="both"/>
      </w:pPr>
      <w:r>
        <w:rPr>
          <w:rFonts w:ascii="Arial" w:eastAsia="Arial" w:hAnsi="Arial" w:cs="Arial"/>
        </w:rPr>
        <w:t xml:space="preserve">     Todos los días deberían ser reconocidos como el Día Mundial contra la Esclavitud Infantil. </w:t>
      </w:r>
    </w:p>
    <w:p w:rsidR="00FF384B" w:rsidRDefault="003E3BA9">
      <w:pPr>
        <w:spacing w:after="98"/>
        <w:ind w:left="427"/>
      </w:pPr>
      <w:r>
        <w:rPr>
          <w:rFonts w:ascii="Arial" w:eastAsia="Arial" w:hAnsi="Arial" w:cs="Arial"/>
        </w:rPr>
        <w:t xml:space="preserve"> </w:t>
      </w:r>
    </w:p>
    <w:p w:rsidR="00FF384B" w:rsidRDefault="003E3BA9">
      <w:pPr>
        <w:spacing w:after="138"/>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 La infancia de un país es su futuro”.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09" w:line="247" w:lineRule="auto"/>
        <w:ind w:left="437" w:right="244" w:hanging="10"/>
        <w:jc w:val="both"/>
      </w:pPr>
      <w:r>
        <w:rPr>
          <w:rFonts w:ascii="Arial" w:eastAsia="Arial" w:hAnsi="Arial" w:cs="Arial"/>
        </w:rPr>
        <w:t xml:space="preserve">En base a lo expuesto, esta Concejalía realiza la siguiente, </w:t>
      </w:r>
    </w:p>
    <w:p w:rsidR="00FF384B" w:rsidRDefault="003E3BA9">
      <w:pPr>
        <w:spacing w:after="100"/>
        <w:ind w:left="427"/>
      </w:pPr>
      <w:r>
        <w:rPr>
          <w:rFonts w:ascii="Arial" w:eastAsia="Arial" w:hAnsi="Arial" w:cs="Arial"/>
        </w:rPr>
        <w:t xml:space="preserve"> </w:t>
      </w:r>
    </w:p>
    <w:p w:rsidR="00FF384B" w:rsidRDefault="003E3BA9">
      <w:pPr>
        <w:spacing w:after="95"/>
        <w:ind w:left="427"/>
      </w:pPr>
      <w:r>
        <w:rPr>
          <w:rFonts w:ascii="Arial" w:eastAsia="Arial" w:hAnsi="Arial" w:cs="Arial"/>
        </w:rPr>
        <w:t xml:space="preserve"> </w:t>
      </w:r>
    </w:p>
    <w:p w:rsidR="00FF384B" w:rsidRDefault="003E3BA9">
      <w:pPr>
        <w:spacing w:after="8" w:line="253" w:lineRule="auto"/>
        <w:ind w:left="767" w:right="346" w:hanging="10"/>
        <w:jc w:val="center"/>
      </w:pPr>
      <w:r>
        <w:rPr>
          <w:rFonts w:ascii="Arial" w:eastAsia="Arial" w:hAnsi="Arial" w:cs="Arial"/>
          <w:b/>
        </w:rPr>
        <w:t xml:space="preserve">PROPUESTA: </w:t>
      </w:r>
    </w:p>
    <w:p w:rsidR="00FF384B" w:rsidRDefault="003E3BA9">
      <w:pPr>
        <w:spacing w:after="0"/>
        <w:ind w:left="479"/>
        <w:jc w:val="center"/>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b/>
        </w:rPr>
        <w:t xml:space="preserve">     </w:t>
      </w:r>
      <w:r>
        <w:rPr>
          <w:rFonts w:ascii="Arial" w:eastAsia="Arial" w:hAnsi="Arial" w:cs="Arial"/>
          <w:b/>
        </w:rPr>
        <w:t xml:space="preserve">PRIMERO: </w:t>
      </w:r>
      <w:r>
        <w:rPr>
          <w:rFonts w:ascii="Arial" w:eastAsia="Arial" w:hAnsi="Arial" w:cs="Arial"/>
        </w:rPr>
        <w:t>Adherirse a la Declaración Institucional del Día Mundial contra la Esclavitud Infantil (16 de abril) realizada por la Comisión de Cooperación, Juventud, Igualdad y Diversidad de la FECAM.</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b/>
        </w:rPr>
        <w:t xml:space="preserve">     SEGUNDO: </w:t>
      </w:r>
      <w:r>
        <w:rPr>
          <w:rFonts w:ascii="Arial" w:eastAsia="Arial" w:hAnsi="Arial" w:cs="Arial"/>
        </w:rPr>
        <w:t>Que el plenario adopte los acuerdos propue</w:t>
      </w:r>
      <w:r>
        <w:rPr>
          <w:rFonts w:ascii="Arial" w:eastAsia="Arial" w:hAnsi="Arial" w:cs="Arial"/>
        </w:rPr>
        <w:t>stos por la FECAM, cuyo tenor literal es el siguiente:</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“PRIMERO. - Ratificar el contenido de esta Declaración Institucional por el Día Mundial contra la esclavitud infantil.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8" w:hanging="10"/>
        <w:jc w:val="both"/>
      </w:pPr>
      <w:r>
        <w:rPr>
          <w:noProof/>
        </w:rPr>
        <mc:AlternateContent>
          <mc:Choice Requires="wpg">
            <w:drawing>
              <wp:anchor distT="0" distB="0" distL="114300" distR="114300" simplePos="0" relativeHeight="251961344" behindDoc="1" locked="0" layoutInCell="1" allowOverlap="1">
                <wp:simplePos x="0" y="0"/>
                <wp:positionH relativeFrom="column">
                  <wp:posOffset>6952743</wp:posOffset>
                </wp:positionH>
                <wp:positionV relativeFrom="paragraph">
                  <wp:posOffset>-1286240</wp:posOffset>
                </wp:positionV>
                <wp:extent cx="524148" cy="3797300"/>
                <wp:effectExtent l="0" t="0" r="0" b="0"/>
                <wp:wrapNone/>
                <wp:docPr id="504819" name="Group 50481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042" name="Picture 54042"/>
                          <pic:cNvPicPr/>
                        </pic:nvPicPr>
                        <pic:blipFill>
                          <a:blip r:embed="rId62"/>
                          <a:stretch>
                            <a:fillRect/>
                          </a:stretch>
                        </pic:blipFill>
                        <pic:spPr>
                          <a:xfrm rot="-5399999">
                            <a:off x="-1720849" y="1720850"/>
                            <a:ext cx="3797299" cy="355600"/>
                          </a:xfrm>
                          <a:prstGeom prst="rect">
                            <a:avLst/>
                          </a:prstGeom>
                        </pic:spPr>
                      </pic:pic>
                      <wps:wsp>
                        <wps:cNvPr id="54043" name="Rectangle 5404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044" name="Rectangle 5404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819" style="width:41.2715pt;height:299pt;position:absolute;z-index:-2147483573;mso-position-horizontal-relative:text;mso-position-horizontal:absolute;margin-left:547.46pt;mso-position-vertical-relative:text;margin-top:-101.279pt;" coordsize="5241,37973">
                <v:shape id="Picture 54042" style="position:absolute;width:37972;height:3556;left:-17208;top:17208;rotation:-89;" filled="f">
                  <v:imagedata r:id="rId63"/>
                </v:shape>
                <v:rect id="Rectangle 5404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04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295 de 353 </w:t>
                        </w:r>
                      </w:p>
                    </w:txbxContent>
                  </v:textbox>
                </v:rect>
              </v:group>
            </w:pict>
          </mc:Fallback>
        </mc:AlternateContent>
      </w:r>
      <w:r>
        <w:rPr>
          <w:rFonts w:ascii="Arial" w:eastAsia="Arial" w:hAnsi="Arial" w:cs="Arial"/>
        </w:rPr>
        <w:t xml:space="preserve">SEGUNDO. - Invitamos al Gobierno de Canarias, a los Cabildos </w:t>
      </w:r>
      <w:r>
        <w:rPr>
          <w:rFonts w:ascii="Arial" w:eastAsia="Arial" w:hAnsi="Arial" w:cs="Arial"/>
        </w:rPr>
        <w:t>Insulares y los Ayuntamientos a adherirse a esta Declaración, con la finalidad de que los niños y niñas ocupen un lugar primordial en los esfuerzos por su recuperación, con más protección social y proporcionar servicios esenciales a los niños y niñas más v</w:t>
      </w:r>
      <w:r>
        <w:rPr>
          <w:rFonts w:ascii="Arial" w:eastAsia="Arial" w:hAnsi="Arial" w:cs="Arial"/>
        </w:rPr>
        <w:t xml:space="preserve">ulnerables.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TERCERO. - El compromiso por parte de todos los Ayuntamientos a seguir trabajando por la cooperación internacional al desarrollo. La humanidad debe tomar conciencia del largo camino que aún queda por recorrer y asumir que la infancia de un </w:t>
      </w:r>
      <w:r>
        <w:rPr>
          <w:rFonts w:ascii="Arial" w:eastAsia="Arial" w:hAnsi="Arial" w:cs="Arial"/>
        </w:rPr>
        <w:t xml:space="preserve">país es su futuro.  </w:t>
      </w:r>
    </w:p>
    <w:p w:rsidR="00FF384B" w:rsidRDefault="003E3BA9">
      <w:pPr>
        <w:spacing w:after="0"/>
        <w:ind w:left="427"/>
      </w:pPr>
      <w:r>
        <w:rPr>
          <w:rFonts w:ascii="Arial" w:eastAsia="Arial" w:hAnsi="Arial" w:cs="Arial"/>
        </w:rPr>
        <w:t xml:space="preserve"> </w:t>
      </w:r>
    </w:p>
    <w:p w:rsidR="00FF384B" w:rsidRDefault="003E3BA9">
      <w:pPr>
        <w:spacing w:after="26" w:line="247" w:lineRule="auto"/>
        <w:ind w:left="437" w:hanging="10"/>
        <w:jc w:val="both"/>
      </w:pPr>
      <w:r>
        <w:rPr>
          <w:rFonts w:ascii="Arial" w:eastAsia="Arial" w:hAnsi="Arial" w:cs="Arial"/>
        </w:rPr>
        <w:t xml:space="preserve">CUARTO. - Exigir al Gobierno de Canarias una financiación suficiente para llevar a cabo políticas educativas y sociales, para poder combatir las causas que originan este fenómeno, pero que pueden resumirse en la pobreza extrema.”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b/>
        </w:rPr>
        <w:t xml:space="preserve"> </w:t>
      </w:r>
    </w:p>
    <w:p w:rsidR="00FF384B" w:rsidRDefault="003E3BA9">
      <w:pPr>
        <w:spacing w:after="111" w:line="247" w:lineRule="auto"/>
        <w:ind w:left="437" w:right="244" w:hanging="10"/>
        <w:jc w:val="both"/>
      </w:pPr>
      <w:r>
        <w:rPr>
          <w:rFonts w:ascii="Arial" w:eastAsia="Arial" w:hAnsi="Arial" w:cs="Arial"/>
          <w:b/>
        </w:rPr>
        <w:t xml:space="preserve">TERCERO: </w:t>
      </w:r>
      <w:r>
        <w:rPr>
          <w:rFonts w:ascii="Arial" w:eastAsia="Arial" w:hAnsi="Arial" w:cs="Arial"/>
        </w:rPr>
        <w:t xml:space="preserve">Remitir a la FECAM los acuerdos tomados al respecto.” </w:t>
      </w:r>
    </w:p>
    <w:p w:rsidR="00FF384B" w:rsidRDefault="003E3BA9">
      <w:pPr>
        <w:spacing w:after="100"/>
        <w:ind w:left="427"/>
      </w:pPr>
      <w:r>
        <w:rPr>
          <w:rFonts w:ascii="Arial" w:eastAsia="Arial" w:hAnsi="Arial" w:cs="Arial"/>
        </w:rPr>
        <w:t xml:space="preserve"> </w:t>
      </w:r>
    </w:p>
    <w:p w:rsidR="00FF384B" w:rsidRDefault="003E3BA9">
      <w:pPr>
        <w:spacing w:after="98"/>
        <w:ind w:left="427"/>
      </w:pPr>
      <w:r>
        <w:rPr>
          <w:rFonts w:ascii="Arial" w:eastAsia="Arial" w:hAnsi="Arial" w:cs="Arial"/>
        </w:rPr>
        <w:t xml:space="preserve"> </w:t>
      </w:r>
    </w:p>
    <w:p w:rsidR="00FF384B" w:rsidRDefault="003E3BA9">
      <w:pPr>
        <w:spacing w:after="100"/>
        <w:ind w:left="427"/>
      </w:pPr>
      <w:r>
        <w:rPr>
          <w:rFonts w:ascii="Arial" w:eastAsia="Arial" w:hAnsi="Arial" w:cs="Arial"/>
        </w:rPr>
        <w:t xml:space="preserve"> </w:t>
      </w:r>
    </w:p>
    <w:p w:rsidR="00FF384B" w:rsidRDefault="003E3BA9">
      <w:pPr>
        <w:spacing w:after="95"/>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DICTAMEN FAVORABLE DE LA COMISIÓN INFORMATIVA DE SERVICIOS A LAS PERSONAS DE 26 DE ABRIL DE 2021.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37" w:right="244" w:hanging="10"/>
        <w:jc w:val="both"/>
      </w:pPr>
      <w:r>
        <w:rPr>
          <w:rFonts w:ascii="Arial" w:eastAsia="Arial" w:hAnsi="Arial" w:cs="Arial"/>
        </w:rPr>
        <w:t xml:space="preserve">Votos a favor: 5. </w:t>
      </w:r>
    </w:p>
    <w:p w:rsidR="00FF384B" w:rsidRDefault="003E3BA9">
      <w:pPr>
        <w:spacing w:after="5" w:line="247" w:lineRule="auto"/>
        <w:ind w:left="437" w:hanging="10"/>
        <w:jc w:val="both"/>
      </w:pPr>
      <w:r>
        <w:rPr>
          <w:rFonts w:ascii="Arial" w:eastAsia="Arial" w:hAnsi="Arial" w:cs="Arial"/>
        </w:rPr>
        <w:t xml:space="preserve">4 concejales del Grupo Socialista: Doña Olivia Concepción Pérez Díaz, Don José Francisco Pinto Ramos, Don Manuel Alberto González Pestano y Doña Margarita Eva Tendero Barroso. </w:t>
      </w:r>
    </w:p>
    <w:p w:rsidR="00FF384B" w:rsidRDefault="003E3BA9">
      <w:pPr>
        <w:spacing w:after="5" w:line="247" w:lineRule="auto"/>
        <w:ind w:left="437" w:right="244" w:hanging="10"/>
        <w:jc w:val="both"/>
      </w:pPr>
      <w:r>
        <w:rPr>
          <w:rFonts w:ascii="Arial" w:eastAsia="Arial" w:hAnsi="Arial" w:cs="Arial"/>
        </w:rPr>
        <w:t xml:space="preserve">1 de la concejal del Grupo Mixto (CC-PNC), Doña Ángela Cruz Perera.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Votos en</w:t>
      </w:r>
      <w:r>
        <w:rPr>
          <w:rFonts w:ascii="Arial" w:eastAsia="Arial" w:hAnsi="Arial" w:cs="Arial"/>
        </w:rPr>
        <w:t xml:space="preserve"> contra: 0.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Abstenciones: 2. </w:t>
      </w:r>
    </w:p>
    <w:p w:rsidR="00FF384B" w:rsidRDefault="003E3BA9">
      <w:pPr>
        <w:spacing w:after="5" w:line="247" w:lineRule="auto"/>
        <w:ind w:left="437" w:right="3161" w:hanging="10"/>
        <w:jc w:val="both"/>
      </w:pPr>
      <w:r>
        <w:rPr>
          <w:rFonts w:ascii="Arial" w:eastAsia="Arial" w:hAnsi="Arial" w:cs="Arial"/>
        </w:rPr>
        <w:t xml:space="preserve">1 de la concejal del Grupo Popular, Doña Raquel Martín Castro. </w:t>
      </w:r>
    </w:p>
    <w:p w:rsidR="00FF384B" w:rsidRDefault="003E3BA9">
      <w:pPr>
        <w:spacing w:after="5" w:line="247" w:lineRule="auto"/>
        <w:ind w:left="437" w:right="3161" w:hanging="10"/>
        <w:jc w:val="both"/>
      </w:pPr>
      <w:r>
        <w:rPr>
          <w:rFonts w:ascii="Arial" w:eastAsia="Arial" w:hAnsi="Arial" w:cs="Arial"/>
        </w:rPr>
        <w:t xml:space="preserve">1 de la concejal del Grupo Mixto (VxC): Doña Lourdes del Carmen Mondéjar Rondón.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JUNTA DE PORTAVOCES DE 26 DE ABRIL DE 2021.  </w:t>
      </w:r>
    </w:p>
    <w:p w:rsidR="00FF384B" w:rsidRDefault="003E3BA9">
      <w:pPr>
        <w:spacing w:after="5" w:line="247" w:lineRule="auto"/>
        <w:ind w:left="437" w:right="3161" w:hanging="10"/>
        <w:jc w:val="both"/>
      </w:pPr>
      <w:r>
        <w:rPr>
          <w:rFonts w:ascii="Arial" w:eastAsia="Arial" w:hAnsi="Arial" w:cs="Arial"/>
        </w:rPr>
        <w:t xml:space="preserve">Quedó oída.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415" w:right="3161" w:hanging="3"/>
        <w:jc w:val="both"/>
      </w:pPr>
      <w:r>
        <w:rPr>
          <w:rFonts w:ascii="Arial" w:eastAsia="Arial" w:hAnsi="Arial" w:cs="Arial"/>
          <w:b/>
        </w:rPr>
        <w:t xml:space="preserve">VOTACIÓN EN EL PLENO DE 29 DE ABRIL DE 2021. </w:t>
      </w:r>
    </w:p>
    <w:p w:rsidR="00FF384B" w:rsidRDefault="003E3BA9">
      <w:pPr>
        <w:spacing w:after="0"/>
        <w:ind w:left="427" w:right="3161"/>
      </w:pPr>
      <w:r>
        <w:rPr>
          <w:rFonts w:ascii="Arial" w:eastAsia="Arial" w:hAnsi="Arial" w:cs="Arial"/>
          <w:b/>
        </w:rPr>
        <w:t xml:space="preserve"> </w:t>
      </w:r>
    </w:p>
    <w:p w:rsidR="00FF384B" w:rsidRDefault="003E3BA9">
      <w:pPr>
        <w:spacing w:after="5" w:line="247" w:lineRule="auto"/>
        <w:ind w:left="437" w:right="3161" w:hanging="10"/>
        <w:jc w:val="both"/>
      </w:pPr>
      <w:r>
        <w:rPr>
          <w:rFonts w:ascii="Arial" w:eastAsia="Arial" w:hAnsi="Arial" w:cs="Arial"/>
        </w:rPr>
        <w:t xml:space="preserve">La unanimidad de los 17 concejales presentes: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10" w:hanging="10"/>
        <w:jc w:val="both"/>
      </w:pPr>
      <w:r>
        <w:rPr>
          <w:noProof/>
        </w:rPr>
        <mc:AlternateContent>
          <mc:Choice Requires="wpg">
            <w:drawing>
              <wp:anchor distT="0" distB="0" distL="114300" distR="114300" simplePos="0" relativeHeight="251962368" behindDoc="0" locked="0" layoutInCell="1" allowOverlap="1">
                <wp:simplePos x="0" y="0"/>
                <wp:positionH relativeFrom="column">
                  <wp:posOffset>6952743</wp:posOffset>
                </wp:positionH>
                <wp:positionV relativeFrom="paragraph">
                  <wp:posOffset>-2495153</wp:posOffset>
                </wp:positionV>
                <wp:extent cx="524148" cy="3797300"/>
                <wp:effectExtent l="0" t="0" r="0" b="0"/>
                <wp:wrapSquare wrapText="bothSides"/>
                <wp:docPr id="504825" name="Group 50482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114" name="Picture 54114"/>
                          <pic:cNvPicPr/>
                        </pic:nvPicPr>
                        <pic:blipFill>
                          <a:blip r:embed="rId62"/>
                          <a:stretch>
                            <a:fillRect/>
                          </a:stretch>
                        </pic:blipFill>
                        <pic:spPr>
                          <a:xfrm rot="-5399999">
                            <a:off x="-1720849" y="1720850"/>
                            <a:ext cx="3797299" cy="355600"/>
                          </a:xfrm>
                          <a:prstGeom prst="rect">
                            <a:avLst/>
                          </a:prstGeom>
                        </pic:spPr>
                      </pic:pic>
                      <wps:wsp>
                        <wps:cNvPr id="54115" name="Rectangle 5411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116" name="Rectangle 5411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firmado electrónicamente desde la plataforma e</w:t>
                              </w:r>
                              <w:r>
                                <w:rPr>
                                  <w:rFonts w:ascii="Arial" w:eastAsia="Arial" w:hAnsi="Arial" w:cs="Arial"/>
                                  <w:sz w:val="12"/>
                                </w:rPr>
                                <w:t xml:space="preserve">sPublico Gestiona | Página 296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4825" style="width:41.2715pt;height:299pt;position:absolute;mso-position-horizontal-relative:text;mso-position-horizontal:absolute;margin-left:547.46pt;mso-position-vertical-relative:text;margin-top:-196.469pt;" coordsize="5241,37973">
                <v:shape id="Picture 54114" style="position:absolute;width:37972;height:3556;left:-17208;top:17208;rotation:-89;" filled="f">
                  <v:imagedata r:id="rId63"/>
                </v:shape>
                <v:rect id="Rectangle 5411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11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296 de 353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w:t>
      </w:r>
      <w:r>
        <w:rPr>
          <w:rFonts w:ascii="Arial" w:eastAsia="Arial" w:hAnsi="Arial" w:cs="Arial"/>
        </w:rPr>
        <w:t xml:space="preserve">hinea, Doña Margarita Eva Tendero Barroso, Don Manuel Alberto González Pestano, Doña María del Carmen Clemente Díaz, Don Olegario Francisco Alonso Bello y Don Reinaldo José Triviño Blanco. </w:t>
      </w:r>
    </w:p>
    <w:p w:rsidR="00FF384B" w:rsidRDefault="003E3BA9">
      <w:pPr>
        <w:spacing w:after="109" w:line="247" w:lineRule="auto"/>
        <w:ind w:left="437" w:right="244" w:hanging="10"/>
        <w:jc w:val="both"/>
      </w:pPr>
      <w:r>
        <w:rPr>
          <w:rFonts w:ascii="Arial" w:eastAsia="Arial" w:hAnsi="Arial" w:cs="Arial"/>
        </w:rPr>
        <w:t>2 concejales del Grupo Popular: Doña Raquel Martín Castro y Don Ja</w:t>
      </w:r>
      <w:r>
        <w:rPr>
          <w:rFonts w:ascii="Arial" w:eastAsia="Arial" w:hAnsi="Arial" w:cs="Arial"/>
        </w:rPr>
        <w:t xml:space="preserve">cobo López Fariña. </w:t>
      </w:r>
    </w:p>
    <w:p w:rsidR="00FF384B" w:rsidRDefault="003E3BA9">
      <w:pPr>
        <w:spacing w:after="111" w:line="247" w:lineRule="auto"/>
        <w:ind w:left="437" w:right="244" w:hanging="10"/>
        <w:jc w:val="both"/>
      </w:pPr>
      <w:r>
        <w:rPr>
          <w:rFonts w:ascii="Arial" w:eastAsia="Arial" w:hAnsi="Arial" w:cs="Arial"/>
        </w:rPr>
        <w:t xml:space="preserve">2 concejales del Grupo Mixto (SSP), Don Antonio Delgado García y Lourdes del Carmen Mondéjar Rondón. </w:t>
      </w:r>
    </w:p>
    <w:p w:rsidR="00FF384B" w:rsidRDefault="003E3BA9">
      <w:pPr>
        <w:spacing w:after="109" w:line="247" w:lineRule="auto"/>
        <w:ind w:left="437" w:right="244" w:hanging="10"/>
        <w:jc w:val="both"/>
      </w:pPr>
      <w:r>
        <w:rPr>
          <w:rFonts w:ascii="Arial" w:eastAsia="Arial" w:hAnsi="Arial" w:cs="Arial"/>
        </w:rPr>
        <w:t xml:space="preserve">1 de la concejal del Grupo Mixto, Doña Ángela Cruz Perera (CC-PNC). </w:t>
      </w:r>
    </w:p>
    <w:p w:rsidR="00FF384B" w:rsidRDefault="003E3BA9">
      <w:pPr>
        <w:spacing w:after="111" w:line="247" w:lineRule="auto"/>
        <w:ind w:left="437" w:right="244" w:hanging="10"/>
        <w:jc w:val="both"/>
      </w:pPr>
      <w:r>
        <w:rPr>
          <w:rFonts w:ascii="Arial" w:eastAsia="Arial" w:hAnsi="Arial" w:cs="Arial"/>
        </w:rPr>
        <w:t xml:space="preserve">1 del  concejal del Grupo Mixto (VxC), Don José Fernando Gómez Martín. </w:t>
      </w:r>
    </w:p>
    <w:p w:rsidR="00FF384B" w:rsidRDefault="003E3BA9">
      <w:pPr>
        <w:spacing w:after="0"/>
        <w:ind w:left="427"/>
      </w:pPr>
      <w:r>
        <w:rPr>
          <w:rFonts w:ascii="Arial" w:eastAsia="Arial" w:hAnsi="Arial" w:cs="Arial"/>
        </w:rPr>
        <w:t xml:space="preserve"> </w:t>
      </w:r>
    </w:p>
    <w:p w:rsidR="00FF384B" w:rsidRDefault="003E3BA9">
      <w:pPr>
        <w:spacing w:after="96"/>
        <w:ind w:left="427"/>
      </w:pPr>
      <w:r>
        <w:rPr>
          <w:rFonts w:ascii="Arial" w:eastAsia="Arial" w:hAnsi="Arial" w:cs="Arial"/>
        </w:rPr>
        <w:t xml:space="preserve"> </w:t>
      </w:r>
    </w:p>
    <w:p w:rsidR="00FF384B" w:rsidRDefault="003E3BA9">
      <w:pPr>
        <w:spacing w:after="15" w:line="247" w:lineRule="auto"/>
        <w:ind w:left="1849" w:hanging="3"/>
        <w:jc w:val="both"/>
      </w:pPr>
      <w:r>
        <w:rPr>
          <w:rFonts w:ascii="Arial" w:eastAsia="Arial" w:hAnsi="Arial" w:cs="Arial"/>
          <w:b/>
        </w:rPr>
        <w:t xml:space="preserve">ACUERDO DEL PLENO DE FECHA 29 DE ABRIL DE 2021.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2" w:firstLine="708"/>
        <w:jc w:val="both"/>
      </w:pPr>
      <w:r>
        <w:rPr>
          <w:rFonts w:ascii="Arial" w:eastAsia="Arial" w:hAnsi="Arial" w:cs="Arial"/>
          <w:b/>
        </w:rPr>
        <w:t>PRIMERO: Adherirse a la Declaración Institucional del Día Mundial contra la Esclavitud Infantil (16 de abril) realizada por la Co</w:t>
      </w:r>
      <w:r>
        <w:rPr>
          <w:rFonts w:ascii="Arial" w:eastAsia="Arial" w:hAnsi="Arial" w:cs="Arial"/>
          <w:b/>
        </w:rPr>
        <w:t>misión de Cooperación, Juventud, Igualdad y Diversidad de la FECAM.</w:t>
      </w:r>
      <w:r>
        <w:rPr>
          <w:rFonts w:ascii="Arial" w:eastAsia="Arial" w:hAnsi="Arial" w:cs="Arial"/>
          <w:sz w:val="24"/>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1139" w:hanging="3"/>
        <w:jc w:val="both"/>
      </w:pPr>
      <w:r>
        <w:rPr>
          <w:rFonts w:ascii="Arial" w:eastAsia="Arial" w:hAnsi="Arial" w:cs="Arial"/>
          <w:b/>
        </w:rPr>
        <w:t>SEGUNDO: Que el plenario adopte los acuerdos propuestos por la FECAM, cuyo tenor literal es el siguiente:</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“PRIMERO. - Ratificar el contenido de esta Declaración Institucional por el </w:t>
      </w:r>
      <w:r>
        <w:rPr>
          <w:rFonts w:ascii="Arial" w:eastAsia="Arial" w:hAnsi="Arial" w:cs="Arial"/>
        </w:rPr>
        <w:t xml:space="preserve">Día Mundial contra la esclavitud infantil.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6" w:hanging="10"/>
        <w:jc w:val="both"/>
      </w:pPr>
      <w:r>
        <w:rPr>
          <w:noProof/>
        </w:rPr>
        <mc:AlternateContent>
          <mc:Choice Requires="wpg">
            <w:drawing>
              <wp:anchor distT="0" distB="0" distL="114300" distR="114300" simplePos="0" relativeHeight="251963392" behindDoc="1" locked="0" layoutInCell="1" allowOverlap="1">
                <wp:simplePos x="0" y="0"/>
                <wp:positionH relativeFrom="column">
                  <wp:posOffset>6952743</wp:posOffset>
                </wp:positionH>
                <wp:positionV relativeFrom="paragraph">
                  <wp:posOffset>-566657</wp:posOffset>
                </wp:positionV>
                <wp:extent cx="524148" cy="3797300"/>
                <wp:effectExtent l="0" t="0" r="0" b="0"/>
                <wp:wrapNone/>
                <wp:docPr id="505243" name="Group 50524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213" name="Picture 54213"/>
                          <pic:cNvPicPr/>
                        </pic:nvPicPr>
                        <pic:blipFill>
                          <a:blip r:embed="rId62"/>
                          <a:stretch>
                            <a:fillRect/>
                          </a:stretch>
                        </pic:blipFill>
                        <pic:spPr>
                          <a:xfrm rot="-5399999">
                            <a:off x="-1720849" y="1720850"/>
                            <a:ext cx="3797299" cy="355600"/>
                          </a:xfrm>
                          <a:prstGeom prst="rect">
                            <a:avLst/>
                          </a:prstGeom>
                        </pic:spPr>
                      </pic:pic>
                      <wps:wsp>
                        <wps:cNvPr id="54214" name="Rectangle 5421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215" name="Rectangle 5421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5243" style="width:41.2715pt;height:299pt;position:absolute;z-index:-2147483566;mso-position-horizontal-relative:text;mso-position-horizontal:absolute;margin-left:547.46pt;mso-position-vertical-relative:text;margin-top:-44.6188pt;" coordsize="5241,37973">
                <v:shape id="Picture 54213" style="position:absolute;width:37972;height:3556;left:-17208;top:17208;rotation:-89;" filled="f">
                  <v:imagedata r:id="rId63"/>
                </v:shape>
                <v:rect id="Rectangle 5421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21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297 de 353 </w:t>
                        </w:r>
                      </w:p>
                    </w:txbxContent>
                  </v:textbox>
                </v:rect>
              </v:group>
            </w:pict>
          </mc:Fallback>
        </mc:AlternateContent>
      </w:r>
      <w:r>
        <w:rPr>
          <w:rFonts w:ascii="Arial" w:eastAsia="Arial" w:hAnsi="Arial" w:cs="Arial"/>
        </w:rPr>
        <w:t xml:space="preserve">SEGUNDO. - </w:t>
      </w:r>
      <w:r>
        <w:rPr>
          <w:rFonts w:ascii="Arial" w:eastAsia="Arial" w:hAnsi="Arial" w:cs="Arial"/>
        </w:rPr>
        <w:t>Invitamos al Gobierno de Canarias, a los Cabildos Insulares y los Ayuntamientos a adherirse a esta Declaración, con la finalidad de que los niños y niñas ocupen un lugar primordial en los esfuerzos por su recuperación, con más protección social y proporcio</w:t>
      </w:r>
      <w:r>
        <w:rPr>
          <w:rFonts w:ascii="Arial" w:eastAsia="Arial" w:hAnsi="Arial" w:cs="Arial"/>
        </w:rPr>
        <w:t xml:space="preserve">nar servicios esenciales a los niños y niñas más vulnerables.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TERCERO. - El compromiso por parte de todos los Ayuntamientos a seguir trabajando por la cooperación internacional al desarrollo. La humanidad debe tomar conciencia del largo camino que aún </w:t>
      </w:r>
      <w:r>
        <w:rPr>
          <w:rFonts w:ascii="Arial" w:eastAsia="Arial" w:hAnsi="Arial" w:cs="Arial"/>
        </w:rPr>
        <w:t xml:space="preserve">queda por recorrer y asumir que la infancia de un país es su futuro.  </w:t>
      </w:r>
    </w:p>
    <w:p w:rsidR="00FF384B" w:rsidRDefault="003E3BA9">
      <w:pPr>
        <w:spacing w:after="0"/>
        <w:ind w:left="427"/>
      </w:pPr>
      <w:r>
        <w:rPr>
          <w:rFonts w:ascii="Arial" w:eastAsia="Arial" w:hAnsi="Arial" w:cs="Arial"/>
        </w:rPr>
        <w:t xml:space="preserve"> </w:t>
      </w:r>
    </w:p>
    <w:p w:rsidR="00FF384B" w:rsidRDefault="003E3BA9">
      <w:pPr>
        <w:spacing w:after="25" w:line="247" w:lineRule="auto"/>
        <w:ind w:left="437" w:hanging="10"/>
        <w:jc w:val="both"/>
      </w:pPr>
      <w:r>
        <w:rPr>
          <w:rFonts w:ascii="Arial" w:eastAsia="Arial" w:hAnsi="Arial" w:cs="Arial"/>
        </w:rPr>
        <w:t>CUARTO. - Exigir al Gobierno de Canarias una financiación suficiente para llevar a cabo políticas educativas y sociales, para poder combatir las causas que originan este fenómeno, per</w:t>
      </w:r>
      <w:r>
        <w:rPr>
          <w:rFonts w:ascii="Arial" w:eastAsia="Arial" w:hAnsi="Arial" w:cs="Arial"/>
        </w:rPr>
        <w:t xml:space="preserve">o que pueden resumirse en la pobreza extrema.”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09" w:line="247" w:lineRule="auto"/>
        <w:ind w:left="1139" w:hanging="3"/>
        <w:jc w:val="both"/>
      </w:pPr>
      <w:r>
        <w:rPr>
          <w:rFonts w:ascii="Arial" w:eastAsia="Arial" w:hAnsi="Arial" w:cs="Arial"/>
          <w:b/>
        </w:rPr>
        <w:t>TERCERO: Remitir a la FECAM los acuerdos tomados al respecto.</w:t>
      </w:r>
      <w:r>
        <w:rPr>
          <w:rFonts w:ascii="Arial" w:eastAsia="Arial" w:hAnsi="Arial" w:cs="Arial"/>
        </w:rPr>
        <w:t xml:space="preserve"> </w:t>
      </w:r>
    </w:p>
    <w:p w:rsidR="00FF384B" w:rsidRDefault="003E3BA9">
      <w:pPr>
        <w:spacing w:after="0"/>
        <w:ind w:left="1136"/>
      </w:pPr>
      <w:r>
        <w:rPr>
          <w:rFonts w:ascii="Arial" w:eastAsia="Arial" w:hAnsi="Arial" w:cs="Arial"/>
          <w:b/>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02" w:line="240" w:lineRule="auto"/>
        <w:ind w:left="422" w:right="-3" w:hanging="10"/>
        <w:jc w:val="both"/>
      </w:pPr>
      <w:r>
        <w:rPr>
          <w:rFonts w:ascii="Arial" w:eastAsia="Arial" w:hAnsi="Arial" w:cs="Arial"/>
          <w:b/>
          <w:sz w:val="24"/>
        </w:rPr>
        <w:t>10.-</w:t>
      </w:r>
      <w:r>
        <w:rPr>
          <w:rFonts w:ascii="Arial" w:eastAsia="Arial" w:hAnsi="Arial" w:cs="Arial"/>
          <w:sz w:val="24"/>
        </w:rPr>
        <w:t xml:space="preserve"> </w:t>
      </w:r>
      <w:r>
        <w:rPr>
          <w:rFonts w:ascii="Arial" w:eastAsia="Arial" w:hAnsi="Arial" w:cs="Arial"/>
          <w:b/>
          <w:sz w:val="24"/>
        </w:rPr>
        <w:t>Expediente 3595/2021. Moción del Grupo Mixto por registro de entrada de 20 de abril de 2021 para la adhesión al Acuerdo Marco de la FEMP para la gestión y recaudación de las multas de tráfico.</w:t>
      </w:r>
      <w:r>
        <w:rPr>
          <w:rFonts w:ascii="Arial" w:eastAsia="Arial" w:hAnsi="Arial" w:cs="Arial"/>
        </w:rPr>
        <w:t xml:space="preserve"> </w:t>
      </w:r>
    </w:p>
    <w:p w:rsidR="00FF384B" w:rsidRDefault="003E3BA9">
      <w:pPr>
        <w:spacing w:after="119"/>
        <w:ind w:left="427"/>
      </w:pPr>
      <w:r>
        <w:rPr>
          <w:rFonts w:ascii="Arial" w:eastAsia="Arial" w:hAnsi="Arial" w:cs="Arial"/>
          <w:b/>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15" w:line="247" w:lineRule="auto"/>
        <w:ind w:left="415" w:hanging="3"/>
        <w:jc w:val="both"/>
      </w:pPr>
      <w:r>
        <w:rPr>
          <w:rFonts w:ascii="Arial" w:eastAsia="Arial" w:hAnsi="Arial" w:cs="Arial"/>
          <w:b/>
        </w:rPr>
        <w:t>Consta en el expediente electrónico la referida moción</w:t>
      </w:r>
      <w:r>
        <w:rPr>
          <w:rFonts w:ascii="Arial" w:eastAsia="Arial" w:hAnsi="Arial" w:cs="Arial"/>
          <w:b/>
        </w:rPr>
        <w:t xml:space="preserve"> que se inserta literalmente: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right="3161"/>
      </w:pPr>
      <w:r>
        <w:rPr>
          <w:rFonts w:ascii="Times New Roman" w:eastAsia="Times New Roman" w:hAnsi="Times New Roman" w:cs="Times New Roman"/>
          <w:sz w:val="24"/>
        </w:rPr>
        <w:t xml:space="preserve"> </w:t>
      </w:r>
    </w:p>
    <w:p w:rsidR="00FF384B" w:rsidRDefault="003E3BA9">
      <w:pPr>
        <w:spacing w:after="100"/>
        <w:ind w:left="427" w:right="3161"/>
      </w:pPr>
      <w:r>
        <w:rPr>
          <w:rFonts w:ascii="Arial" w:eastAsia="Arial" w:hAnsi="Arial" w:cs="Arial"/>
          <w:b/>
        </w:rPr>
        <w:t xml:space="preserve"> </w:t>
      </w:r>
    </w:p>
    <w:p w:rsidR="00FF384B" w:rsidRDefault="003E3BA9">
      <w:pPr>
        <w:spacing w:after="98"/>
        <w:ind w:left="427" w:right="3161"/>
      </w:pPr>
      <w:r>
        <w:rPr>
          <w:rFonts w:ascii="Arial" w:eastAsia="Arial" w:hAnsi="Arial" w:cs="Arial"/>
          <w:b/>
        </w:rPr>
        <w:t xml:space="preserve"> </w:t>
      </w:r>
    </w:p>
    <w:p w:rsidR="00FF384B" w:rsidRDefault="003E3BA9">
      <w:pPr>
        <w:spacing w:after="2081"/>
        <w:ind w:left="427" w:right="6610"/>
      </w:pPr>
      <w:r>
        <w:rPr>
          <w:rFonts w:ascii="Arial" w:eastAsia="Arial" w:hAnsi="Arial" w:cs="Arial"/>
          <w:b/>
        </w:rPr>
        <w:t xml:space="preserve"> </w:t>
      </w:r>
    </w:p>
    <w:p w:rsidR="00FF384B" w:rsidRDefault="003E3BA9">
      <w:pPr>
        <w:pBdr>
          <w:top w:val="single" w:sz="4" w:space="0" w:color="000000"/>
          <w:left w:val="single" w:sz="4" w:space="0" w:color="000000"/>
          <w:bottom w:val="single" w:sz="4" w:space="0" w:color="000000"/>
          <w:right w:val="single" w:sz="4" w:space="0" w:color="000000"/>
        </w:pBdr>
        <w:spacing w:after="0" w:line="249" w:lineRule="auto"/>
        <w:ind w:left="643" w:right="3161" w:hanging="10"/>
        <w:jc w:val="both"/>
      </w:pPr>
      <w:r>
        <w:rPr>
          <w:noProof/>
        </w:rPr>
        <mc:AlternateContent>
          <mc:Choice Requires="wpg">
            <w:drawing>
              <wp:anchor distT="0" distB="0" distL="114300" distR="114300" simplePos="0" relativeHeight="251964416" behindDoc="0" locked="0" layoutInCell="1" allowOverlap="1">
                <wp:simplePos x="0" y="0"/>
                <wp:positionH relativeFrom="column">
                  <wp:posOffset>6952743</wp:posOffset>
                </wp:positionH>
                <wp:positionV relativeFrom="paragraph">
                  <wp:posOffset>-2106396</wp:posOffset>
                </wp:positionV>
                <wp:extent cx="524148" cy="3797300"/>
                <wp:effectExtent l="0" t="0" r="0" b="0"/>
                <wp:wrapSquare wrapText="bothSides"/>
                <wp:docPr id="505502" name="Group 50550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288" name="Picture 54288"/>
                          <pic:cNvPicPr/>
                        </pic:nvPicPr>
                        <pic:blipFill>
                          <a:blip r:embed="rId62"/>
                          <a:stretch>
                            <a:fillRect/>
                          </a:stretch>
                        </pic:blipFill>
                        <pic:spPr>
                          <a:xfrm rot="-5399999">
                            <a:off x="-1720849" y="1720850"/>
                            <a:ext cx="3797299" cy="355600"/>
                          </a:xfrm>
                          <a:prstGeom prst="rect">
                            <a:avLst/>
                          </a:prstGeom>
                        </pic:spPr>
                      </pic:pic>
                      <wps:wsp>
                        <wps:cNvPr id="54289" name="Rectangle 5428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290" name="Rectangle 5429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5502" style="width:41.2715pt;height:299pt;position:absolute;mso-position-horizontal-relative:text;mso-position-horizontal:absolute;margin-left:547.46pt;mso-position-vertical-relative:text;margin-top:-165.858pt;" coordsize="5241,37973">
                <v:shape id="Picture 54288" style="position:absolute;width:37972;height:3556;left:-17208;top:17208;rotation:-89;" filled="f">
                  <v:imagedata r:id="rId63"/>
                </v:shape>
                <v:rect id="Rectangle 5428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29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298 de 353 </w:t>
                        </w:r>
                      </w:p>
                    </w:txbxContent>
                  </v:textbox>
                </v:rect>
                <w10:wrap type="square"/>
              </v:group>
            </w:pict>
          </mc:Fallback>
        </mc:AlternateContent>
      </w:r>
      <w:r>
        <w:rPr>
          <w:noProof/>
        </w:rPr>
        <w:drawing>
          <wp:anchor distT="0" distB="0" distL="114300" distR="114300" simplePos="0" relativeHeight="251965440" behindDoc="0" locked="0" layoutInCell="1" allowOverlap="0">
            <wp:simplePos x="0" y="0"/>
            <wp:positionH relativeFrom="column">
              <wp:posOffset>1008888</wp:posOffset>
            </wp:positionH>
            <wp:positionV relativeFrom="paragraph">
              <wp:posOffset>-1389100</wp:posOffset>
            </wp:positionV>
            <wp:extent cx="4277869" cy="1377696"/>
            <wp:effectExtent l="0" t="0" r="0" b="0"/>
            <wp:wrapSquare wrapText="bothSides"/>
            <wp:docPr id="54286" name="Picture 54286"/>
            <wp:cNvGraphicFramePr/>
            <a:graphic xmlns:a="http://schemas.openxmlformats.org/drawingml/2006/main">
              <a:graphicData uri="http://schemas.openxmlformats.org/drawingml/2006/picture">
                <pic:pic xmlns:pic="http://schemas.openxmlformats.org/drawingml/2006/picture">
                  <pic:nvPicPr>
                    <pic:cNvPr id="54286" name="Picture 54286"/>
                    <pic:cNvPicPr/>
                  </pic:nvPicPr>
                  <pic:blipFill>
                    <a:blip r:embed="rId131"/>
                    <a:stretch>
                      <a:fillRect/>
                    </a:stretch>
                  </pic:blipFill>
                  <pic:spPr>
                    <a:xfrm>
                      <a:off x="0" y="0"/>
                      <a:ext cx="4277869" cy="1377696"/>
                    </a:xfrm>
                    <a:prstGeom prst="rect">
                      <a:avLst/>
                    </a:prstGeom>
                  </pic:spPr>
                </pic:pic>
              </a:graphicData>
            </a:graphic>
          </wp:anchor>
        </w:drawing>
      </w:r>
      <w:r>
        <w:rPr>
          <w:rFonts w:ascii="Times New Roman" w:eastAsia="Times New Roman" w:hAnsi="Times New Roman" w:cs="Times New Roman"/>
          <w:b/>
          <w:sz w:val="24"/>
        </w:rPr>
        <w:t xml:space="preserve">MOCIÓN PARA LA ADHESIÓN DEL AYUNTAMIENTO DE CANDELARIA AL ACUERDO MARCO, A TRAVÉS DE LA CENTRAL DE CONTRATACIÓN DE LA FEMP, PARA LA PRESTACIÓN DE UN SERVICIO DE ASISTENCIA TÉCNICA Y COLABORACIÓN PARA LA GESTIÓN, RECAUDACIÓN </w:t>
      </w:r>
    </w:p>
    <w:p w:rsidR="00FF384B" w:rsidRDefault="003E3BA9">
      <w:pPr>
        <w:pBdr>
          <w:top w:val="single" w:sz="4" w:space="0" w:color="000000"/>
          <w:left w:val="single" w:sz="4" w:space="0" w:color="000000"/>
          <w:bottom w:val="single" w:sz="4" w:space="0" w:color="000000"/>
          <w:right w:val="single" w:sz="4" w:space="0" w:color="000000"/>
        </w:pBdr>
        <w:spacing w:after="0" w:line="249" w:lineRule="auto"/>
        <w:ind w:left="643" w:right="3161" w:hanging="10"/>
        <w:jc w:val="both"/>
      </w:pPr>
      <w:r>
        <w:rPr>
          <w:rFonts w:ascii="Times New Roman" w:eastAsia="Times New Roman" w:hAnsi="Times New Roman" w:cs="Times New Roman"/>
          <w:b/>
          <w:sz w:val="24"/>
        </w:rPr>
        <w:t>VOLUNTARIA Y EJECUTIVA DE LAS M</w:t>
      </w:r>
      <w:r>
        <w:rPr>
          <w:rFonts w:ascii="Times New Roman" w:eastAsia="Times New Roman" w:hAnsi="Times New Roman" w:cs="Times New Roman"/>
          <w:b/>
          <w:sz w:val="24"/>
        </w:rPr>
        <w:t xml:space="preserve">ULTAS DE TRÁFICO </w:t>
      </w:r>
    </w:p>
    <w:p w:rsidR="00FF384B" w:rsidRDefault="003E3BA9">
      <w:pPr>
        <w:spacing w:after="98"/>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201"/>
        <w:ind w:left="-221" w:right="-648"/>
      </w:pPr>
      <w:r>
        <w:rPr>
          <w:noProof/>
        </w:rPr>
        <mc:AlternateContent>
          <mc:Choice Requires="wpg">
            <w:drawing>
              <wp:inline distT="0" distB="0" distL="0" distR="0">
                <wp:extent cx="10035540" cy="1275969"/>
                <wp:effectExtent l="0" t="0" r="0" b="0"/>
                <wp:docPr id="505792" name="Group 505792"/>
                <wp:cNvGraphicFramePr/>
                <a:graphic xmlns:a="http://schemas.openxmlformats.org/drawingml/2006/main">
                  <a:graphicData uri="http://schemas.microsoft.com/office/word/2010/wordprocessingGroup">
                    <wpg:wgp>
                      <wpg:cNvGrpSpPr/>
                      <wpg:grpSpPr>
                        <a:xfrm>
                          <a:off x="0" y="0"/>
                          <a:ext cx="10035540" cy="1275969"/>
                          <a:chOff x="0" y="0"/>
                          <a:chExt cx="10035540" cy="1275969"/>
                        </a:xfrm>
                      </wpg:grpSpPr>
                      <wps:wsp>
                        <wps:cNvPr id="54305" name="Rectangle 54305"/>
                        <wps:cNvSpPr/>
                        <wps:spPr>
                          <a:xfrm>
                            <a:off x="411480" y="395843"/>
                            <a:ext cx="4238055" cy="207921"/>
                          </a:xfrm>
                          <a:prstGeom prst="rect">
                            <a:avLst/>
                          </a:prstGeom>
                          <a:ln>
                            <a:noFill/>
                          </a:ln>
                        </wps:spPr>
                        <wps:txbx>
                          <w:txbxContent>
                            <w:p w:rsidR="00FF384B" w:rsidRDefault="003E3BA9">
                              <w:r>
                                <w:rPr>
                                  <w:rFonts w:ascii="Arial" w:eastAsia="Arial" w:hAnsi="Arial" w:cs="Arial"/>
                                </w:rPr>
                                <w:t xml:space="preserve">Lourdes del Carmen Mondéjar Rondón, Concejala </w:t>
                              </w:r>
                            </w:p>
                          </w:txbxContent>
                        </wps:txbx>
                        <wps:bodyPr horzOverflow="overflow" vert="horz" lIns="0" tIns="0" rIns="0" bIns="0" rtlCol="0">
                          <a:noAutofit/>
                        </wps:bodyPr>
                      </wps:wsp>
                      <wps:wsp>
                        <wps:cNvPr id="54306" name="Rectangle 54306"/>
                        <wps:cNvSpPr/>
                        <wps:spPr>
                          <a:xfrm>
                            <a:off x="3606419" y="395843"/>
                            <a:ext cx="2225599" cy="207921"/>
                          </a:xfrm>
                          <a:prstGeom prst="rect">
                            <a:avLst/>
                          </a:prstGeom>
                          <a:ln>
                            <a:noFill/>
                          </a:ln>
                        </wps:spPr>
                        <wps:txbx>
                          <w:txbxContent>
                            <w:p w:rsidR="00FF384B" w:rsidRDefault="003E3BA9">
                              <w:r>
                                <w:rPr>
                                  <w:rFonts w:ascii="Arial" w:eastAsia="Arial" w:hAnsi="Arial" w:cs="Arial"/>
                                </w:rPr>
                                <w:t xml:space="preserve">del Grupo Municipal Mixto </w:t>
                              </w:r>
                            </w:p>
                          </w:txbxContent>
                        </wps:txbx>
                        <wps:bodyPr horzOverflow="overflow" vert="horz" lIns="0" tIns="0" rIns="0" bIns="0" rtlCol="0">
                          <a:noAutofit/>
                        </wps:bodyPr>
                      </wps:wsp>
                      <wps:wsp>
                        <wps:cNvPr id="54307" name="Rectangle 54307"/>
                        <wps:cNvSpPr/>
                        <wps:spPr>
                          <a:xfrm>
                            <a:off x="5287645" y="395843"/>
                            <a:ext cx="937045" cy="207921"/>
                          </a:xfrm>
                          <a:prstGeom prst="rect">
                            <a:avLst/>
                          </a:prstGeom>
                          <a:ln>
                            <a:noFill/>
                          </a:ln>
                        </wps:spPr>
                        <wps:txbx>
                          <w:txbxContent>
                            <w:p w:rsidR="00FF384B" w:rsidRDefault="003E3BA9">
                              <w:r>
                                <w:rPr>
                                  <w:rFonts w:ascii="Arial" w:eastAsia="Arial" w:hAnsi="Arial" w:cs="Arial"/>
                                </w:rPr>
                                <w:t xml:space="preserve">y Portavoz </w:t>
                              </w:r>
                            </w:p>
                          </w:txbxContent>
                        </wps:txbx>
                        <wps:bodyPr horzOverflow="overflow" vert="horz" lIns="0" tIns="0" rIns="0" bIns="0" rtlCol="0">
                          <a:noAutofit/>
                        </wps:bodyPr>
                      </wps:wsp>
                      <wps:wsp>
                        <wps:cNvPr id="54308" name="Rectangle 54308"/>
                        <wps:cNvSpPr/>
                        <wps:spPr>
                          <a:xfrm>
                            <a:off x="5999353" y="395843"/>
                            <a:ext cx="207083" cy="207921"/>
                          </a:xfrm>
                          <a:prstGeom prst="rect">
                            <a:avLst/>
                          </a:prstGeom>
                          <a:ln>
                            <a:noFill/>
                          </a:ln>
                        </wps:spPr>
                        <wps:txbx>
                          <w:txbxContent>
                            <w:p w:rsidR="00FF384B" w:rsidRDefault="003E3BA9">
                              <w:r>
                                <w:rPr>
                                  <w:rFonts w:ascii="Arial" w:eastAsia="Arial" w:hAnsi="Arial" w:cs="Arial"/>
                                </w:rPr>
                                <w:t>de</w:t>
                              </w:r>
                            </w:p>
                          </w:txbxContent>
                        </wps:txbx>
                        <wps:bodyPr horzOverflow="overflow" vert="horz" lIns="0" tIns="0" rIns="0" bIns="0" rtlCol="0">
                          <a:noAutofit/>
                        </wps:bodyPr>
                      </wps:wsp>
                      <wps:wsp>
                        <wps:cNvPr id="54309" name="Rectangle 54309"/>
                        <wps:cNvSpPr/>
                        <wps:spPr>
                          <a:xfrm>
                            <a:off x="6154802" y="395843"/>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310" name="Rectangle 54310"/>
                        <wps:cNvSpPr/>
                        <wps:spPr>
                          <a:xfrm>
                            <a:off x="6200521" y="395843"/>
                            <a:ext cx="4593852" cy="207921"/>
                          </a:xfrm>
                          <a:prstGeom prst="rect">
                            <a:avLst/>
                          </a:prstGeom>
                          <a:ln>
                            <a:noFill/>
                          </a:ln>
                        </wps:spPr>
                        <wps:txbx>
                          <w:txbxContent>
                            <w:p w:rsidR="00FF384B" w:rsidRDefault="003E3BA9">
                              <w:r>
                                <w:rPr>
                                  <w:rFonts w:ascii="Arial" w:eastAsia="Arial" w:hAnsi="Arial" w:cs="Arial"/>
                                </w:rPr>
                                <w:t xml:space="preserve">Sí se puede en Candelaria, en uso de las atribuciones </w:t>
                              </w:r>
                            </w:p>
                          </w:txbxContent>
                        </wps:txbx>
                        <wps:bodyPr horzOverflow="overflow" vert="horz" lIns="0" tIns="0" rIns="0" bIns="0" rtlCol="0">
                          <a:noAutofit/>
                        </wps:bodyPr>
                      </wps:wsp>
                      <wps:wsp>
                        <wps:cNvPr id="567314" name="Shape 567314"/>
                        <wps:cNvSpPr/>
                        <wps:spPr>
                          <a:xfrm>
                            <a:off x="10032492"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15" name="Shape 567315"/>
                        <wps:cNvSpPr/>
                        <wps:spPr>
                          <a:xfrm>
                            <a:off x="10029444"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19" name="Rectangle 54319"/>
                        <wps:cNvSpPr/>
                        <wps:spPr>
                          <a:xfrm>
                            <a:off x="411480" y="557387"/>
                            <a:ext cx="1483981" cy="207921"/>
                          </a:xfrm>
                          <a:prstGeom prst="rect">
                            <a:avLst/>
                          </a:prstGeom>
                          <a:ln>
                            <a:noFill/>
                          </a:ln>
                        </wps:spPr>
                        <wps:txbx>
                          <w:txbxContent>
                            <w:p w:rsidR="00FF384B" w:rsidRDefault="003E3BA9">
                              <w:r>
                                <w:rPr>
                                  <w:rFonts w:ascii="Arial" w:eastAsia="Arial" w:hAnsi="Arial" w:cs="Arial"/>
                                </w:rPr>
                                <w:t xml:space="preserve">que le confiere el </w:t>
                              </w:r>
                            </w:p>
                          </w:txbxContent>
                        </wps:txbx>
                        <wps:bodyPr horzOverflow="overflow" vert="horz" lIns="0" tIns="0" rIns="0" bIns="0" rtlCol="0">
                          <a:noAutofit/>
                        </wps:bodyPr>
                      </wps:wsp>
                      <wps:wsp>
                        <wps:cNvPr id="54320" name="Rectangle 54320"/>
                        <wps:cNvSpPr/>
                        <wps:spPr>
                          <a:xfrm>
                            <a:off x="1533398" y="557387"/>
                            <a:ext cx="1000849" cy="207921"/>
                          </a:xfrm>
                          <a:prstGeom prst="rect">
                            <a:avLst/>
                          </a:prstGeom>
                          <a:ln>
                            <a:noFill/>
                          </a:ln>
                        </wps:spPr>
                        <wps:txbx>
                          <w:txbxContent>
                            <w:p w:rsidR="00FF384B" w:rsidRDefault="003E3BA9">
                              <w:r>
                                <w:rPr>
                                  <w:rFonts w:ascii="Arial" w:eastAsia="Arial" w:hAnsi="Arial" w:cs="Arial"/>
                                </w:rPr>
                                <w:t>Reglamento</w:t>
                              </w:r>
                            </w:p>
                          </w:txbxContent>
                        </wps:txbx>
                        <wps:bodyPr horzOverflow="overflow" vert="horz" lIns="0" tIns="0" rIns="0" bIns="0" rtlCol="0">
                          <a:noAutofit/>
                        </wps:bodyPr>
                      </wps:wsp>
                      <wps:wsp>
                        <wps:cNvPr id="54321" name="Rectangle 54321"/>
                        <wps:cNvSpPr/>
                        <wps:spPr>
                          <a:xfrm>
                            <a:off x="2284730" y="557387"/>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322" name="Rectangle 54322"/>
                        <wps:cNvSpPr/>
                        <wps:spPr>
                          <a:xfrm>
                            <a:off x="2327402" y="557387"/>
                            <a:ext cx="805361" cy="207921"/>
                          </a:xfrm>
                          <a:prstGeom prst="rect">
                            <a:avLst/>
                          </a:prstGeom>
                          <a:ln>
                            <a:noFill/>
                          </a:ln>
                        </wps:spPr>
                        <wps:txbx>
                          <w:txbxContent>
                            <w:p w:rsidR="00FF384B" w:rsidRDefault="003E3BA9">
                              <w:r>
                                <w:rPr>
                                  <w:rFonts w:ascii="Arial" w:eastAsia="Arial" w:hAnsi="Arial" w:cs="Arial"/>
                                </w:rPr>
                                <w:t xml:space="preserve">Orgánico </w:t>
                              </w:r>
                            </w:p>
                          </w:txbxContent>
                        </wps:txbx>
                        <wps:bodyPr horzOverflow="overflow" vert="horz" lIns="0" tIns="0" rIns="0" bIns="0" rtlCol="0">
                          <a:noAutofit/>
                        </wps:bodyPr>
                      </wps:wsp>
                      <wps:wsp>
                        <wps:cNvPr id="54323" name="Rectangle 54323"/>
                        <wps:cNvSpPr/>
                        <wps:spPr>
                          <a:xfrm>
                            <a:off x="2938907" y="557387"/>
                            <a:ext cx="783234" cy="207921"/>
                          </a:xfrm>
                          <a:prstGeom prst="rect">
                            <a:avLst/>
                          </a:prstGeom>
                          <a:ln>
                            <a:noFill/>
                          </a:ln>
                        </wps:spPr>
                        <wps:txbx>
                          <w:txbxContent>
                            <w:p w:rsidR="00FF384B" w:rsidRDefault="003E3BA9">
                              <w:r>
                                <w:rPr>
                                  <w:rFonts w:ascii="Arial" w:eastAsia="Arial" w:hAnsi="Arial" w:cs="Arial"/>
                                </w:rPr>
                                <w:t>Municipal</w:t>
                              </w:r>
                            </w:p>
                          </w:txbxContent>
                        </wps:txbx>
                        <wps:bodyPr horzOverflow="overflow" vert="horz" lIns="0" tIns="0" rIns="0" bIns="0" rtlCol="0">
                          <a:noAutofit/>
                        </wps:bodyPr>
                      </wps:wsp>
                      <wps:wsp>
                        <wps:cNvPr id="54324" name="Rectangle 54324"/>
                        <wps:cNvSpPr/>
                        <wps:spPr>
                          <a:xfrm>
                            <a:off x="3527171" y="557387"/>
                            <a:ext cx="1045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325" name="Rectangle 54325"/>
                        <wps:cNvSpPr/>
                        <wps:spPr>
                          <a:xfrm>
                            <a:off x="3610991" y="557387"/>
                            <a:ext cx="8034907" cy="207921"/>
                          </a:xfrm>
                          <a:prstGeom prst="rect">
                            <a:avLst/>
                          </a:prstGeom>
                          <a:ln>
                            <a:noFill/>
                          </a:ln>
                        </wps:spPr>
                        <wps:txbx>
                          <w:txbxContent>
                            <w:p w:rsidR="00FF384B" w:rsidRDefault="003E3BA9">
                              <w:r>
                                <w:rPr>
                                  <w:rFonts w:ascii="Arial" w:eastAsia="Arial" w:hAnsi="Arial" w:cs="Arial"/>
                                </w:rPr>
                                <w:t xml:space="preserve">presenta al Pleno del Ilustre Ayuntamiento de Candelaria la presente MOCIÓN para su debate y </w:t>
                              </w:r>
                            </w:p>
                          </w:txbxContent>
                        </wps:txbx>
                        <wps:bodyPr horzOverflow="overflow" vert="horz" lIns="0" tIns="0" rIns="0" bIns="0" rtlCol="0">
                          <a:noAutofit/>
                        </wps:bodyPr>
                      </wps:wsp>
                      <wps:wsp>
                        <wps:cNvPr id="567316" name="Shape 567316"/>
                        <wps:cNvSpPr/>
                        <wps:spPr>
                          <a:xfrm>
                            <a:off x="10032492" y="554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17" name="Shape 567317"/>
                        <wps:cNvSpPr/>
                        <wps:spPr>
                          <a:xfrm>
                            <a:off x="10029444" y="554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29" name="Rectangle 54329"/>
                        <wps:cNvSpPr/>
                        <wps:spPr>
                          <a:xfrm>
                            <a:off x="411480" y="718931"/>
                            <a:ext cx="4254993" cy="207921"/>
                          </a:xfrm>
                          <a:prstGeom prst="rect">
                            <a:avLst/>
                          </a:prstGeom>
                          <a:ln>
                            <a:noFill/>
                          </a:ln>
                        </wps:spPr>
                        <wps:txbx>
                          <w:txbxContent>
                            <w:p w:rsidR="00FF384B" w:rsidRDefault="003E3BA9">
                              <w:r>
                                <w:rPr>
                                  <w:rFonts w:ascii="Arial" w:eastAsia="Arial" w:hAnsi="Arial" w:cs="Arial"/>
                                </w:rPr>
                                <w:t>aprobación si procede, de acuerdo con la siguiente:</w:t>
                              </w:r>
                            </w:p>
                          </w:txbxContent>
                        </wps:txbx>
                        <wps:bodyPr horzOverflow="overflow" vert="horz" lIns="0" tIns="0" rIns="0" bIns="0" rtlCol="0">
                          <a:noAutofit/>
                        </wps:bodyPr>
                      </wps:wsp>
                      <wps:wsp>
                        <wps:cNvPr id="54330" name="Rectangle 54330"/>
                        <wps:cNvSpPr/>
                        <wps:spPr>
                          <a:xfrm>
                            <a:off x="3612515" y="718931"/>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331" name="Rectangle 54331"/>
                        <wps:cNvSpPr/>
                        <wps:spPr>
                          <a:xfrm>
                            <a:off x="3650615" y="710031"/>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318" name="Shape 567318"/>
                        <wps:cNvSpPr/>
                        <wps:spPr>
                          <a:xfrm>
                            <a:off x="0" y="1272920"/>
                            <a:ext cx="10029444" cy="9144"/>
                          </a:xfrm>
                          <a:custGeom>
                            <a:avLst/>
                            <a:gdLst/>
                            <a:ahLst/>
                            <a:cxnLst/>
                            <a:rect l="0" t="0" r="0" b="0"/>
                            <a:pathLst>
                              <a:path w="10029444" h="9144">
                                <a:moveTo>
                                  <a:pt x="0" y="0"/>
                                </a:moveTo>
                                <a:lnTo>
                                  <a:pt x="10029444" y="0"/>
                                </a:lnTo>
                                <a:lnTo>
                                  <a:pt x="10029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19" name="Shape 567319"/>
                        <wps:cNvSpPr/>
                        <wps:spPr>
                          <a:xfrm>
                            <a:off x="0" y="1269873"/>
                            <a:ext cx="10029444" cy="9144"/>
                          </a:xfrm>
                          <a:custGeom>
                            <a:avLst/>
                            <a:gdLst/>
                            <a:ahLst/>
                            <a:cxnLst/>
                            <a:rect l="0" t="0" r="0" b="0"/>
                            <a:pathLst>
                              <a:path w="10029444" h="9144">
                                <a:moveTo>
                                  <a:pt x="0" y="0"/>
                                </a:moveTo>
                                <a:lnTo>
                                  <a:pt x="10029444" y="0"/>
                                </a:lnTo>
                                <a:lnTo>
                                  <a:pt x="100294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320" name="Shape 567320"/>
                        <wps:cNvSpPr/>
                        <wps:spPr>
                          <a:xfrm>
                            <a:off x="10032492" y="12698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21" name="Shape 567321"/>
                        <wps:cNvSpPr/>
                        <wps:spPr>
                          <a:xfrm>
                            <a:off x="10029444" y="1272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22" name="Shape 567322"/>
                        <wps:cNvSpPr/>
                        <wps:spPr>
                          <a:xfrm>
                            <a:off x="10029444" y="12698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323" name="Shape 567323"/>
                        <wps:cNvSpPr/>
                        <wps:spPr>
                          <a:xfrm>
                            <a:off x="10032492" y="714832"/>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24" name="Shape 567324"/>
                        <wps:cNvSpPr/>
                        <wps:spPr>
                          <a:xfrm>
                            <a:off x="10029444" y="714832"/>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05792" style="width:790.2pt;height:100.47pt;mso-position-horizontal-relative:char;mso-position-vertical-relative:line" coordsize="100355,12759">
                <v:rect id="Rectangle 54305" style="position:absolute;width:42380;height:2079;left:4114;top:3958;" filled="f" stroked="f">
                  <v:textbox inset="0,0,0,0">
                    <w:txbxContent>
                      <w:p>
                        <w:pPr>
                          <w:spacing w:before="0" w:after="160" w:line="259" w:lineRule="auto"/>
                        </w:pPr>
                        <w:r>
                          <w:rPr>
                            <w:rFonts w:cs="Arial" w:hAnsi="Arial" w:eastAsia="Arial" w:ascii="Arial"/>
                            <w:sz w:val="22"/>
                          </w:rPr>
                          <w:t xml:space="preserve">Lourdes del Carmen Mondéjar Rondón, Concejala </w:t>
                        </w:r>
                      </w:p>
                    </w:txbxContent>
                  </v:textbox>
                </v:rect>
                <v:rect id="Rectangle 54306" style="position:absolute;width:22255;height:2079;left:36064;top:3958;" filled="f" stroked="f">
                  <v:textbox inset="0,0,0,0">
                    <w:txbxContent>
                      <w:p>
                        <w:pPr>
                          <w:spacing w:before="0" w:after="160" w:line="259" w:lineRule="auto"/>
                        </w:pPr>
                        <w:r>
                          <w:rPr>
                            <w:rFonts w:cs="Arial" w:hAnsi="Arial" w:eastAsia="Arial" w:ascii="Arial"/>
                            <w:sz w:val="22"/>
                          </w:rPr>
                          <w:t xml:space="preserve">del Grupo Municipal Mixto </w:t>
                        </w:r>
                      </w:p>
                    </w:txbxContent>
                  </v:textbox>
                </v:rect>
                <v:rect id="Rectangle 54307" style="position:absolute;width:9370;height:2079;left:52876;top:3958;" filled="f" stroked="f">
                  <v:textbox inset="0,0,0,0">
                    <w:txbxContent>
                      <w:p>
                        <w:pPr>
                          <w:spacing w:before="0" w:after="160" w:line="259" w:lineRule="auto"/>
                        </w:pPr>
                        <w:r>
                          <w:rPr>
                            <w:rFonts w:cs="Arial" w:hAnsi="Arial" w:eastAsia="Arial" w:ascii="Arial"/>
                            <w:sz w:val="22"/>
                          </w:rPr>
                          <w:t xml:space="preserve">y Portavoz </w:t>
                        </w:r>
                      </w:p>
                    </w:txbxContent>
                  </v:textbox>
                </v:rect>
                <v:rect id="Rectangle 54308" style="position:absolute;width:2070;height:2079;left:59993;top:3958;" filled="f" stroked="f">
                  <v:textbox inset="0,0,0,0">
                    <w:txbxContent>
                      <w:p>
                        <w:pPr>
                          <w:spacing w:before="0" w:after="160" w:line="259" w:lineRule="auto"/>
                        </w:pPr>
                        <w:r>
                          <w:rPr>
                            <w:rFonts w:cs="Arial" w:hAnsi="Arial" w:eastAsia="Arial" w:ascii="Arial"/>
                            <w:sz w:val="22"/>
                          </w:rPr>
                          <w:t xml:space="preserve">de</w:t>
                        </w:r>
                      </w:p>
                    </w:txbxContent>
                  </v:textbox>
                </v:rect>
                <v:rect id="Rectangle 54309" style="position:absolute;width:518;height:2079;left:61548;top:3958;" filled="f" stroked="f">
                  <v:textbox inset="0,0,0,0">
                    <w:txbxContent>
                      <w:p>
                        <w:pPr>
                          <w:spacing w:before="0" w:after="160" w:line="259" w:lineRule="auto"/>
                        </w:pPr>
                        <w:r>
                          <w:rPr>
                            <w:rFonts w:cs="Arial" w:hAnsi="Arial" w:eastAsia="Arial" w:ascii="Arial"/>
                            <w:sz w:val="22"/>
                          </w:rPr>
                          <w:t xml:space="preserve"> </w:t>
                        </w:r>
                      </w:p>
                    </w:txbxContent>
                  </v:textbox>
                </v:rect>
                <v:rect id="Rectangle 54310" style="position:absolute;width:45938;height:2079;left:62005;top:3958;" filled="f" stroked="f">
                  <v:textbox inset="0,0,0,0">
                    <w:txbxContent>
                      <w:p>
                        <w:pPr>
                          <w:spacing w:before="0" w:after="160" w:line="259" w:lineRule="auto"/>
                        </w:pPr>
                        <w:r>
                          <w:rPr>
                            <w:rFonts w:cs="Arial" w:hAnsi="Arial" w:eastAsia="Arial" w:ascii="Arial"/>
                            <w:sz w:val="22"/>
                          </w:rPr>
                          <w:t xml:space="preserve">Sí se puede en Candelaria, en uso de las atribuciones </w:t>
                        </w:r>
                      </w:p>
                    </w:txbxContent>
                  </v:textbox>
                </v:rect>
                <v:shape id="Shape 567325" style="position:absolute;width:91;height:5547;left:100324;top:0;" coordsize="9144,554736" path="m0,0l9144,0l9144,554736l0,554736l0,0">
                  <v:stroke weight="0pt" endcap="flat" joinstyle="miter" miterlimit="10" on="false" color="#000000" opacity="0"/>
                  <v:fill on="true" color="#000000"/>
                </v:shape>
                <v:shape id="Shape 567326" style="position:absolute;width:91;height:5547;left:100294;top:0;" coordsize="9144,554736" path="m0,0l9144,0l9144,554736l0,554736l0,0">
                  <v:stroke weight="0pt" endcap="flat" joinstyle="miter" miterlimit="10" on="false" color="#000000" opacity="0"/>
                  <v:fill on="true" color="#ffffff"/>
                </v:shape>
                <v:rect id="Rectangle 54319" style="position:absolute;width:14839;height:2079;left:4114;top:5573;" filled="f" stroked="f">
                  <v:textbox inset="0,0,0,0">
                    <w:txbxContent>
                      <w:p>
                        <w:pPr>
                          <w:spacing w:before="0" w:after="160" w:line="259" w:lineRule="auto"/>
                        </w:pPr>
                        <w:r>
                          <w:rPr>
                            <w:rFonts w:cs="Arial" w:hAnsi="Arial" w:eastAsia="Arial" w:ascii="Arial"/>
                            <w:sz w:val="22"/>
                          </w:rPr>
                          <w:t xml:space="preserve">que le confiere el </w:t>
                        </w:r>
                      </w:p>
                    </w:txbxContent>
                  </v:textbox>
                </v:rect>
                <v:rect id="Rectangle 54320" style="position:absolute;width:10008;height:2079;left:15333;top:5573;" filled="f" stroked="f">
                  <v:textbox inset="0,0,0,0">
                    <w:txbxContent>
                      <w:p>
                        <w:pPr>
                          <w:spacing w:before="0" w:after="160" w:line="259" w:lineRule="auto"/>
                        </w:pPr>
                        <w:r>
                          <w:rPr>
                            <w:rFonts w:cs="Arial" w:hAnsi="Arial" w:eastAsia="Arial" w:ascii="Arial"/>
                            <w:sz w:val="22"/>
                          </w:rPr>
                          <w:t xml:space="preserve">Reglamento</w:t>
                        </w:r>
                      </w:p>
                    </w:txbxContent>
                  </v:textbox>
                </v:rect>
                <v:rect id="Rectangle 54321" style="position:absolute;width:518;height:2079;left:22847;top:5573;" filled="f" stroked="f">
                  <v:textbox inset="0,0,0,0">
                    <w:txbxContent>
                      <w:p>
                        <w:pPr>
                          <w:spacing w:before="0" w:after="160" w:line="259" w:lineRule="auto"/>
                        </w:pPr>
                        <w:r>
                          <w:rPr>
                            <w:rFonts w:cs="Arial" w:hAnsi="Arial" w:eastAsia="Arial" w:ascii="Arial"/>
                            <w:sz w:val="22"/>
                          </w:rPr>
                          <w:t xml:space="preserve"> </w:t>
                        </w:r>
                      </w:p>
                    </w:txbxContent>
                  </v:textbox>
                </v:rect>
                <v:rect id="Rectangle 54322" style="position:absolute;width:8053;height:2079;left:23274;top:5573;" filled="f" stroked="f">
                  <v:textbox inset="0,0,0,0">
                    <w:txbxContent>
                      <w:p>
                        <w:pPr>
                          <w:spacing w:before="0" w:after="160" w:line="259" w:lineRule="auto"/>
                        </w:pPr>
                        <w:r>
                          <w:rPr>
                            <w:rFonts w:cs="Arial" w:hAnsi="Arial" w:eastAsia="Arial" w:ascii="Arial"/>
                            <w:sz w:val="22"/>
                          </w:rPr>
                          <w:t xml:space="preserve">Orgánico </w:t>
                        </w:r>
                      </w:p>
                    </w:txbxContent>
                  </v:textbox>
                </v:rect>
                <v:rect id="Rectangle 54323" style="position:absolute;width:7832;height:2079;left:29389;top:5573;" filled="f" stroked="f">
                  <v:textbox inset="0,0,0,0">
                    <w:txbxContent>
                      <w:p>
                        <w:pPr>
                          <w:spacing w:before="0" w:after="160" w:line="259" w:lineRule="auto"/>
                        </w:pPr>
                        <w:r>
                          <w:rPr>
                            <w:rFonts w:cs="Arial" w:hAnsi="Arial" w:eastAsia="Arial" w:ascii="Arial"/>
                            <w:sz w:val="22"/>
                          </w:rPr>
                          <w:t xml:space="preserve">Municipal</w:t>
                        </w:r>
                      </w:p>
                    </w:txbxContent>
                  </v:textbox>
                </v:rect>
                <v:rect id="Rectangle 54324" style="position:absolute;width:1045;height:2079;left:35271;top:5573;" filled="f" stroked="f">
                  <v:textbox inset="0,0,0,0">
                    <w:txbxContent>
                      <w:p>
                        <w:pPr>
                          <w:spacing w:before="0" w:after="160" w:line="259" w:lineRule="auto"/>
                        </w:pPr>
                        <w:r>
                          <w:rPr>
                            <w:rFonts w:cs="Arial" w:hAnsi="Arial" w:eastAsia="Arial" w:ascii="Arial"/>
                            <w:sz w:val="22"/>
                          </w:rPr>
                          <w:t xml:space="preserve">, </w:t>
                        </w:r>
                      </w:p>
                    </w:txbxContent>
                  </v:textbox>
                </v:rect>
                <v:rect id="Rectangle 54325" style="position:absolute;width:80349;height:2079;left:36109;top:5573;" filled="f" stroked="f">
                  <v:textbox inset="0,0,0,0">
                    <w:txbxContent>
                      <w:p>
                        <w:pPr>
                          <w:spacing w:before="0" w:after="160" w:line="259" w:lineRule="auto"/>
                        </w:pPr>
                        <w:r>
                          <w:rPr>
                            <w:rFonts w:cs="Arial" w:hAnsi="Arial" w:eastAsia="Arial" w:ascii="Arial"/>
                            <w:sz w:val="22"/>
                          </w:rPr>
                          <w:t xml:space="preserve">presenta al Pleno del Ilustre Ayuntamiento de Candelaria la presente MOCIÓN para su debate y </w:t>
                        </w:r>
                      </w:p>
                    </w:txbxContent>
                  </v:textbox>
                </v:rect>
                <v:shape id="Shape 567327" style="position:absolute;width:91;height:1600;left:100324;top:5547;" coordsize="9144,160020" path="m0,0l9144,0l9144,160020l0,160020l0,0">
                  <v:stroke weight="0pt" endcap="flat" joinstyle="miter" miterlimit="10" on="false" color="#000000" opacity="0"/>
                  <v:fill on="true" color="#000000"/>
                </v:shape>
                <v:shape id="Shape 567328" style="position:absolute;width:91;height:1600;left:100294;top:5547;" coordsize="9144,160020" path="m0,0l9144,0l9144,160020l0,160020l0,0">
                  <v:stroke weight="0pt" endcap="flat" joinstyle="miter" miterlimit="10" on="false" color="#000000" opacity="0"/>
                  <v:fill on="true" color="#ffffff"/>
                </v:shape>
                <v:rect id="Rectangle 54329" style="position:absolute;width:42549;height:2079;left:4114;top:7189;" filled="f" stroked="f">
                  <v:textbox inset="0,0,0,0">
                    <w:txbxContent>
                      <w:p>
                        <w:pPr>
                          <w:spacing w:before="0" w:after="160" w:line="259" w:lineRule="auto"/>
                        </w:pPr>
                        <w:r>
                          <w:rPr>
                            <w:rFonts w:cs="Arial" w:hAnsi="Arial" w:eastAsia="Arial" w:ascii="Arial"/>
                            <w:sz w:val="22"/>
                          </w:rPr>
                          <w:t xml:space="preserve">aprobación si procede, de acuerdo con la siguiente:</w:t>
                        </w:r>
                      </w:p>
                    </w:txbxContent>
                  </v:textbox>
                </v:rect>
                <v:rect id="Rectangle 54330" style="position:absolute;width:518;height:2079;left:36125;top:7189;" filled="f" stroked="f">
                  <v:textbox inset="0,0,0,0">
                    <w:txbxContent>
                      <w:p>
                        <w:pPr>
                          <w:spacing w:before="0" w:after="160" w:line="259" w:lineRule="auto"/>
                        </w:pPr>
                        <w:r>
                          <w:rPr>
                            <w:rFonts w:cs="Arial" w:hAnsi="Arial" w:eastAsia="Arial" w:ascii="Arial"/>
                            <w:sz w:val="22"/>
                          </w:rPr>
                          <w:t xml:space="preserve"> </w:t>
                        </w:r>
                      </w:p>
                    </w:txbxContent>
                  </v:textbox>
                </v:rect>
                <v:rect id="Rectangle 54331" style="position:absolute;width:506;height:2243;left:36506;top:71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567329" style="position:absolute;width:100294;height:91;left:0;top:12729;" coordsize="10029444,9144" path="m0,0l10029444,0l10029444,9144l0,9144l0,0">
                  <v:stroke weight="0pt" endcap="flat" joinstyle="miter" miterlimit="10" on="false" color="#000000" opacity="0"/>
                  <v:fill on="true" color="#000000"/>
                </v:shape>
                <v:shape id="Shape 567330" style="position:absolute;width:100294;height:91;left:0;top:12698;" coordsize="10029444,9144" path="m0,0l10029444,0l10029444,9144l0,9144l0,0">
                  <v:stroke weight="0pt" endcap="flat" joinstyle="miter" miterlimit="10" on="false" color="#000000" opacity="0"/>
                  <v:fill on="true" color="#ffffff"/>
                </v:shape>
                <v:shape id="Shape 567331" style="position:absolute;width:91;height:91;left:100324;top:12698;" coordsize="9144,9144" path="m0,0l9144,0l9144,9144l0,9144l0,0">
                  <v:stroke weight="0pt" endcap="flat" joinstyle="miter" miterlimit="10" on="false" color="#000000" opacity="0"/>
                  <v:fill on="true" color="#000000"/>
                </v:shape>
                <v:shape id="Shape 567332" style="position:absolute;width:91;height:91;left:100294;top:12729;" coordsize="9144,9144" path="m0,0l9144,0l9144,9144l0,9144l0,0">
                  <v:stroke weight="0pt" endcap="flat" joinstyle="miter" miterlimit="10" on="false" color="#000000" opacity="0"/>
                  <v:fill on="true" color="#000000"/>
                </v:shape>
                <v:shape id="Shape 567333" style="position:absolute;width:91;height:91;left:100294;top:12698;" coordsize="9144,9144" path="m0,0l9144,0l9144,9144l0,9144l0,0">
                  <v:stroke weight="0pt" endcap="flat" joinstyle="miter" miterlimit="10" on="false" color="#000000" opacity="0"/>
                  <v:fill on="true" color="#ffffff"/>
                </v:shape>
                <v:shape id="Shape 567334" style="position:absolute;width:91;height:5550;left:100324;top:7148;" coordsize="9144,555041" path="m0,0l9144,0l9144,555041l0,555041l0,0">
                  <v:stroke weight="0pt" endcap="flat" joinstyle="miter" miterlimit="10" on="false" color="#000000" opacity="0"/>
                  <v:fill on="true" color="#000000"/>
                </v:shape>
                <v:shape id="Shape 567335" style="position:absolute;width:91;height:5550;left:100294;top:7148;" coordsize="9144,555041" path="m0,0l9144,0l9144,555041l0,555041l0,0">
                  <v:stroke weight="0pt" endcap="flat" joinstyle="miter" miterlimit="10" on="false" color="#000000" opacity="0"/>
                  <v:fill on="true" color="#ffffff"/>
                </v:shape>
              </v:group>
            </w:pict>
          </mc:Fallback>
        </mc:AlternateContent>
      </w:r>
    </w:p>
    <w:p w:rsidR="00FF384B" w:rsidRDefault="003E3BA9">
      <w:pPr>
        <w:spacing w:after="0"/>
        <w:ind w:left="335"/>
        <w:jc w:val="center"/>
      </w:pPr>
      <w:r>
        <w:rPr>
          <w:rFonts w:ascii="Arial" w:eastAsia="Arial" w:hAnsi="Arial" w:cs="Arial"/>
          <w:b/>
        </w:rPr>
        <w:t xml:space="preserve"> </w:t>
      </w:r>
    </w:p>
    <w:p w:rsidR="00FF384B" w:rsidRDefault="003E3BA9">
      <w:pPr>
        <w:spacing w:after="8" w:line="253" w:lineRule="auto"/>
        <w:ind w:left="767" w:right="483" w:hanging="10"/>
        <w:jc w:val="center"/>
      </w:pPr>
      <w:r>
        <w:rPr>
          <w:rFonts w:ascii="Arial" w:eastAsia="Arial" w:hAnsi="Arial" w:cs="Arial"/>
          <w:b/>
        </w:rPr>
        <w:t xml:space="preserve">EXPOSICIÓN DE MOTIVOS: </w:t>
      </w:r>
    </w:p>
    <w:p w:rsidR="00FF384B" w:rsidRDefault="003E3BA9">
      <w:pPr>
        <w:spacing w:after="0"/>
        <w:ind w:left="335"/>
        <w:jc w:val="center"/>
      </w:pPr>
      <w:r>
        <w:rPr>
          <w:rFonts w:ascii="Arial" w:eastAsia="Arial" w:hAnsi="Arial" w:cs="Arial"/>
          <w:b/>
        </w:rPr>
        <w:t xml:space="preserve"> </w:t>
      </w:r>
    </w:p>
    <w:p w:rsidR="00FF384B" w:rsidRDefault="003E3BA9">
      <w:pPr>
        <w:spacing w:after="5" w:line="247" w:lineRule="auto"/>
        <w:ind w:left="437" w:right="9" w:hanging="10"/>
        <w:jc w:val="both"/>
      </w:pPr>
      <w:r>
        <w:rPr>
          <w:rFonts w:ascii="Arial" w:eastAsia="Arial" w:hAnsi="Arial" w:cs="Arial"/>
        </w:rPr>
        <w:t>En el Pleno Extraordinario del pasado 15 de abril, se aprobó inicialmen</w:t>
      </w:r>
      <w:r>
        <w:rPr>
          <w:rFonts w:ascii="Arial" w:eastAsia="Arial" w:hAnsi="Arial" w:cs="Arial"/>
        </w:rPr>
        <w:t>te el Presupuesto 2021, con los votos favorables exclusivamente del Grupo Socialista. Ello no sitúa a la oposición, en nuestro caso a Sí se puede, al margen de pretender la mejora de las finanzas municipales. Muy al contrario, seguimos empeñadas en que Can</w:t>
      </w:r>
      <w:r>
        <w:rPr>
          <w:rFonts w:ascii="Arial" w:eastAsia="Arial" w:hAnsi="Arial" w:cs="Arial"/>
        </w:rPr>
        <w:t xml:space="preserve">delaria obtenga de ahora en adelante, una mayor recaudación en el Capítulo 3 de Ingresos, subconcepto 39120, de Multas por infracciones de la Ordenanza de circulación.  </w:t>
      </w:r>
    </w:p>
    <w:p w:rsidR="00FF384B" w:rsidRDefault="003E3BA9">
      <w:pPr>
        <w:spacing w:after="0"/>
      </w:pPr>
      <w:r>
        <w:rPr>
          <w:rFonts w:ascii="Arial" w:eastAsia="Arial" w:hAnsi="Arial" w:cs="Arial"/>
        </w:rPr>
        <w:t xml:space="preserve"> </w:t>
      </w:r>
    </w:p>
    <w:p w:rsidR="00FF384B" w:rsidRDefault="003E3BA9">
      <w:pPr>
        <w:spacing w:after="5" w:line="247" w:lineRule="auto"/>
        <w:ind w:left="427" w:hanging="427"/>
        <w:jc w:val="both"/>
      </w:pPr>
      <w:r>
        <w:rPr>
          <w:rFonts w:ascii="Arial" w:eastAsia="Arial" w:hAnsi="Arial" w:cs="Arial"/>
        </w:rPr>
        <w:t xml:space="preserve">      En los presupuestos de 2018, 2019 y 2020, la recaudación por este subconcepto </w:t>
      </w:r>
      <w:r>
        <w:rPr>
          <w:rFonts w:ascii="Arial" w:eastAsia="Arial" w:hAnsi="Arial" w:cs="Arial"/>
        </w:rPr>
        <w:t xml:space="preserve">no varió. Se ingresaron en cada uno de los ejercicios, la idéntica cantidad de 78.000 euros.  </w:t>
      </w:r>
    </w:p>
    <w:p w:rsidR="00FF384B" w:rsidRDefault="003E3BA9">
      <w:pPr>
        <w:spacing w:after="0"/>
      </w:pPr>
      <w:r>
        <w:rPr>
          <w:rFonts w:ascii="Arial" w:eastAsia="Arial" w:hAnsi="Arial" w:cs="Arial"/>
        </w:rPr>
        <w:t xml:space="preserve"> </w:t>
      </w:r>
    </w:p>
    <w:p w:rsidR="00FF384B" w:rsidRDefault="003E3BA9">
      <w:pPr>
        <w:spacing w:after="5" w:line="247" w:lineRule="auto"/>
        <w:ind w:left="437" w:right="6" w:hanging="10"/>
        <w:jc w:val="both"/>
      </w:pPr>
      <w:r>
        <w:rPr>
          <w:noProof/>
        </w:rPr>
        <mc:AlternateContent>
          <mc:Choice Requires="wpg">
            <w:drawing>
              <wp:anchor distT="0" distB="0" distL="114300" distR="114300" simplePos="0" relativeHeight="251966464" behindDoc="1" locked="0" layoutInCell="1" allowOverlap="1">
                <wp:simplePos x="0" y="0"/>
                <wp:positionH relativeFrom="column">
                  <wp:posOffset>6952743</wp:posOffset>
                </wp:positionH>
                <wp:positionV relativeFrom="paragraph">
                  <wp:posOffset>-1426447</wp:posOffset>
                </wp:positionV>
                <wp:extent cx="524148" cy="3797300"/>
                <wp:effectExtent l="0" t="0" r="0" b="0"/>
                <wp:wrapNone/>
                <wp:docPr id="505795" name="Group 50579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385" name="Picture 54385"/>
                          <pic:cNvPicPr/>
                        </pic:nvPicPr>
                        <pic:blipFill>
                          <a:blip r:embed="rId62"/>
                          <a:stretch>
                            <a:fillRect/>
                          </a:stretch>
                        </pic:blipFill>
                        <pic:spPr>
                          <a:xfrm rot="-5399999">
                            <a:off x="-1720849" y="1720850"/>
                            <a:ext cx="3797299" cy="355600"/>
                          </a:xfrm>
                          <a:prstGeom prst="rect">
                            <a:avLst/>
                          </a:prstGeom>
                        </pic:spPr>
                      </pic:pic>
                      <wps:wsp>
                        <wps:cNvPr id="54386" name="Rectangle 5438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387" name="Rectangle 5438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299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5795" style="width:41.2715pt;height:299pt;position:absolute;z-index:-2147483558;mso-position-horizontal-relative:text;mso-position-horizontal:absolute;margin-left:547.46pt;mso-position-vertical-relative:text;margin-top:-112.319pt;" coordsize="5241,37973">
                <v:shape id="Picture 54385" style="position:absolute;width:37972;height:3556;left:-17208;top:17208;rotation:-89;" filled="f">
                  <v:imagedata r:id="rId63"/>
                </v:shape>
                <v:rect id="Rectangle 5438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38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299 de 353 </w:t>
                        </w:r>
                      </w:p>
                    </w:txbxContent>
                  </v:textbox>
                </v:rect>
              </v:group>
            </w:pict>
          </mc:Fallback>
        </mc:AlternateContent>
      </w:r>
      <w:r>
        <w:rPr>
          <w:rFonts w:ascii="Arial" w:eastAsia="Arial" w:hAnsi="Arial" w:cs="Arial"/>
        </w:rPr>
        <w:t>Por otra parte, los presupuestos de 2021, prevén unos ingresos por multas por infracciones a la Ordenanza de circulación, de 51.000 euros; una cantidad aún infer</w:t>
      </w:r>
      <w:r>
        <w:rPr>
          <w:rFonts w:ascii="Arial" w:eastAsia="Arial" w:hAnsi="Arial" w:cs="Arial"/>
        </w:rPr>
        <w:t>ior que en estos tiempos del COVID no nos deberíamos permitir. Nadie desea que nuestro municipio cuente con menores ingresos, porque estos menores ingresos repercuten en los créditos que debemos disponer para seguir haciendo frente a la crisis sanitaria, e</w:t>
      </w:r>
      <w:r>
        <w:rPr>
          <w:rFonts w:ascii="Arial" w:eastAsia="Arial" w:hAnsi="Arial" w:cs="Arial"/>
        </w:rPr>
        <w:t xml:space="preserve">conómica y social que vivimos.  </w:t>
      </w:r>
    </w:p>
    <w:p w:rsidR="00FF384B" w:rsidRDefault="003E3BA9">
      <w:pPr>
        <w:spacing w:after="0"/>
      </w:pPr>
      <w:r>
        <w:rPr>
          <w:rFonts w:ascii="Arial" w:eastAsia="Arial" w:hAnsi="Arial" w:cs="Arial"/>
        </w:rPr>
        <w:t xml:space="preserve"> </w:t>
      </w:r>
    </w:p>
    <w:p w:rsidR="00FF384B" w:rsidRDefault="003E3BA9">
      <w:pPr>
        <w:spacing w:after="5" w:line="247" w:lineRule="auto"/>
        <w:ind w:left="437" w:right="10" w:hanging="10"/>
        <w:jc w:val="both"/>
      </w:pPr>
      <w:r>
        <w:rPr>
          <w:rFonts w:ascii="Arial" w:eastAsia="Arial" w:hAnsi="Arial" w:cs="Arial"/>
        </w:rPr>
        <w:t>El COVID ha supuesto y los mismos presupuestos lo demuestran en las Áreas de Gasto, un esfuerzo financiero importante. Además, ese esfuerzo ha representado que la presencia de los agentes de nuestra Policía Local en la ví</w:t>
      </w:r>
      <w:r>
        <w:rPr>
          <w:rFonts w:ascii="Arial" w:eastAsia="Arial" w:hAnsi="Arial" w:cs="Arial"/>
        </w:rPr>
        <w:t xml:space="preserve">a pública se haya incrementado, en jornadas de trabajo excepcionales para la misma plantilla de hace años.  </w:t>
      </w:r>
    </w:p>
    <w:p w:rsidR="00FF384B" w:rsidRDefault="003E3BA9">
      <w:pPr>
        <w:spacing w:after="0"/>
      </w:pPr>
      <w:r>
        <w:rPr>
          <w:rFonts w:ascii="Arial" w:eastAsia="Arial" w:hAnsi="Arial" w:cs="Arial"/>
        </w:rPr>
        <w:t xml:space="preserve"> </w:t>
      </w:r>
    </w:p>
    <w:p w:rsidR="00FF384B" w:rsidRDefault="003E3BA9">
      <w:pPr>
        <w:spacing w:after="5" w:line="247" w:lineRule="auto"/>
        <w:ind w:left="10" w:hanging="10"/>
        <w:jc w:val="both"/>
      </w:pPr>
      <w:r>
        <w:rPr>
          <w:rFonts w:ascii="Arial" w:eastAsia="Arial" w:hAnsi="Arial" w:cs="Arial"/>
        </w:rPr>
        <w:t xml:space="preserve">      Añádase a ello, las nuevas normas que el Estado de alarma impuso y que las medidas restrictivas mantienen. Aprovechamos su mención, para ha</w:t>
      </w:r>
      <w:r>
        <w:rPr>
          <w:rFonts w:ascii="Arial" w:eastAsia="Arial" w:hAnsi="Arial" w:cs="Arial"/>
        </w:rPr>
        <w:t xml:space="preserve">cer un reconocimiento a los Agentes Municipales del Ayuntamiento de Candelaria. Es tiempo de reconocer su labor por la sociedad entera, como la de tantos otros colectivos, para salvaguardar la salud y el orden sociales.  </w:t>
      </w:r>
    </w:p>
    <w:p w:rsidR="00FF384B" w:rsidRDefault="003E3BA9">
      <w:pPr>
        <w:spacing w:after="0"/>
      </w:pPr>
      <w:r>
        <w:rPr>
          <w:rFonts w:ascii="Arial" w:eastAsia="Arial" w:hAnsi="Arial" w:cs="Arial"/>
        </w:rPr>
        <w:t xml:space="preserve"> </w:t>
      </w:r>
    </w:p>
    <w:p w:rsidR="00FF384B" w:rsidRDefault="003E3BA9">
      <w:pPr>
        <w:spacing w:after="5" w:line="247" w:lineRule="auto"/>
        <w:ind w:left="427" w:hanging="427"/>
        <w:jc w:val="both"/>
      </w:pPr>
      <w:r>
        <w:rPr>
          <w:rFonts w:ascii="Arial" w:eastAsia="Arial" w:hAnsi="Arial" w:cs="Arial"/>
        </w:rPr>
        <w:t xml:space="preserve">      La ciudadanía demanda la p</w:t>
      </w:r>
      <w:r>
        <w:rPr>
          <w:rFonts w:ascii="Arial" w:eastAsia="Arial" w:hAnsi="Arial" w:cs="Arial"/>
        </w:rPr>
        <w:t xml:space="preserve">resencia de la autoridad en la calle, no ya sólo por la Seguridad Vial, sino ahora igualmente para velar por el cumplimiento de las medidas restrictivas a que el COVID obliga.  </w:t>
      </w:r>
    </w:p>
    <w:p w:rsidR="00FF384B" w:rsidRDefault="003E3BA9">
      <w:pPr>
        <w:spacing w:after="0"/>
        <w:ind w:left="286"/>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La moción que exponemos a la consideración de este Pleno, persigue pues no sólo un afán recaudatorio de maximizar los ingresos municipales, sino que se realice la gestión integral de las multas.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Se trata de que el Ayuntamiento de Candelaria se adhiera al Acuerdo Marco de la Central de Contratación de la FEMP, para la prestación del servicio de asistencia técnica y colaboración para la gestión, recaudación voluntaria y ejecutiva de las multas de tr</w:t>
      </w:r>
      <w:r>
        <w:rPr>
          <w:rFonts w:ascii="Arial" w:eastAsia="Arial" w:hAnsi="Arial" w:cs="Arial"/>
        </w:rPr>
        <w:t xml:space="preserve">áfico.  </w:t>
      </w:r>
    </w:p>
    <w:p w:rsidR="00FF384B" w:rsidRDefault="003E3BA9">
      <w:pPr>
        <w:spacing w:after="0"/>
        <w:ind w:left="286"/>
      </w:pPr>
      <w:r>
        <w:rPr>
          <w:rFonts w:ascii="Arial" w:eastAsia="Arial" w:hAnsi="Arial" w:cs="Arial"/>
        </w:rPr>
        <w:t xml:space="preserve"> </w:t>
      </w:r>
    </w:p>
    <w:p w:rsidR="00FF384B" w:rsidRDefault="003E3BA9">
      <w:pPr>
        <w:spacing w:after="5" w:line="247" w:lineRule="auto"/>
        <w:ind w:left="437" w:right="8" w:hanging="10"/>
        <w:jc w:val="both"/>
      </w:pPr>
      <w:r>
        <w:rPr>
          <w:rFonts w:ascii="Arial" w:eastAsia="Arial" w:hAnsi="Arial" w:cs="Arial"/>
        </w:rPr>
        <w:t>La Central de Contratación de la Federación, al amparo del último párrafo del Apartado 3 de la Disposición Adicional quinta de la LBRL, y conforme al artículo 1.35 de la Ley de Racionalización y Sostenibilidad de la Administración Local, (LRSAL)</w:t>
      </w:r>
      <w:r>
        <w:rPr>
          <w:rFonts w:ascii="Arial" w:eastAsia="Arial" w:hAnsi="Arial" w:cs="Arial"/>
        </w:rPr>
        <w:t>, con la finalidad de contratar bienes y servicios, ha establecido que estos pueden ser utilizados por la Entidades Locales Asociadas, como es el caso de nuestro Ayuntamiento. Los contratos de ejecutiva y multas ya han sido licitados y adjudicados.</w:t>
      </w:r>
      <w:r>
        <w:rPr>
          <w:rFonts w:ascii="Times New Roman" w:eastAsia="Times New Roman" w:hAnsi="Times New Roman" w:cs="Times New Roman"/>
          <w:sz w:val="24"/>
        </w:rPr>
        <w:t xml:space="preserve"> </w:t>
      </w:r>
    </w:p>
    <w:p w:rsidR="00FF384B" w:rsidRDefault="003E3BA9">
      <w:pPr>
        <w:spacing w:after="0"/>
        <w:ind w:left="286"/>
      </w:pPr>
      <w:r>
        <w:rPr>
          <w:rFonts w:ascii="Arial" w:eastAsia="Arial" w:hAnsi="Arial" w:cs="Arial"/>
        </w:rPr>
        <w:t xml:space="preserve"> </w:t>
      </w:r>
    </w:p>
    <w:p w:rsidR="00FF384B" w:rsidRDefault="003E3BA9">
      <w:pPr>
        <w:spacing w:after="5" w:line="247" w:lineRule="auto"/>
        <w:ind w:left="427" w:hanging="427"/>
        <w:jc w:val="both"/>
      </w:pPr>
      <w:r>
        <w:rPr>
          <w:rFonts w:ascii="Arial" w:eastAsia="Arial" w:hAnsi="Arial" w:cs="Arial"/>
        </w:rPr>
        <w:t xml:space="preserve">    </w:t>
      </w:r>
      <w:r>
        <w:rPr>
          <w:rFonts w:ascii="Arial" w:eastAsia="Arial" w:hAnsi="Arial" w:cs="Arial"/>
        </w:rPr>
        <w:t xml:space="preserve">  La gestión del cobro de las multas de tráfico, es una tarea que supone para los ayuntamientos una importante complejidad por su propia tramitación administrativa y que requiere disponer de recursos materiales y humanos considerables para realizar una ges</w:t>
      </w:r>
      <w:r>
        <w:rPr>
          <w:rFonts w:ascii="Arial" w:eastAsia="Arial" w:hAnsi="Arial" w:cs="Arial"/>
        </w:rPr>
        <w:t xml:space="preserve">tión.  </w:t>
      </w:r>
    </w:p>
    <w:p w:rsidR="00FF384B" w:rsidRDefault="003E3BA9">
      <w:pPr>
        <w:spacing w:after="0"/>
      </w:pPr>
      <w:r>
        <w:rPr>
          <w:rFonts w:ascii="Arial" w:eastAsia="Arial" w:hAnsi="Arial" w:cs="Arial"/>
        </w:rPr>
        <w:t xml:space="preserve"> </w:t>
      </w:r>
    </w:p>
    <w:p w:rsidR="00FF384B" w:rsidRDefault="003E3BA9">
      <w:pPr>
        <w:spacing w:after="5" w:line="247" w:lineRule="auto"/>
        <w:ind w:left="437" w:right="6" w:hanging="10"/>
        <w:jc w:val="both"/>
      </w:pPr>
      <w:r>
        <w:rPr>
          <w:noProof/>
        </w:rPr>
        <mc:AlternateContent>
          <mc:Choice Requires="wpg">
            <w:drawing>
              <wp:anchor distT="0" distB="0" distL="114300" distR="114300" simplePos="0" relativeHeight="251967488" behindDoc="1" locked="0" layoutInCell="1" allowOverlap="1">
                <wp:simplePos x="0" y="0"/>
                <wp:positionH relativeFrom="column">
                  <wp:posOffset>6952743</wp:posOffset>
                </wp:positionH>
                <wp:positionV relativeFrom="paragraph">
                  <wp:posOffset>-989060</wp:posOffset>
                </wp:positionV>
                <wp:extent cx="524148" cy="3797300"/>
                <wp:effectExtent l="0" t="0" r="0" b="0"/>
                <wp:wrapNone/>
                <wp:docPr id="506024" name="Group 5060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471" name="Picture 54471"/>
                          <pic:cNvPicPr/>
                        </pic:nvPicPr>
                        <pic:blipFill>
                          <a:blip r:embed="rId62"/>
                          <a:stretch>
                            <a:fillRect/>
                          </a:stretch>
                        </pic:blipFill>
                        <pic:spPr>
                          <a:xfrm rot="-5399999">
                            <a:off x="-1720849" y="1720850"/>
                            <a:ext cx="3797299" cy="355600"/>
                          </a:xfrm>
                          <a:prstGeom prst="rect">
                            <a:avLst/>
                          </a:prstGeom>
                        </pic:spPr>
                      </pic:pic>
                      <wps:wsp>
                        <wps:cNvPr id="54472" name="Rectangle 5447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473" name="Rectangle 5447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024" style="width:41.2715pt;height:299pt;position:absolute;z-index:-2147483571;mso-position-horizontal-relative:text;mso-position-horizontal:absolute;margin-left:547.46pt;mso-position-vertical-relative:text;margin-top:-77.8788pt;" coordsize="5241,37973">
                <v:shape id="Picture 54471" style="position:absolute;width:37972;height:3556;left:-17208;top:17208;rotation:-89;" filled="f">
                  <v:imagedata r:id="rId63"/>
                </v:shape>
                <v:rect id="Rectangle 5447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47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300 de 353 </w:t>
                        </w:r>
                      </w:p>
                    </w:txbxContent>
                  </v:textbox>
                </v:rect>
              </v:group>
            </w:pict>
          </mc:Fallback>
        </mc:AlternateContent>
      </w:r>
      <w:r>
        <w:rPr>
          <w:rFonts w:ascii="Arial" w:eastAsia="Arial" w:hAnsi="Arial" w:cs="Arial"/>
        </w:rPr>
        <w:t>La Central de Contratación de la FEMP desde el 2</w:t>
      </w:r>
      <w:r>
        <w:rPr>
          <w:rFonts w:ascii="Arial" w:eastAsia="Arial" w:hAnsi="Arial" w:cs="Arial"/>
        </w:rPr>
        <w:t xml:space="preserve">7 de julio de 2018 suscribió el Acuerdo Marco para la prestación del servicio de asistencia técnica y colaboración para la gestión, así como para la recaudación voluntaria o ejecutiva, de las multas de tráfico, cuya tramitación corresponde a las Entidades </w:t>
      </w:r>
      <w:r>
        <w:rPr>
          <w:rFonts w:ascii="Arial" w:eastAsia="Arial" w:hAnsi="Arial" w:cs="Arial"/>
        </w:rPr>
        <w:t xml:space="preserve">Locales. Creemos que podemos recurrir, para facilitar la recaudación y toda la tramitación de la gestión de la misma, a esta asistencia en el seno de la Federación.   </w:t>
      </w:r>
    </w:p>
    <w:p w:rsidR="00FF384B" w:rsidRDefault="003E3BA9">
      <w:pPr>
        <w:spacing w:after="0"/>
        <w:ind w:left="286"/>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Por todo ello y porque Candelaria debe procurar incrementar sus ingresos por multas po</w:t>
      </w:r>
      <w:r>
        <w:rPr>
          <w:rFonts w:ascii="Arial" w:eastAsia="Arial" w:hAnsi="Arial" w:cs="Arial"/>
        </w:rPr>
        <w:t xml:space="preserve">r infracciones a la Ordenanza de Circulación en sus Presupuestos, es por lo que presentamos a la consideración de este Pleno para su aprobación el siguiente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8" w:line="253" w:lineRule="auto"/>
        <w:ind w:left="767" w:right="486" w:hanging="10"/>
        <w:jc w:val="center"/>
      </w:pPr>
      <w:r>
        <w:rPr>
          <w:rFonts w:ascii="Arial" w:eastAsia="Arial" w:hAnsi="Arial" w:cs="Arial"/>
          <w:b/>
        </w:rPr>
        <w:t xml:space="preserve">ACUERDO: </w:t>
      </w:r>
    </w:p>
    <w:p w:rsidR="00FF384B" w:rsidRDefault="003E3BA9">
      <w:pPr>
        <w:spacing w:after="0"/>
        <w:ind w:left="335"/>
        <w:jc w:val="center"/>
      </w:pPr>
      <w:r>
        <w:rPr>
          <w:rFonts w:ascii="Arial" w:eastAsia="Arial" w:hAnsi="Arial" w:cs="Arial"/>
          <w:b/>
        </w:rPr>
        <w:t xml:space="preserve"> </w:t>
      </w:r>
    </w:p>
    <w:p w:rsidR="00FF384B" w:rsidRDefault="003E3BA9">
      <w:pPr>
        <w:spacing w:after="3" w:line="238" w:lineRule="auto"/>
        <w:ind w:left="437" w:hanging="10"/>
      </w:pPr>
      <w:r>
        <w:rPr>
          <w:rFonts w:ascii="Arial" w:eastAsia="Arial" w:hAnsi="Arial" w:cs="Arial"/>
          <w:b/>
        </w:rPr>
        <w:t xml:space="preserve">LA ADHESIÓN DEL AYUNTAMIENTO DE CANDELARIA AL ACUERDO MARCO DE LA CENTRAL DE CONTRATACIÓN DE LA FEMP, PARA LA PRESTACIÓN DE UN SERVICIO DE ASISTENCIA TÉCNICA Y COLABORACIÓN PARA LA GESTIÓN, RECAUDACIÓN VOLUNTARIA Y EJECUTIVA DE LAS MULTAS DE TRÁFICO.  </w:t>
      </w:r>
    </w:p>
    <w:p w:rsidR="00FF384B" w:rsidRDefault="003E3BA9">
      <w:pPr>
        <w:spacing w:after="0"/>
        <w:ind w:left="286"/>
      </w:pPr>
      <w:r>
        <w:rPr>
          <w:rFonts w:ascii="Arial" w:eastAsia="Arial" w:hAnsi="Arial" w:cs="Arial"/>
        </w:rPr>
        <w:t xml:space="preserve"> </w:t>
      </w:r>
    </w:p>
    <w:p w:rsidR="00FF384B" w:rsidRDefault="003E3BA9">
      <w:pPr>
        <w:spacing w:after="0"/>
        <w:ind w:left="-221" w:right="-648"/>
      </w:pPr>
      <w:r>
        <w:rPr>
          <w:noProof/>
        </w:rPr>
        <mc:AlternateContent>
          <mc:Choice Requires="wpg">
            <w:drawing>
              <wp:inline distT="0" distB="0" distL="0" distR="0">
                <wp:extent cx="10035540" cy="5536438"/>
                <wp:effectExtent l="0" t="0" r="0" b="0"/>
                <wp:docPr id="518865" name="Group 518865"/>
                <wp:cNvGraphicFramePr/>
                <a:graphic xmlns:a="http://schemas.openxmlformats.org/drawingml/2006/main">
                  <a:graphicData uri="http://schemas.microsoft.com/office/word/2010/wordprocessingGroup">
                    <wpg:wgp>
                      <wpg:cNvGrpSpPr/>
                      <wpg:grpSpPr>
                        <a:xfrm>
                          <a:off x="0" y="0"/>
                          <a:ext cx="10035540" cy="5536438"/>
                          <a:chOff x="0" y="0"/>
                          <a:chExt cx="10035540" cy="5536438"/>
                        </a:xfrm>
                      </wpg:grpSpPr>
                      <wps:wsp>
                        <wps:cNvPr id="54491" name="Rectangle 54491"/>
                        <wps:cNvSpPr/>
                        <wps:spPr>
                          <a:xfrm>
                            <a:off x="411480" y="395844"/>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67336" name="Shape 567336"/>
                        <wps:cNvSpPr/>
                        <wps:spPr>
                          <a:xfrm>
                            <a:off x="10032492" y="0"/>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37" name="Shape 567337"/>
                        <wps:cNvSpPr/>
                        <wps:spPr>
                          <a:xfrm>
                            <a:off x="10029444" y="0"/>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00" name="Rectangle 54500"/>
                        <wps:cNvSpPr/>
                        <wps:spPr>
                          <a:xfrm>
                            <a:off x="411480" y="633588"/>
                            <a:ext cx="3048735" cy="207921"/>
                          </a:xfrm>
                          <a:prstGeom prst="rect">
                            <a:avLst/>
                          </a:prstGeom>
                          <a:ln>
                            <a:noFill/>
                          </a:ln>
                        </wps:spPr>
                        <wps:txbx>
                          <w:txbxContent>
                            <w:p w:rsidR="00FF384B" w:rsidRDefault="003E3BA9">
                              <w:r>
                                <w:rPr>
                                  <w:rFonts w:ascii="Arial" w:eastAsia="Arial" w:hAnsi="Arial" w:cs="Arial"/>
                                </w:rPr>
                                <w:t>En Candelaria, a 20 de Abril de 2021</w:t>
                              </w:r>
                            </w:p>
                          </w:txbxContent>
                        </wps:txbx>
                        <wps:bodyPr horzOverflow="overflow" vert="horz" lIns="0" tIns="0" rIns="0" bIns="0" rtlCol="0">
                          <a:noAutofit/>
                        </wps:bodyPr>
                      </wps:wsp>
                      <wps:wsp>
                        <wps:cNvPr id="54501" name="Rectangle 54501"/>
                        <wps:cNvSpPr/>
                        <wps:spPr>
                          <a:xfrm>
                            <a:off x="2702687" y="624688"/>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338" name="Shape 567338"/>
                        <wps:cNvSpPr/>
                        <wps:spPr>
                          <a:xfrm>
                            <a:off x="10032492" y="63093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39" name="Shape 567339"/>
                        <wps:cNvSpPr/>
                        <wps:spPr>
                          <a:xfrm>
                            <a:off x="10029444" y="63093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06" name="Rectangle 54506"/>
                        <wps:cNvSpPr/>
                        <wps:spPr>
                          <a:xfrm>
                            <a:off x="411480" y="870189"/>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67340" name="Shape 567340"/>
                        <wps:cNvSpPr/>
                        <wps:spPr>
                          <a:xfrm>
                            <a:off x="10032492" y="867232"/>
                            <a:ext cx="9144" cy="225857"/>
                          </a:xfrm>
                          <a:custGeom>
                            <a:avLst/>
                            <a:gdLst/>
                            <a:ahLst/>
                            <a:cxnLst/>
                            <a:rect l="0" t="0" r="0" b="0"/>
                            <a:pathLst>
                              <a:path w="9144" h="225857">
                                <a:moveTo>
                                  <a:pt x="0" y="0"/>
                                </a:moveTo>
                                <a:lnTo>
                                  <a:pt x="9144" y="0"/>
                                </a:lnTo>
                                <a:lnTo>
                                  <a:pt x="9144" y="225857"/>
                                </a:lnTo>
                                <a:lnTo>
                                  <a:pt x="0" y="225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41" name="Shape 567341"/>
                        <wps:cNvSpPr/>
                        <wps:spPr>
                          <a:xfrm>
                            <a:off x="10029444" y="867232"/>
                            <a:ext cx="9144" cy="225857"/>
                          </a:xfrm>
                          <a:custGeom>
                            <a:avLst/>
                            <a:gdLst/>
                            <a:ahLst/>
                            <a:cxnLst/>
                            <a:rect l="0" t="0" r="0" b="0"/>
                            <a:pathLst>
                              <a:path w="9144" h="225857">
                                <a:moveTo>
                                  <a:pt x="0" y="0"/>
                                </a:moveTo>
                                <a:lnTo>
                                  <a:pt x="9144" y="0"/>
                                </a:lnTo>
                                <a:lnTo>
                                  <a:pt x="9144" y="225857"/>
                                </a:lnTo>
                                <a:lnTo>
                                  <a:pt x="0" y="2258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11" name="Rectangle 54511"/>
                        <wps:cNvSpPr/>
                        <wps:spPr>
                          <a:xfrm>
                            <a:off x="411480" y="1095741"/>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67342" name="Shape 567342"/>
                        <wps:cNvSpPr/>
                        <wps:spPr>
                          <a:xfrm>
                            <a:off x="10032492" y="1093089"/>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43" name="Shape 567343"/>
                        <wps:cNvSpPr/>
                        <wps:spPr>
                          <a:xfrm>
                            <a:off x="10029444" y="1093089"/>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16" name="Rectangle 54516"/>
                        <wps:cNvSpPr/>
                        <wps:spPr>
                          <a:xfrm>
                            <a:off x="5511674" y="1319769"/>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17" name="Rectangle 54517"/>
                        <wps:cNvSpPr/>
                        <wps:spPr>
                          <a:xfrm>
                            <a:off x="5968874" y="1319769"/>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18" name="Rectangle 54518"/>
                        <wps:cNvSpPr/>
                        <wps:spPr>
                          <a:xfrm>
                            <a:off x="6426074" y="1319769"/>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19" name="Rectangle 54519"/>
                        <wps:cNvSpPr/>
                        <wps:spPr>
                          <a:xfrm>
                            <a:off x="6883654" y="1319769"/>
                            <a:ext cx="3637628" cy="207921"/>
                          </a:xfrm>
                          <a:prstGeom prst="rect">
                            <a:avLst/>
                          </a:prstGeom>
                          <a:ln>
                            <a:noFill/>
                          </a:ln>
                        </wps:spPr>
                        <wps:txbx>
                          <w:txbxContent>
                            <w:p w:rsidR="00FF384B" w:rsidRDefault="003E3BA9">
                              <w:r>
                                <w:rPr>
                                  <w:rFonts w:ascii="Arial" w:eastAsia="Arial" w:hAnsi="Arial" w:cs="Arial"/>
                                </w:rPr>
                                <w:t>Fdo: Lourdes del Carmen Mondéjar Rondón</w:t>
                              </w:r>
                            </w:p>
                          </w:txbxContent>
                        </wps:txbx>
                        <wps:bodyPr horzOverflow="overflow" vert="horz" lIns="0" tIns="0" rIns="0" bIns="0" rtlCol="0">
                          <a:noAutofit/>
                        </wps:bodyPr>
                      </wps:wsp>
                      <wps:wsp>
                        <wps:cNvPr id="54520" name="Rectangle 54520"/>
                        <wps:cNvSpPr/>
                        <wps:spPr>
                          <a:xfrm>
                            <a:off x="9617964" y="1310869"/>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344" name="Shape 567344"/>
                        <wps:cNvSpPr/>
                        <wps:spPr>
                          <a:xfrm>
                            <a:off x="0" y="1873377"/>
                            <a:ext cx="10029444" cy="9144"/>
                          </a:xfrm>
                          <a:custGeom>
                            <a:avLst/>
                            <a:gdLst/>
                            <a:ahLst/>
                            <a:cxnLst/>
                            <a:rect l="0" t="0" r="0" b="0"/>
                            <a:pathLst>
                              <a:path w="10029444" h="9144">
                                <a:moveTo>
                                  <a:pt x="0" y="0"/>
                                </a:moveTo>
                                <a:lnTo>
                                  <a:pt x="10029444" y="0"/>
                                </a:lnTo>
                                <a:lnTo>
                                  <a:pt x="10029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45" name="Shape 567345"/>
                        <wps:cNvSpPr/>
                        <wps:spPr>
                          <a:xfrm>
                            <a:off x="0" y="1870329"/>
                            <a:ext cx="10029444" cy="9144"/>
                          </a:xfrm>
                          <a:custGeom>
                            <a:avLst/>
                            <a:gdLst/>
                            <a:ahLst/>
                            <a:cxnLst/>
                            <a:rect l="0" t="0" r="0" b="0"/>
                            <a:pathLst>
                              <a:path w="10029444" h="9144">
                                <a:moveTo>
                                  <a:pt x="0" y="0"/>
                                </a:moveTo>
                                <a:lnTo>
                                  <a:pt x="10029444" y="0"/>
                                </a:lnTo>
                                <a:lnTo>
                                  <a:pt x="100294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346" name="Shape 567346"/>
                        <wps:cNvSpPr/>
                        <wps:spPr>
                          <a:xfrm>
                            <a:off x="10032492" y="18703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47" name="Shape 567347"/>
                        <wps:cNvSpPr/>
                        <wps:spPr>
                          <a:xfrm>
                            <a:off x="10029444" y="1873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48" name="Shape 567348"/>
                        <wps:cNvSpPr/>
                        <wps:spPr>
                          <a:xfrm>
                            <a:off x="10029444" y="18703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349" name="Shape 567349"/>
                        <wps:cNvSpPr/>
                        <wps:spPr>
                          <a:xfrm>
                            <a:off x="10032492" y="1317117"/>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50" name="Shape 567350"/>
                        <wps:cNvSpPr/>
                        <wps:spPr>
                          <a:xfrm>
                            <a:off x="10029444" y="1317117"/>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32" name="Rectangle 54532"/>
                        <wps:cNvSpPr/>
                        <wps:spPr>
                          <a:xfrm>
                            <a:off x="411480" y="1943085"/>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33" name="Rectangle 54533"/>
                        <wps:cNvSpPr/>
                        <wps:spPr>
                          <a:xfrm>
                            <a:off x="411480" y="2106397"/>
                            <a:ext cx="50673" cy="224380"/>
                          </a:xfrm>
                          <a:prstGeom prst="rect">
                            <a:avLst/>
                          </a:prstGeom>
                          <a:ln>
                            <a:noFill/>
                          </a:ln>
                        </wps:spPr>
                        <wps:txbx>
                          <w:txbxContent>
                            <w:p w:rsidR="00FF384B" w:rsidRDefault="003E3BA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4534" name="Rectangle 54534"/>
                        <wps:cNvSpPr/>
                        <wps:spPr>
                          <a:xfrm>
                            <a:off x="411480" y="2281657"/>
                            <a:ext cx="50673" cy="224380"/>
                          </a:xfrm>
                          <a:prstGeom prst="rect">
                            <a:avLst/>
                          </a:prstGeom>
                          <a:ln>
                            <a:noFill/>
                          </a:ln>
                        </wps:spPr>
                        <wps:txbx>
                          <w:txbxContent>
                            <w:p w:rsidR="00FF384B" w:rsidRDefault="003E3BA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4535" name="Rectangle 54535"/>
                        <wps:cNvSpPr/>
                        <wps:spPr>
                          <a:xfrm>
                            <a:off x="411480" y="2456917"/>
                            <a:ext cx="50673" cy="224380"/>
                          </a:xfrm>
                          <a:prstGeom prst="rect">
                            <a:avLst/>
                          </a:prstGeom>
                          <a:ln>
                            <a:noFill/>
                          </a:ln>
                        </wps:spPr>
                        <wps:txbx>
                          <w:txbxContent>
                            <w:p w:rsidR="00FF384B" w:rsidRDefault="003E3BA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4536" name="Rectangle 54536"/>
                        <wps:cNvSpPr/>
                        <wps:spPr>
                          <a:xfrm>
                            <a:off x="411480" y="2629139"/>
                            <a:ext cx="10275235" cy="207922"/>
                          </a:xfrm>
                          <a:prstGeom prst="rect">
                            <a:avLst/>
                          </a:prstGeom>
                          <a:ln>
                            <a:noFill/>
                          </a:ln>
                        </wps:spPr>
                        <wps:txbx>
                          <w:txbxContent>
                            <w:p w:rsidR="00FF384B" w:rsidRDefault="003E3BA9">
                              <w:r>
                                <w:rPr>
                                  <w:rFonts w:ascii="Arial" w:eastAsia="Arial" w:hAnsi="Arial" w:cs="Arial"/>
                                  <w:b/>
                                </w:rPr>
                                <w:t>DICTAMEN FAVORABLE DE LA COMISIÓN INFORMATIVA DE HACIENDA, RECURSOS HUMANOS Y SERVICIOS G</w:t>
                              </w:r>
                            </w:p>
                          </w:txbxContent>
                        </wps:txbx>
                        <wps:bodyPr horzOverflow="overflow" vert="horz" lIns="0" tIns="0" rIns="0" bIns="0" rtlCol="0">
                          <a:noAutofit/>
                        </wps:bodyPr>
                      </wps:wsp>
                      <wps:wsp>
                        <wps:cNvPr id="54537" name="Rectangle 54537"/>
                        <wps:cNvSpPr/>
                        <wps:spPr>
                          <a:xfrm>
                            <a:off x="8144002" y="2629139"/>
                            <a:ext cx="2010964" cy="207922"/>
                          </a:xfrm>
                          <a:prstGeom prst="rect">
                            <a:avLst/>
                          </a:prstGeom>
                          <a:ln>
                            <a:noFill/>
                          </a:ln>
                        </wps:spPr>
                        <wps:txbx>
                          <w:txbxContent>
                            <w:p w:rsidR="00FF384B" w:rsidRDefault="003E3BA9">
                              <w:r>
                                <w:rPr>
                                  <w:rFonts w:ascii="Arial" w:eastAsia="Arial" w:hAnsi="Arial" w:cs="Arial"/>
                                  <w:b/>
                                </w:rPr>
                                <w:t xml:space="preserve">ENERALES DE 26 DE </w:t>
                              </w:r>
                            </w:p>
                          </w:txbxContent>
                        </wps:txbx>
                        <wps:bodyPr horzOverflow="overflow" vert="horz" lIns="0" tIns="0" rIns="0" bIns="0" rtlCol="0">
                          <a:noAutofit/>
                        </wps:bodyPr>
                      </wps:wsp>
                      <wps:wsp>
                        <wps:cNvPr id="54538" name="Rectangle 54538"/>
                        <wps:cNvSpPr/>
                        <wps:spPr>
                          <a:xfrm>
                            <a:off x="411480" y="2789159"/>
                            <a:ext cx="1441620" cy="207921"/>
                          </a:xfrm>
                          <a:prstGeom prst="rect">
                            <a:avLst/>
                          </a:prstGeom>
                          <a:ln>
                            <a:noFill/>
                          </a:ln>
                        </wps:spPr>
                        <wps:txbx>
                          <w:txbxContent>
                            <w:p w:rsidR="00FF384B" w:rsidRDefault="003E3BA9">
                              <w:r>
                                <w:rPr>
                                  <w:rFonts w:ascii="Arial" w:eastAsia="Arial" w:hAnsi="Arial" w:cs="Arial"/>
                                  <w:b/>
                                </w:rPr>
                                <w:t xml:space="preserve">ABRIL DE 2021. </w:t>
                              </w:r>
                            </w:p>
                          </w:txbxContent>
                        </wps:txbx>
                        <wps:bodyPr horzOverflow="overflow" vert="horz" lIns="0" tIns="0" rIns="0" bIns="0" rtlCol="0">
                          <a:noAutofit/>
                        </wps:bodyPr>
                      </wps:wsp>
                      <wps:wsp>
                        <wps:cNvPr id="54539" name="Rectangle 54539"/>
                        <wps:cNvSpPr/>
                        <wps:spPr>
                          <a:xfrm>
                            <a:off x="1496822" y="2789159"/>
                            <a:ext cx="51809" cy="207921"/>
                          </a:xfrm>
                          <a:prstGeom prst="rect">
                            <a:avLst/>
                          </a:prstGeom>
                          <a:ln>
                            <a:noFill/>
                          </a:ln>
                        </wps:spPr>
                        <wps:txbx>
                          <w:txbxContent>
                            <w:p w:rsidR="00FF384B" w:rsidRDefault="003E3BA9">
                              <w:r>
                                <w:rPr>
                                  <w:rFonts w:ascii="Arial" w:eastAsia="Arial" w:hAnsi="Arial" w:cs="Arial"/>
                                  <w:b/>
                                </w:rPr>
                                <w:t xml:space="preserve"> </w:t>
                              </w:r>
                            </w:p>
                          </w:txbxContent>
                        </wps:txbx>
                        <wps:bodyPr horzOverflow="overflow" vert="horz" lIns="0" tIns="0" rIns="0" bIns="0" rtlCol="0">
                          <a:noAutofit/>
                        </wps:bodyPr>
                      </wps:wsp>
                      <wps:wsp>
                        <wps:cNvPr id="54540" name="Rectangle 54540"/>
                        <wps:cNvSpPr/>
                        <wps:spPr>
                          <a:xfrm>
                            <a:off x="411480" y="2949179"/>
                            <a:ext cx="51809" cy="207921"/>
                          </a:xfrm>
                          <a:prstGeom prst="rect">
                            <a:avLst/>
                          </a:prstGeom>
                          <a:ln>
                            <a:noFill/>
                          </a:ln>
                        </wps:spPr>
                        <wps:txbx>
                          <w:txbxContent>
                            <w:p w:rsidR="00FF384B" w:rsidRDefault="003E3BA9">
                              <w:r>
                                <w:rPr>
                                  <w:rFonts w:ascii="Arial" w:eastAsia="Arial" w:hAnsi="Arial" w:cs="Arial"/>
                                  <w:b/>
                                </w:rPr>
                                <w:t xml:space="preserve"> </w:t>
                              </w:r>
                            </w:p>
                          </w:txbxContent>
                        </wps:txbx>
                        <wps:bodyPr horzOverflow="overflow" vert="horz" lIns="0" tIns="0" rIns="0" bIns="0" rtlCol="0">
                          <a:noAutofit/>
                        </wps:bodyPr>
                      </wps:wsp>
                      <wps:wsp>
                        <wps:cNvPr id="54541" name="Rectangle 54541"/>
                        <wps:cNvSpPr/>
                        <wps:spPr>
                          <a:xfrm>
                            <a:off x="411480" y="3112247"/>
                            <a:ext cx="1342228" cy="207921"/>
                          </a:xfrm>
                          <a:prstGeom prst="rect">
                            <a:avLst/>
                          </a:prstGeom>
                          <a:ln>
                            <a:noFill/>
                          </a:ln>
                        </wps:spPr>
                        <wps:txbx>
                          <w:txbxContent>
                            <w:p w:rsidR="00FF384B" w:rsidRDefault="003E3BA9">
                              <w:r>
                                <w:rPr>
                                  <w:rFonts w:ascii="Arial" w:eastAsia="Arial" w:hAnsi="Arial" w:cs="Arial"/>
                                </w:rPr>
                                <w:t>Votos a favor: 1.</w:t>
                              </w:r>
                            </w:p>
                          </w:txbxContent>
                        </wps:txbx>
                        <wps:bodyPr horzOverflow="overflow" vert="horz" lIns="0" tIns="0" rIns="0" bIns="0" rtlCol="0">
                          <a:noAutofit/>
                        </wps:bodyPr>
                      </wps:wsp>
                      <wps:wsp>
                        <wps:cNvPr id="54542" name="Rectangle 54542"/>
                        <wps:cNvSpPr/>
                        <wps:spPr>
                          <a:xfrm>
                            <a:off x="1420622" y="3112247"/>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06424" name="Rectangle 506424"/>
                        <wps:cNvSpPr/>
                        <wps:spPr>
                          <a:xfrm>
                            <a:off x="411480" y="3272267"/>
                            <a:ext cx="103709" cy="207921"/>
                          </a:xfrm>
                          <a:prstGeom prst="rect">
                            <a:avLst/>
                          </a:prstGeom>
                          <a:ln>
                            <a:noFill/>
                          </a:ln>
                        </wps:spPr>
                        <wps:txbx>
                          <w:txbxContent>
                            <w:p w:rsidR="00FF384B" w:rsidRDefault="003E3BA9">
                              <w:r>
                                <w:rPr>
                                  <w:rFonts w:ascii="Arial" w:eastAsia="Arial" w:hAnsi="Arial" w:cs="Arial"/>
                                </w:rPr>
                                <w:t>1</w:t>
                              </w:r>
                            </w:p>
                          </w:txbxContent>
                        </wps:txbx>
                        <wps:bodyPr horzOverflow="overflow" vert="horz" lIns="0" tIns="0" rIns="0" bIns="0" rtlCol="0">
                          <a:noAutofit/>
                        </wps:bodyPr>
                      </wps:wsp>
                      <wps:wsp>
                        <wps:cNvPr id="506425" name="Rectangle 506425"/>
                        <wps:cNvSpPr/>
                        <wps:spPr>
                          <a:xfrm>
                            <a:off x="489436" y="3272267"/>
                            <a:ext cx="5917805" cy="207921"/>
                          </a:xfrm>
                          <a:prstGeom prst="rect">
                            <a:avLst/>
                          </a:prstGeom>
                          <a:ln>
                            <a:noFill/>
                          </a:ln>
                        </wps:spPr>
                        <wps:txbx>
                          <w:txbxContent>
                            <w:p w:rsidR="00FF384B" w:rsidRDefault="003E3BA9">
                              <w:r>
                                <w:rPr>
                                  <w:rFonts w:ascii="Arial" w:eastAsia="Arial" w:hAnsi="Arial" w:cs="Arial"/>
                                </w:rPr>
                                <w:t xml:space="preserve"> de la concejal del Grupo Mixto: Lourdes del Carmen Mondéjar Rondón.</w:t>
                              </w:r>
                            </w:p>
                          </w:txbxContent>
                        </wps:txbx>
                        <wps:bodyPr horzOverflow="overflow" vert="horz" lIns="0" tIns="0" rIns="0" bIns="0" rtlCol="0">
                          <a:noAutofit/>
                        </wps:bodyPr>
                      </wps:wsp>
                      <wps:wsp>
                        <wps:cNvPr id="54544" name="Rectangle 54544"/>
                        <wps:cNvSpPr/>
                        <wps:spPr>
                          <a:xfrm>
                            <a:off x="4940174" y="3272267"/>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45" name="Rectangle 54545"/>
                        <wps:cNvSpPr/>
                        <wps:spPr>
                          <a:xfrm>
                            <a:off x="411480" y="3433811"/>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46" name="Rectangle 54546"/>
                        <wps:cNvSpPr/>
                        <wps:spPr>
                          <a:xfrm>
                            <a:off x="411480" y="3593831"/>
                            <a:ext cx="1549217" cy="207921"/>
                          </a:xfrm>
                          <a:prstGeom prst="rect">
                            <a:avLst/>
                          </a:prstGeom>
                          <a:ln>
                            <a:noFill/>
                          </a:ln>
                        </wps:spPr>
                        <wps:txbx>
                          <w:txbxContent>
                            <w:p w:rsidR="00FF384B" w:rsidRDefault="003E3BA9">
                              <w:r>
                                <w:rPr>
                                  <w:rFonts w:ascii="Arial" w:eastAsia="Arial" w:hAnsi="Arial" w:cs="Arial"/>
                                </w:rPr>
                                <w:t>Votos en contra: 0.</w:t>
                              </w:r>
                            </w:p>
                          </w:txbxContent>
                        </wps:txbx>
                        <wps:bodyPr horzOverflow="overflow" vert="horz" lIns="0" tIns="0" rIns="0" bIns="0" rtlCol="0">
                          <a:noAutofit/>
                        </wps:bodyPr>
                      </wps:wsp>
                      <wps:wsp>
                        <wps:cNvPr id="54547" name="Rectangle 54547"/>
                        <wps:cNvSpPr/>
                        <wps:spPr>
                          <a:xfrm>
                            <a:off x="1576070" y="3593831"/>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48" name="Rectangle 54548"/>
                        <wps:cNvSpPr/>
                        <wps:spPr>
                          <a:xfrm>
                            <a:off x="411480" y="3753851"/>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49" name="Rectangle 54549"/>
                        <wps:cNvSpPr/>
                        <wps:spPr>
                          <a:xfrm>
                            <a:off x="411480" y="3915395"/>
                            <a:ext cx="1375607" cy="207921"/>
                          </a:xfrm>
                          <a:prstGeom prst="rect">
                            <a:avLst/>
                          </a:prstGeom>
                          <a:ln>
                            <a:noFill/>
                          </a:ln>
                        </wps:spPr>
                        <wps:txbx>
                          <w:txbxContent>
                            <w:p w:rsidR="00FF384B" w:rsidRDefault="003E3BA9">
                              <w:r>
                                <w:rPr>
                                  <w:rFonts w:ascii="Arial" w:eastAsia="Arial" w:hAnsi="Arial" w:cs="Arial"/>
                                </w:rPr>
                                <w:t>Abstenciones: 6.</w:t>
                              </w:r>
                            </w:p>
                          </w:txbxContent>
                        </wps:txbx>
                        <wps:bodyPr horzOverflow="overflow" vert="horz" lIns="0" tIns="0" rIns="0" bIns="0" rtlCol="0">
                          <a:noAutofit/>
                        </wps:bodyPr>
                      </wps:wsp>
                      <wps:wsp>
                        <wps:cNvPr id="54550" name="Rectangle 54550"/>
                        <wps:cNvSpPr/>
                        <wps:spPr>
                          <a:xfrm>
                            <a:off x="1445006" y="3915395"/>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06426" name="Rectangle 506426"/>
                        <wps:cNvSpPr/>
                        <wps:spPr>
                          <a:xfrm>
                            <a:off x="411480" y="4075415"/>
                            <a:ext cx="103699" cy="207921"/>
                          </a:xfrm>
                          <a:prstGeom prst="rect">
                            <a:avLst/>
                          </a:prstGeom>
                          <a:ln>
                            <a:noFill/>
                          </a:ln>
                        </wps:spPr>
                        <wps:txbx>
                          <w:txbxContent>
                            <w:p w:rsidR="00FF384B" w:rsidRDefault="003E3BA9">
                              <w:r>
                                <w:rPr>
                                  <w:rFonts w:ascii="Arial" w:eastAsia="Arial" w:hAnsi="Arial" w:cs="Arial"/>
                                </w:rPr>
                                <w:t>4</w:t>
                              </w:r>
                            </w:p>
                          </w:txbxContent>
                        </wps:txbx>
                        <wps:bodyPr horzOverflow="overflow" vert="horz" lIns="0" tIns="0" rIns="0" bIns="0" rtlCol="0">
                          <a:noAutofit/>
                        </wps:bodyPr>
                      </wps:wsp>
                      <wps:wsp>
                        <wps:cNvPr id="506427" name="Rectangle 506427"/>
                        <wps:cNvSpPr/>
                        <wps:spPr>
                          <a:xfrm>
                            <a:off x="489449" y="4075415"/>
                            <a:ext cx="8295396" cy="207921"/>
                          </a:xfrm>
                          <a:prstGeom prst="rect">
                            <a:avLst/>
                          </a:prstGeom>
                          <a:ln>
                            <a:noFill/>
                          </a:ln>
                        </wps:spPr>
                        <wps:txbx>
                          <w:txbxContent>
                            <w:p w:rsidR="00FF384B" w:rsidRDefault="003E3BA9">
                              <w:r>
                                <w:rPr>
                                  <w:rFonts w:ascii="Arial" w:eastAsia="Arial" w:hAnsi="Arial" w:cs="Arial"/>
                                </w:rPr>
                                <w:t xml:space="preserve"> concejales del Grupo Socialista: Don Airam Pérez Chinea, Don José Francisco Pinto Ramos, Don</w:t>
                              </w:r>
                            </w:p>
                          </w:txbxContent>
                        </wps:txbx>
                        <wps:bodyPr horzOverflow="overflow" vert="horz" lIns="0" tIns="0" rIns="0" bIns="0" rtlCol="0">
                          <a:noAutofit/>
                        </wps:bodyPr>
                      </wps:wsp>
                      <wps:wsp>
                        <wps:cNvPr id="54552" name="Rectangle 54552"/>
                        <wps:cNvSpPr/>
                        <wps:spPr>
                          <a:xfrm>
                            <a:off x="6729730" y="4075415"/>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4553" name="Rectangle 54553"/>
                        <wps:cNvSpPr/>
                        <wps:spPr>
                          <a:xfrm>
                            <a:off x="6780022" y="4075415"/>
                            <a:ext cx="3824263" cy="207921"/>
                          </a:xfrm>
                          <a:prstGeom prst="rect">
                            <a:avLst/>
                          </a:prstGeom>
                          <a:ln>
                            <a:noFill/>
                          </a:ln>
                        </wps:spPr>
                        <wps:txbx>
                          <w:txbxContent>
                            <w:p w:rsidR="00FF384B" w:rsidRDefault="003E3BA9">
                              <w:r>
                                <w:rPr>
                                  <w:rFonts w:ascii="Arial" w:eastAsia="Arial" w:hAnsi="Arial" w:cs="Arial"/>
                                </w:rPr>
                                <w:t xml:space="preserve">Olegario Francisco Alonso Bello y Don Jorge </w:t>
                              </w:r>
                            </w:p>
                          </w:txbxContent>
                        </wps:txbx>
                        <wps:bodyPr horzOverflow="overflow" vert="horz" lIns="0" tIns="0" rIns="0" bIns="0" rtlCol="0">
                          <a:noAutofit/>
                        </wps:bodyPr>
                      </wps:wsp>
                      <wps:wsp>
                        <wps:cNvPr id="54554" name="Rectangle 54554"/>
                        <wps:cNvSpPr/>
                        <wps:spPr>
                          <a:xfrm>
                            <a:off x="411480" y="4237340"/>
                            <a:ext cx="1281809" cy="207921"/>
                          </a:xfrm>
                          <a:prstGeom prst="rect">
                            <a:avLst/>
                          </a:prstGeom>
                          <a:ln>
                            <a:noFill/>
                          </a:ln>
                        </wps:spPr>
                        <wps:txbx>
                          <w:txbxContent>
                            <w:p w:rsidR="00FF384B" w:rsidRDefault="003E3BA9">
                              <w:r>
                                <w:rPr>
                                  <w:rFonts w:ascii="Arial" w:eastAsia="Arial" w:hAnsi="Arial" w:cs="Arial"/>
                                </w:rPr>
                                <w:t>Baute Delgado.</w:t>
                              </w:r>
                            </w:p>
                          </w:txbxContent>
                        </wps:txbx>
                        <wps:bodyPr horzOverflow="overflow" vert="horz" lIns="0" tIns="0" rIns="0" bIns="0" rtlCol="0">
                          <a:noAutofit/>
                        </wps:bodyPr>
                      </wps:wsp>
                      <wps:wsp>
                        <wps:cNvPr id="54555" name="Rectangle 54555"/>
                        <wps:cNvSpPr/>
                        <wps:spPr>
                          <a:xfrm>
                            <a:off x="1374902" y="4237340"/>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06429" name="Rectangle 506429"/>
                        <wps:cNvSpPr/>
                        <wps:spPr>
                          <a:xfrm>
                            <a:off x="411480" y="4397360"/>
                            <a:ext cx="103709" cy="207921"/>
                          </a:xfrm>
                          <a:prstGeom prst="rect">
                            <a:avLst/>
                          </a:prstGeom>
                          <a:ln>
                            <a:noFill/>
                          </a:ln>
                        </wps:spPr>
                        <wps:txbx>
                          <w:txbxContent>
                            <w:p w:rsidR="00FF384B" w:rsidRDefault="003E3BA9">
                              <w:r>
                                <w:rPr>
                                  <w:rFonts w:ascii="Arial" w:eastAsia="Arial" w:hAnsi="Arial" w:cs="Arial"/>
                                </w:rPr>
                                <w:t>1</w:t>
                              </w:r>
                            </w:p>
                          </w:txbxContent>
                        </wps:txbx>
                        <wps:bodyPr horzOverflow="overflow" vert="horz" lIns="0" tIns="0" rIns="0" bIns="0" rtlCol="0">
                          <a:noAutofit/>
                        </wps:bodyPr>
                      </wps:wsp>
                      <wps:wsp>
                        <wps:cNvPr id="506432" name="Rectangle 506432"/>
                        <wps:cNvSpPr/>
                        <wps:spPr>
                          <a:xfrm>
                            <a:off x="489436" y="4397360"/>
                            <a:ext cx="5154557" cy="207921"/>
                          </a:xfrm>
                          <a:prstGeom prst="rect">
                            <a:avLst/>
                          </a:prstGeom>
                          <a:ln>
                            <a:noFill/>
                          </a:ln>
                        </wps:spPr>
                        <wps:txbx>
                          <w:txbxContent>
                            <w:p w:rsidR="00FF384B" w:rsidRDefault="003E3BA9">
                              <w:r>
                                <w:rPr>
                                  <w:rFonts w:ascii="Arial" w:eastAsia="Arial" w:hAnsi="Arial" w:cs="Arial"/>
                                </w:rPr>
                                <w:t xml:space="preserve"> de la concejal del Grupo Popular, Doña Raquel Martín Castro.</w:t>
                              </w:r>
                            </w:p>
                          </w:txbxContent>
                        </wps:txbx>
                        <wps:bodyPr horzOverflow="overflow" vert="horz" lIns="0" tIns="0" rIns="0" bIns="0" rtlCol="0">
                          <a:noAutofit/>
                        </wps:bodyPr>
                      </wps:wsp>
                      <wps:wsp>
                        <wps:cNvPr id="54557" name="Rectangle 54557"/>
                        <wps:cNvSpPr/>
                        <wps:spPr>
                          <a:xfrm>
                            <a:off x="4365371" y="4397360"/>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wps:wsp>
                        <wps:cNvPr id="506433" name="Rectangle 506433"/>
                        <wps:cNvSpPr/>
                        <wps:spPr>
                          <a:xfrm>
                            <a:off x="411480" y="4557329"/>
                            <a:ext cx="103709" cy="207922"/>
                          </a:xfrm>
                          <a:prstGeom prst="rect">
                            <a:avLst/>
                          </a:prstGeom>
                          <a:ln>
                            <a:noFill/>
                          </a:ln>
                        </wps:spPr>
                        <wps:txbx>
                          <w:txbxContent>
                            <w:p w:rsidR="00FF384B" w:rsidRDefault="003E3BA9">
                              <w:r>
                                <w:rPr>
                                  <w:rFonts w:ascii="Arial" w:eastAsia="Arial" w:hAnsi="Arial" w:cs="Arial"/>
                                </w:rPr>
                                <w:t>1</w:t>
                              </w:r>
                            </w:p>
                          </w:txbxContent>
                        </wps:txbx>
                        <wps:bodyPr horzOverflow="overflow" vert="horz" lIns="0" tIns="0" rIns="0" bIns="0" rtlCol="0">
                          <a:noAutofit/>
                        </wps:bodyPr>
                      </wps:wsp>
                      <wps:wsp>
                        <wps:cNvPr id="506435" name="Rectangle 506435"/>
                        <wps:cNvSpPr/>
                        <wps:spPr>
                          <a:xfrm>
                            <a:off x="489436" y="4557329"/>
                            <a:ext cx="4833630" cy="207922"/>
                          </a:xfrm>
                          <a:prstGeom prst="rect">
                            <a:avLst/>
                          </a:prstGeom>
                          <a:ln>
                            <a:noFill/>
                          </a:ln>
                        </wps:spPr>
                        <wps:txbx>
                          <w:txbxContent>
                            <w:p w:rsidR="00FF384B" w:rsidRDefault="003E3BA9">
                              <w:r>
                                <w:rPr>
                                  <w:rFonts w:ascii="Arial" w:eastAsia="Arial" w:hAnsi="Arial" w:cs="Arial"/>
                                </w:rPr>
                                <w:t xml:space="preserve"> de la concejal del Grupo Mixto, Doña Ángela Cruz Perera.</w:t>
                              </w:r>
                            </w:p>
                          </w:txbxContent>
                        </wps:txbx>
                        <wps:bodyPr horzOverflow="overflow" vert="horz" lIns="0" tIns="0" rIns="0" bIns="0" rtlCol="0">
                          <a:noAutofit/>
                        </wps:bodyPr>
                      </wps:wsp>
                      <wps:wsp>
                        <wps:cNvPr id="54559" name="Rectangle 54559"/>
                        <wps:cNvSpPr/>
                        <wps:spPr>
                          <a:xfrm>
                            <a:off x="4124579" y="4557329"/>
                            <a:ext cx="51809" cy="207922"/>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4561" name="Picture 54561"/>
                          <pic:cNvPicPr/>
                        </pic:nvPicPr>
                        <pic:blipFill>
                          <a:blip r:embed="rId62"/>
                          <a:stretch>
                            <a:fillRect/>
                          </a:stretch>
                        </pic:blipFill>
                        <pic:spPr>
                          <a:xfrm rot="-5399999">
                            <a:off x="5372101" y="3459988"/>
                            <a:ext cx="3797299" cy="355600"/>
                          </a:xfrm>
                          <a:prstGeom prst="rect">
                            <a:avLst/>
                          </a:prstGeom>
                        </pic:spPr>
                      </pic:pic>
                      <wps:wsp>
                        <wps:cNvPr id="54562" name="Rectangle 54562"/>
                        <wps:cNvSpPr/>
                        <wps:spPr>
                          <a:xfrm rot="-5399999">
                            <a:off x="5144432" y="3111878"/>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563" name="Rectangle 54563"/>
                        <wps:cNvSpPr/>
                        <wps:spPr>
                          <a:xfrm rot="-5399999">
                            <a:off x="5357195" y="3248442"/>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301 de 353 </w:t>
                              </w:r>
                            </w:p>
                          </w:txbxContent>
                        </wps:txbx>
                        <wps:bodyPr horzOverflow="overflow" vert="horz" lIns="0" tIns="0" rIns="0" bIns="0" rtlCol="0">
                          <a:noAutofit/>
                        </wps:bodyPr>
                      </wps:wsp>
                    </wpg:wgp>
                  </a:graphicData>
                </a:graphic>
              </wp:inline>
            </w:drawing>
          </mc:Choice>
          <mc:Fallback xmlns:a="http://schemas.openxmlformats.org/drawingml/2006/main">
            <w:pict>
              <v:group id="Group 518865" style="width:790.2pt;height:435.94pt;mso-position-horizontal-relative:char;mso-position-vertical-relative:line" coordsize="100355,55364">
                <v:rect id="Rectangle 54491" style="position:absolute;width:518;height:2079;left:4114;top:3958;" filled="f" stroked="f">
                  <v:textbox inset="0,0,0,0">
                    <w:txbxContent>
                      <w:p>
                        <w:pPr>
                          <w:spacing w:before="0" w:after="160" w:line="259" w:lineRule="auto"/>
                        </w:pPr>
                        <w:r>
                          <w:rPr>
                            <w:rFonts w:cs="Arial" w:hAnsi="Arial" w:eastAsia="Arial" w:ascii="Arial"/>
                            <w:sz w:val="22"/>
                          </w:rPr>
                          <w:t xml:space="preserve"> </w:t>
                        </w:r>
                      </w:p>
                    </w:txbxContent>
                  </v:textbox>
                </v:rect>
                <v:shape id="Shape 567351" style="position:absolute;width:91;height:6309;left:100324;top:0;" coordsize="9144,630936" path="m0,0l9144,0l9144,630936l0,630936l0,0">
                  <v:stroke weight="0pt" endcap="flat" joinstyle="miter" miterlimit="10" on="false" color="#000000" opacity="0"/>
                  <v:fill on="true" color="#000000"/>
                </v:shape>
                <v:shape id="Shape 567352" style="position:absolute;width:91;height:6309;left:100294;top:0;" coordsize="9144,630936" path="m0,0l9144,0l9144,630936l0,630936l0,0">
                  <v:stroke weight="0pt" endcap="flat" joinstyle="miter" miterlimit="10" on="false" color="#000000" opacity="0"/>
                  <v:fill on="true" color="#ffffff"/>
                </v:shape>
                <v:rect id="Rectangle 54500" style="position:absolute;width:30487;height:2079;left:4114;top:6335;" filled="f" stroked="f">
                  <v:textbox inset="0,0,0,0">
                    <w:txbxContent>
                      <w:p>
                        <w:pPr>
                          <w:spacing w:before="0" w:after="160" w:line="259" w:lineRule="auto"/>
                        </w:pPr>
                        <w:r>
                          <w:rPr>
                            <w:rFonts w:cs="Arial" w:hAnsi="Arial" w:eastAsia="Arial" w:ascii="Arial"/>
                            <w:sz w:val="22"/>
                          </w:rPr>
                          <w:t xml:space="preserve">En Candelaria, a 20 de Abril de 2021</w:t>
                        </w:r>
                      </w:p>
                    </w:txbxContent>
                  </v:textbox>
                </v:rect>
                <v:rect id="Rectangle 54501" style="position:absolute;width:506;height:2243;left:27026;top:624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567353" style="position:absolute;width:91;height:2362;left:100324;top:6309;" coordsize="9144,236220" path="m0,0l9144,0l9144,236220l0,236220l0,0">
                  <v:stroke weight="0pt" endcap="flat" joinstyle="miter" miterlimit="10" on="false" color="#000000" opacity="0"/>
                  <v:fill on="true" color="#000000"/>
                </v:shape>
                <v:shape id="Shape 567354" style="position:absolute;width:91;height:2362;left:100294;top:6309;" coordsize="9144,236220" path="m0,0l9144,0l9144,236220l0,236220l0,0">
                  <v:stroke weight="0pt" endcap="flat" joinstyle="miter" miterlimit="10" on="false" color="#000000" opacity="0"/>
                  <v:fill on="true" color="#ffffff"/>
                </v:shape>
                <v:rect id="Rectangle 54506" style="position:absolute;width:518;height:2079;left:4114;top:8701;" filled="f" stroked="f">
                  <v:textbox inset="0,0,0,0">
                    <w:txbxContent>
                      <w:p>
                        <w:pPr>
                          <w:spacing w:before="0" w:after="160" w:line="259" w:lineRule="auto"/>
                        </w:pPr>
                        <w:r>
                          <w:rPr>
                            <w:rFonts w:cs="Arial" w:hAnsi="Arial" w:eastAsia="Arial" w:ascii="Arial"/>
                            <w:sz w:val="22"/>
                          </w:rPr>
                          <w:t xml:space="preserve"> </w:t>
                        </w:r>
                      </w:p>
                    </w:txbxContent>
                  </v:textbox>
                </v:rect>
                <v:shape id="Shape 567355" style="position:absolute;width:91;height:2258;left:100324;top:8672;" coordsize="9144,225857" path="m0,0l9144,0l9144,225857l0,225857l0,0">
                  <v:stroke weight="0pt" endcap="flat" joinstyle="miter" miterlimit="10" on="false" color="#000000" opacity="0"/>
                  <v:fill on="true" color="#000000"/>
                </v:shape>
                <v:shape id="Shape 567356" style="position:absolute;width:91;height:2258;left:100294;top:8672;" coordsize="9144,225857" path="m0,0l9144,0l9144,225857l0,225857l0,0">
                  <v:stroke weight="0pt" endcap="flat" joinstyle="miter" miterlimit="10" on="false" color="#000000" opacity="0"/>
                  <v:fill on="true" color="#ffffff"/>
                </v:shape>
                <v:rect id="Rectangle 54511" style="position:absolute;width:518;height:2079;left:4114;top:10957;" filled="f" stroked="f">
                  <v:textbox inset="0,0,0,0">
                    <w:txbxContent>
                      <w:p>
                        <w:pPr>
                          <w:spacing w:before="0" w:after="160" w:line="259" w:lineRule="auto"/>
                        </w:pPr>
                        <w:r>
                          <w:rPr>
                            <w:rFonts w:cs="Arial" w:hAnsi="Arial" w:eastAsia="Arial" w:ascii="Arial"/>
                            <w:sz w:val="22"/>
                          </w:rPr>
                          <w:t xml:space="preserve"> </w:t>
                        </w:r>
                      </w:p>
                    </w:txbxContent>
                  </v:textbox>
                </v:rect>
                <v:shape id="Shape 567357" style="position:absolute;width:91;height:2240;left:100324;top:10930;" coordsize="9144,224028" path="m0,0l9144,0l9144,224028l0,224028l0,0">
                  <v:stroke weight="0pt" endcap="flat" joinstyle="miter" miterlimit="10" on="false" color="#000000" opacity="0"/>
                  <v:fill on="true" color="#000000"/>
                </v:shape>
                <v:shape id="Shape 567358" style="position:absolute;width:91;height:2240;left:100294;top:10930;" coordsize="9144,224028" path="m0,0l9144,0l9144,224028l0,224028l0,0">
                  <v:stroke weight="0pt" endcap="flat" joinstyle="miter" miterlimit="10" on="false" color="#000000" opacity="0"/>
                  <v:fill on="true" color="#ffffff"/>
                </v:shape>
                <v:rect id="Rectangle 54516" style="position:absolute;width:518;height:2079;left:55116;top:13197;" filled="f" stroked="f">
                  <v:textbox inset="0,0,0,0">
                    <w:txbxContent>
                      <w:p>
                        <w:pPr>
                          <w:spacing w:before="0" w:after="160" w:line="259" w:lineRule="auto"/>
                        </w:pPr>
                        <w:r>
                          <w:rPr>
                            <w:rFonts w:cs="Arial" w:hAnsi="Arial" w:eastAsia="Arial" w:ascii="Arial"/>
                            <w:sz w:val="22"/>
                          </w:rPr>
                          <w:t xml:space="preserve"> </w:t>
                        </w:r>
                      </w:p>
                    </w:txbxContent>
                  </v:textbox>
                </v:rect>
                <v:rect id="Rectangle 54517" style="position:absolute;width:518;height:2079;left:59688;top:13197;" filled="f" stroked="f">
                  <v:textbox inset="0,0,0,0">
                    <w:txbxContent>
                      <w:p>
                        <w:pPr>
                          <w:spacing w:before="0" w:after="160" w:line="259" w:lineRule="auto"/>
                        </w:pPr>
                        <w:r>
                          <w:rPr>
                            <w:rFonts w:cs="Arial" w:hAnsi="Arial" w:eastAsia="Arial" w:ascii="Arial"/>
                            <w:sz w:val="22"/>
                          </w:rPr>
                          <w:t xml:space="preserve"> </w:t>
                        </w:r>
                      </w:p>
                    </w:txbxContent>
                  </v:textbox>
                </v:rect>
                <v:rect id="Rectangle 54518" style="position:absolute;width:518;height:2079;left:64260;top:13197;" filled="f" stroked="f">
                  <v:textbox inset="0,0,0,0">
                    <w:txbxContent>
                      <w:p>
                        <w:pPr>
                          <w:spacing w:before="0" w:after="160" w:line="259" w:lineRule="auto"/>
                        </w:pPr>
                        <w:r>
                          <w:rPr>
                            <w:rFonts w:cs="Arial" w:hAnsi="Arial" w:eastAsia="Arial" w:ascii="Arial"/>
                            <w:sz w:val="22"/>
                          </w:rPr>
                          <w:t xml:space="preserve"> </w:t>
                        </w:r>
                      </w:p>
                    </w:txbxContent>
                  </v:textbox>
                </v:rect>
                <v:rect id="Rectangle 54519" style="position:absolute;width:36376;height:2079;left:68836;top:13197;" filled="f" stroked="f">
                  <v:textbox inset="0,0,0,0">
                    <w:txbxContent>
                      <w:p>
                        <w:pPr>
                          <w:spacing w:before="0" w:after="160" w:line="259" w:lineRule="auto"/>
                        </w:pPr>
                        <w:r>
                          <w:rPr>
                            <w:rFonts w:cs="Arial" w:hAnsi="Arial" w:eastAsia="Arial" w:ascii="Arial"/>
                            <w:sz w:val="22"/>
                          </w:rPr>
                          <w:t xml:space="preserve">Fdo: Lourdes del Carmen Mondéjar Rondón</w:t>
                        </w:r>
                      </w:p>
                    </w:txbxContent>
                  </v:textbox>
                </v:rect>
                <v:rect id="Rectangle 54520" style="position:absolute;width:506;height:2243;left:96179;top:131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567359" style="position:absolute;width:100294;height:91;left:0;top:18733;" coordsize="10029444,9144" path="m0,0l10029444,0l10029444,9144l0,9144l0,0">
                  <v:stroke weight="0pt" endcap="flat" joinstyle="miter" miterlimit="10" on="false" color="#000000" opacity="0"/>
                  <v:fill on="true" color="#000000"/>
                </v:shape>
                <v:shape id="Shape 567360" style="position:absolute;width:100294;height:91;left:0;top:18703;" coordsize="10029444,9144" path="m0,0l10029444,0l10029444,9144l0,9144l0,0">
                  <v:stroke weight="0pt" endcap="flat" joinstyle="miter" miterlimit="10" on="false" color="#000000" opacity="0"/>
                  <v:fill on="true" color="#ffffff"/>
                </v:shape>
                <v:shape id="Shape 567361" style="position:absolute;width:91;height:91;left:100324;top:18703;" coordsize="9144,9144" path="m0,0l9144,0l9144,9144l0,9144l0,0">
                  <v:stroke weight="0pt" endcap="flat" joinstyle="miter" miterlimit="10" on="false" color="#000000" opacity="0"/>
                  <v:fill on="true" color="#000000"/>
                </v:shape>
                <v:shape id="Shape 567362" style="position:absolute;width:91;height:91;left:100294;top:18733;" coordsize="9144,9144" path="m0,0l9144,0l9144,9144l0,9144l0,0">
                  <v:stroke weight="0pt" endcap="flat" joinstyle="miter" miterlimit="10" on="false" color="#000000" opacity="0"/>
                  <v:fill on="true" color="#000000"/>
                </v:shape>
                <v:shape id="Shape 567363" style="position:absolute;width:91;height:91;left:100294;top:18703;" coordsize="9144,9144" path="m0,0l9144,0l9144,9144l0,9144l0,0">
                  <v:stroke weight="0pt" endcap="flat" joinstyle="miter" miterlimit="10" on="false" color="#000000" opacity="0"/>
                  <v:fill on="true" color="#ffffff"/>
                </v:shape>
                <v:shape id="Shape 567364" style="position:absolute;width:91;height:5532;left:100324;top:13171;" coordsize="9144,553212" path="m0,0l9144,0l9144,553212l0,553212l0,0">
                  <v:stroke weight="0pt" endcap="flat" joinstyle="miter" miterlimit="10" on="false" color="#000000" opacity="0"/>
                  <v:fill on="true" color="#000000"/>
                </v:shape>
                <v:shape id="Shape 567365" style="position:absolute;width:91;height:5532;left:100294;top:13171;" coordsize="9144,553212" path="m0,0l9144,0l9144,553212l0,553212l0,0">
                  <v:stroke weight="0pt" endcap="flat" joinstyle="miter" miterlimit="10" on="false" color="#000000" opacity="0"/>
                  <v:fill on="true" color="#ffffff"/>
                </v:shape>
                <v:rect id="Rectangle 54532" style="position:absolute;width:518;height:2079;left:4114;top:19430;" filled="f" stroked="f">
                  <v:textbox inset="0,0,0,0">
                    <w:txbxContent>
                      <w:p>
                        <w:pPr>
                          <w:spacing w:before="0" w:after="160" w:line="259" w:lineRule="auto"/>
                        </w:pPr>
                        <w:r>
                          <w:rPr>
                            <w:rFonts w:cs="Arial" w:hAnsi="Arial" w:eastAsia="Arial" w:ascii="Arial"/>
                            <w:sz w:val="22"/>
                          </w:rPr>
                          <w:t xml:space="preserve"> </w:t>
                        </w:r>
                      </w:p>
                    </w:txbxContent>
                  </v:textbox>
                </v:rect>
                <v:rect id="Rectangle 54533" style="position:absolute;width:506;height:2243;left:4114;top:21063;"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54534" style="position:absolute;width:506;height:2243;left:4114;top:22816;"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54535" style="position:absolute;width:506;height:2243;left:4114;top:24569;"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54536" style="position:absolute;width:102752;height:2079;left:4114;top:26291;" filled="f" stroked="f">
                  <v:textbox inset="0,0,0,0">
                    <w:txbxContent>
                      <w:p>
                        <w:pPr>
                          <w:spacing w:before="0" w:after="160" w:line="259" w:lineRule="auto"/>
                        </w:pPr>
                        <w:r>
                          <w:rPr>
                            <w:rFonts w:cs="Arial" w:hAnsi="Arial" w:eastAsia="Arial" w:ascii="Arial"/>
                            <w:b w:val="1"/>
                            <w:sz w:val="22"/>
                          </w:rPr>
                          <w:t xml:space="preserve">DICTAMEN FAVORABLE DE LA COMISIÓN INFORMATIVA DE HACIENDA, RECURSOS HUMANOS Y SERVICIOS G</w:t>
                        </w:r>
                      </w:p>
                    </w:txbxContent>
                  </v:textbox>
                </v:rect>
                <v:rect id="Rectangle 54537" style="position:absolute;width:20109;height:2079;left:81440;top:26291;" filled="f" stroked="f">
                  <v:textbox inset="0,0,0,0">
                    <w:txbxContent>
                      <w:p>
                        <w:pPr>
                          <w:spacing w:before="0" w:after="160" w:line="259" w:lineRule="auto"/>
                        </w:pPr>
                        <w:r>
                          <w:rPr>
                            <w:rFonts w:cs="Arial" w:hAnsi="Arial" w:eastAsia="Arial" w:ascii="Arial"/>
                            <w:b w:val="1"/>
                            <w:sz w:val="22"/>
                          </w:rPr>
                          <w:t xml:space="preserve">ENERALES DE 26 DE </w:t>
                        </w:r>
                      </w:p>
                    </w:txbxContent>
                  </v:textbox>
                </v:rect>
                <v:rect id="Rectangle 54538" style="position:absolute;width:14416;height:2079;left:4114;top:27891;" filled="f" stroked="f">
                  <v:textbox inset="0,0,0,0">
                    <w:txbxContent>
                      <w:p>
                        <w:pPr>
                          <w:spacing w:before="0" w:after="160" w:line="259" w:lineRule="auto"/>
                        </w:pPr>
                        <w:r>
                          <w:rPr>
                            <w:rFonts w:cs="Arial" w:hAnsi="Arial" w:eastAsia="Arial" w:ascii="Arial"/>
                            <w:b w:val="1"/>
                            <w:sz w:val="22"/>
                          </w:rPr>
                          <w:t xml:space="preserve">ABRIL DE 2021. </w:t>
                        </w:r>
                      </w:p>
                    </w:txbxContent>
                  </v:textbox>
                </v:rect>
                <v:rect id="Rectangle 54539" style="position:absolute;width:518;height:2079;left:14968;top:27891;" filled="f" stroked="f">
                  <v:textbox inset="0,0,0,0">
                    <w:txbxContent>
                      <w:p>
                        <w:pPr>
                          <w:spacing w:before="0" w:after="160" w:line="259" w:lineRule="auto"/>
                        </w:pPr>
                        <w:r>
                          <w:rPr>
                            <w:rFonts w:cs="Arial" w:hAnsi="Arial" w:eastAsia="Arial" w:ascii="Arial"/>
                            <w:b w:val="1"/>
                            <w:sz w:val="22"/>
                          </w:rPr>
                          <w:t xml:space="preserve"> </w:t>
                        </w:r>
                      </w:p>
                    </w:txbxContent>
                  </v:textbox>
                </v:rect>
                <v:rect id="Rectangle 54540" style="position:absolute;width:518;height:2079;left:4114;top:29491;" filled="f" stroked="f">
                  <v:textbox inset="0,0,0,0">
                    <w:txbxContent>
                      <w:p>
                        <w:pPr>
                          <w:spacing w:before="0" w:after="160" w:line="259" w:lineRule="auto"/>
                        </w:pPr>
                        <w:r>
                          <w:rPr>
                            <w:rFonts w:cs="Arial" w:hAnsi="Arial" w:eastAsia="Arial" w:ascii="Arial"/>
                            <w:b w:val="1"/>
                            <w:sz w:val="22"/>
                          </w:rPr>
                          <w:t xml:space="preserve"> </w:t>
                        </w:r>
                      </w:p>
                    </w:txbxContent>
                  </v:textbox>
                </v:rect>
                <v:rect id="Rectangle 54541" style="position:absolute;width:13422;height:2079;left:4114;top:31122;" filled="f" stroked="f">
                  <v:textbox inset="0,0,0,0">
                    <w:txbxContent>
                      <w:p>
                        <w:pPr>
                          <w:spacing w:before="0" w:after="160" w:line="259" w:lineRule="auto"/>
                        </w:pPr>
                        <w:r>
                          <w:rPr>
                            <w:rFonts w:cs="Arial" w:hAnsi="Arial" w:eastAsia="Arial" w:ascii="Arial"/>
                            <w:sz w:val="22"/>
                          </w:rPr>
                          <w:t xml:space="preserve">Votos a favor: 1.</w:t>
                        </w:r>
                      </w:p>
                    </w:txbxContent>
                  </v:textbox>
                </v:rect>
                <v:rect id="Rectangle 54542" style="position:absolute;width:518;height:2079;left:14206;top:31122;" filled="f" stroked="f">
                  <v:textbox inset="0,0,0,0">
                    <w:txbxContent>
                      <w:p>
                        <w:pPr>
                          <w:spacing w:before="0" w:after="160" w:line="259" w:lineRule="auto"/>
                        </w:pPr>
                        <w:r>
                          <w:rPr>
                            <w:rFonts w:cs="Arial" w:hAnsi="Arial" w:eastAsia="Arial" w:ascii="Arial"/>
                            <w:sz w:val="22"/>
                          </w:rPr>
                          <w:t xml:space="preserve"> </w:t>
                        </w:r>
                      </w:p>
                    </w:txbxContent>
                  </v:textbox>
                </v:rect>
                <v:rect id="Rectangle 506424" style="position:absolute;width:1037;height:2079;left:4114;top:32722;" filled="f" stroked="f">
                  <v:textbox inset="0,0,0,0">
                    <w:txbxContent>
                      <w:p>
                        <w:pPr>
                          <w:spacing w:before="0" w:after="160" w:line="259" w:lineRule="auto"/>
                        </w:pPr>
                        <w:r>
                          <w:rPr>
                            <w:rFonts w:cs="Arial" w:hAnsi="Arial" w:eastAsia="Arial" w:ascii="Arial"/>
                            <w:sz w:val="22"/>
                          </w:rPr>
                          <w:t xml:space="preserve">1</w:t>
                        </w:r>
                      </w:p>
                    </w:txbxContent>
                  </v:textbox>
                </v:rect>
                <v:rect id="Rectangle 506425" style="position:absolute;width:59178;height:2079;left:4894;top:32722;" filled="f" stroked="f">
                  <v:textbox inset="0,0,0,0">
                    <w:txbxContent>
                      <w:p>
                        <w:pPr>
                          <w:spacing w:before="0" w:after="160" w:line="259" w:lineRule="auto"/>
                        </w:pPr>
                        <w:r>
                          <w:rPr>
                            <w:rFonts w:cs="Arial" w:hAnsi="Arial" w:eastAsia="Arial" w:ascii="Arial"/>
                            <w:sz w:val="22"/>
                          </w:rPr>
                          <w:t xml:space="preserve"> de la concejal del Grupo Mixto: Lourdes del Carmen Mondéjar Rondón.</w:t>
                        </w:r>
                      </w:p>
                    </w:txbxContent>
                  </v:textbox>
                </v:rect>
                <v:rect id="Rectangle 54544" style="position:absolute;width:518;height:2079;left:49401;top:32722;" filled="f" stroked="f">
                  <v:textbox inset="0,0,0,0">
                    <w:txbxContent>
                      <w:p>
                        <w:pPr>
                          <w:spacing w:before="0" w:after="160" w:line="259" w:lineRule="auto"/>
                        </w:pPr>
                        <w:r>
                          <w:rPr>
                            <w:rFonts w:cs="Arial" w:hAnsi="Arial" w:eastAsia="Arial" w:ascii="Arial"/>
                            <w:sz w:val="22"/>
                          </w:rPr>
                          <w:t xml:space="preserve"> </w:t>
                        </w:r>
                      </w:p>
                    </w:txbxContent>
                  </v:textbox>
                </v:rect>
                <v:rect id="Rectangle 54545" style="position:absolute;width:518;height:2079;left:4114;top:34338;" filled="f" stroked="f">
                  <v:textbox inset="0,0,0,0">
                    <w:txbxContent>
                      <w:p>
                        <w:pPr>
                          <w:spacing w:before="0" w:after="160" w:line="259" w:lineRule="auto"/>
                        </w:pPr>
                        <w:r>
                          <w:rPr>
                            <w:rFonts w:cs="Arial" w:hAnsi="Arial" w:eastAsia="Arial" w:ascii="Arial"/>
                            <w:sz w:val="22"/>
                          </w:rPr>
                          <w:t xml:space="preserve"> </w:t>
                        </w:r>
                      </w:p>
                    </w:txbxContent>
                  </v:textbox>
                </v:rect>
                <v:rect id="Rectangle 54546" style="position:absolute;width:15492;height:2079;left:4114;top:35938;" filled="f" stroked="f">
                  <v:textbox inset="0,0,0,0">
                    <w:txbxContent>
                      <w:p>
                        <w:pPr>
                          <w:spacing w:before="0" w:after="160" w:line="259" w:lineRule="auto"/>
                        </w:pPr>
                        <w:r>
                          <w:rPr>
                            <w:rFonts w:cs="Arial" w:hAnsi="Arial" w:eastAsia="Arial" w:ascii="Arial"/>
                            <w:sz w:val="22"/>
                          </w:rPr>
                          <w:t xml:space="preserve">Votos en contra: 0.</w:t>
                        </w:r>
                      </w:p>
                    </w:txbxContent>
                  </v:textbox>
                </v:rect>
                <v:rect id="Rectangle 54547" style="position:absolute;width:518;height:2079;left:15760;top:35938;" filled="f" stroked="f">
                  <v:textbox inset="0,0,0,0">
                    <w:txbxContent>
                      <w:p>
                        <w:pPr>
                          <w:spacing w:before="0" w:after="160" w:line="259" w:lineRule="auto"/>
                        </w:pPr>
                        <w:r>
                          <w:rPr>
                            <w:rFonts w:cs="Arial" w:hAnsi="Arial" w:eastAsia="Arial" w:ascii="Arial"/>
                            <w:sz w:val="22"/>
                          </w:rPr>
                          <w:t xml:space="preserve"> </w:t>
                        </w:r>
                      </w:p>
                    </w:txbxContent>
                  </v:textbox>
                </v:rect>
                <v:rect id="Rectangle 54548" style="position:absolute;width:518;height:2079;left:4114;top:37538;" filled="f" stroked="f">
                  <v:textbox inset="0,0,0,0">
                    <w:txbxContent>
                      <w:p>
                        <w:pPr>
                          <w:spacing w:before="0" w:after="160" w:line="259" w:lineRule="auto"/>
                        </w:pPr>
                        <w:r>
                          <w:rPr>
                            <w:rFonts w:cs="Arial" w:hAnsi="Arial" w:eastAsia="Arial" w:ascii="Arial"/>
                            <w:sz w:val="22"/>
                          </w:rPr>
                          <w:t xml:space="preserve"> </w:t>
                        </w:r>
                      </w:p>
                    </w:txbxContent>
                  </v:textbox>
                </v:rect>
                <v:rect id="Rectangle 54549" style="position:absolute;width:13756;height:2079;left:4114;top:39153;" filled="f" stroked="f">
                  <v:textbox inset="0,0,0,0">
                    <w:txbxContent>
                      <w:p>
                        <w:pPr>
                          <w:spacing w:before="0" w:after="160" w:line="259" w:lineRule="auto"/>
                        </w:pPr>
                        <w:r>
                          <w:rPr>
                            <w:rFonts w:cs="Arial" w:hAnsi="Arial" w:eastAsia="Arial" w:ascii="Arial"/>
                            <w:sz w:val="22"/>
                          </w:rPr>
                          <w:t xml:space="preserve">Abstenciones: 6.</w:t>
                        </w:r>
                      </w:p>
                    </w:txbxContent>
                  </v:textbox>
                </v:rect>
                <v:rect id="Rectangle 54550" style="position:absolute;width:518;height:2079;left:14450;top:39153;" filled="f" stroked="f">
                  <v:textbox inset="0,0,0,0">
                    <w:txbxContent>
                      <w:p>
                        <w:pPr>
                          <w:spacing w:before="0" w:after="160" w:line="259" w:lineRule="auto"/>
                        </w:pPr>
                        <w:r>
                          <w:rPr>
                            <w:rFonts w:cs="Arial" w:hAnsi="Arial" w:eastAsia="Arial" w:ascii="Arial"/>
                            <w:sz w:val="22"/>
                          </w:rPr>
                          <w:t xml:space="preserve"> </w:t>
                        </w:r>
                      </w:p>
                    </w:txbxContent>
                  </v:textbox>
                </v:rect>
                <v:rect id="Rectangle 506426" style="position:absolute;width:1036;height:2079;left:4114;top:40754;" filled="f" stroked="f">
                  <v:textbox inset="0,0,0,0">
                    <w:txbxContent>
                      <w:p>
                        <w:pPr>
                          <w:spacing w:before="0" w:after="160" w:line="259" w:lineRule="auto"/>
                        </w:pPr>
                        <w:r>
                          <w:rPr>
                            <w:rFonts w:cs="Arial" w:hAnsi="Arial" w:eastAsia="Arial" w:ascii="Arial"/>
                            <w:sz w:val="22"/>
                          </w:rPr>
                          <w:t xml:space="preserve">4</w:t>
                        </w:r>
                      </w:p>
                    </w:txbxContent>
                  </v:textbox>
                </v:rect>
                <v:rect id="Rectangle 506427" style="position:absolute;width:82953;height:2079;left:4894;top:40754;" filled="f" stroked="f">
                  <v:textbox inset="0,0,0,0">
                    <w:txbxContent>
                      <w:p>
                        <w:pPr>
                          <w:spacing w:before="0" w:after="160" w:line="259" w:lineRule="auto"/>
                        </w:pPr>
                        <w:r>
                          <w:rPr>
                            <w:rFonts w:cs="Arial" w:hAnsi="Arial" w:eastAsia="Arial" w:ascii="Arial"/>
                            <w:sz w:val="22"/>
                          </w:rPr>
                          <w:t xml:space="preserve"> concejales del Grupo Socialista: Don Airam Pérez Chinea, Don José Francisco Pinto Ramos, Don</w:t>
                        </w:r>
                      </w:p>
                    </w:txbxContent>
                  </v:textbox>
                </v:rect>
                <v:rect id="Rectangle 54552" style="position:absolute;width:518;height:2079;left:67297;top:40754;" filled="f" stroked="f">
                  <v:textbox inset="0,0,0,0">
                    <w:txbxContent>
                      <w:p>
                        <w:pPr>
                          <w:spacing w:before="0" w:after="160" w:line="259" w:lineRule="auto"/>
                        </w:pPr>
                        <w:r>
                          <w:rPr>
                            <w:rFonts w:cs="Arial" w:hAnsi="Arial" w:eastAsia="Arial" w:ascii="Arial"/>
                            <w:sz w:val="22"/>
                          </w:rPr>
                          <w:t xml:space="preserve"> </w:t>
                        </w:r>
                      </w:p>
                    </w:txbxContent>
                  </v:textbox>
                </v:rect>
                <v:rect id="Rectangle 54553" style="position:absolute;width:38242;height:2079;left:67800;top:40754;" filled="f" stroked="f">
                  <v:textbox inset="0,0,0,0">
                    <w:txbxContent>
                      <w:p>
                        <w:pPr>
                          <w:spacing w:before="0" w:after="160" w:line="259" w:lineRule="auto"/>
                        </w:pPr>
                        <w:r>
                          <w:rPr>
                            <w:rFonts w:cs="Arial" w:hAnsi="Arial" w:eastAsia="Arial" w:ascii="Arial"/>
                            <w:sz w:val="22"/>
                          </w:rPr>
                          <w:t xml:space="preserve">Olegario Francisco Alonso Bello y Don Jorge </w:t>
                        </w:r>
                      </w:p>
                    </w:txbxContent>
                  </v:textbox>
                </v:rect>
                <v:rect id="Rectangle 54554" style="position:absolute;width:12818;height:2079;left:4114;top:42373;" filled="f" stroked="f">
                  <v:textbox inset="0,0,0,0">
                    <w:txbxContent>
                      <w:p>
                        <w:pPr>
                          <w:spacing w:before="0" w:after="160" w:line="259" w:lineRule="auto"/>
                        </w:pPr>
                        <w:r>
                          <w:rPr>
                            <w:rFonts w:cs="Arial" w:hAnsi="Arial" w:eastAsia="Arial" w:ascii="Arial"/>
                            <w:sz w:val="22"/>
                          </w:rPr>
                          <w:t xml:space="preserve">Baute Delgado.</w:t>
                        </w:r>
                      </w:p>
                    </w:txbxContent>
                  </v:textbox>
                </v:rect>
                <v:rect id="Rectangle 54555" style="position:absolute;width:518;height:2079;left:13749;top:42373;" filled="f" stroked="f">
                  <v:textbox inset="0,0,0,0">
                    <w:txbxContent>
                      <w:p>
                        <w:pPr>
                          <w:spacing w:before="0" w:after="160" w:line="259" w:lineRule="auto"/>
                        </w:pPr>
                        <w:r>
                          <w:rPr>
                            <w:rFonts w:cs="Arial" w:hAnsi="Arial" w:eastAsia="Arial" w:ascii="Arial"/>
                            <w:sz w:val="22"/>
                          </w:rPr>
                          <w:t xml:space="preserve"> </w:t>
                        </w:r>
                      </w:p>
                    </w:txbxContent>
                  </v:textbox>
                </v:rect>
                <v:rect id="Rectangle 506429" style="position:absolute;width:1037;height:2079;left:4114;top:43973;" filled="f" stroked="f">
                  <v:textbox inset="0,0,0,0">
                    <w:txbxContent>
                      <w:p>
                        <w:pPr>
                          <w:spacing w:before="0" w:after="160" w:line="259" w:lineRule="auto"/>
                        </w:pPr>
                        <w:r>
                          <w:rPr>
                            <w:rFonts w:cs="Arial" w:hAnsi="Arial" w:eastAsia="Arial" w:ascii="Arial"/>
                            <w:sz w:val="22"/>
                          </w:rPr>
                          <w:t xml:space="preserve">1</w:t>
                        </w:r>
                      </w:p>
                    </w:txbxContent>
                  </v:textbox>
                </v:rect>
                <v:rect id="Rectangle 506432" style="position:absolute;width:51545;height:2079;left:4894;top:43973;" filled="f" stroked="f">
                  <v:textbox inset="0,0,0,0">
                    <w:txbxContent>
                      <w:p>
                        <w:pPr>
                          <w:spacing w:before="0" w:after="160" w:line="259" w:lineRule="auto"/>
                        </w:pPr>
                        <w:r>
                          <w:rPr>
                            <w:rFonts w:cs="Arial" w:hAnsi="Arial" w:eastAsia="Arial" w:ascii="Arial"/>
                            <w:sz w:val="22"/>
                          </w:rPr>
                          <w:t xml:space="preserve"> de la concejal del Grupo Popular, Doña Raquel Martín Castro.</w:t>
                        </w:r>
                      </w:p>
                    </w:txbxContent>
                  </v:textbox>
                </v:rect>
                <v:rect id="Rectangle 54557" style="position:absolute;width:518;height:2079;left:43653;top:43973;" filled="f" stroked="f">
                  <v:textbox inset="0,0,0,0">
                    <w:txbxContent>
                      <w:p>
                        <w:pPr>
                          <w:spacing w:before="0" w:after="160" w:line="259" w:lineRule="auto"/>
                        </w:pPr>
                        <w:r>
                          <w:rPr>
                            <w:rFonts w:cs="Arial" w:hAnsi="Arial" w:eastAsia="Arial" w:ascii="Arial"/>
                            <w:sz w:val="22"/>
                          </w:rPr>
                          <w:t xml:space="preserve"> </w:t>
                        </w:r>
                      </w:p>
                    </w:txbxContent>
                  </v:textbox>
                </v:rect>
                <v:rect id="Rectangle 506433" style="position:absolute;width:1037;height:2079;left:4114;top:45573;" filled="f" stroked="f">
                  <v:textbox inset="0,0,0,0">
                    <w:txbxContent>
                      <w:p>
                        <w:pPr>
                          <w:spacing w:before="0" w:after="160" w:line="259" w:lineRule="auto"/>
                        </w:pPr>
                        <w:r>
                          <w:rPr>
                            <w:rFonts w:cs="Arial" w:hAnsi="Arial" w:eastAsia="Arial" w:ascii="Arial"/>
                            <w:sz w:val="22"/>
                          </w:rPr>
                          <w:t xml:space="preserve">1</w:t>
                        </w:r>
                      </w:p>
                    </w:txbxContent>
                  </v:textbox>
                </v:rect>
                <v:rect id="Rectangle 506435" style="position:absolute;width:48336;height:2079;left:4894;top:45573;" filled="f" stroked="f">
                  <v:textbox inset="0,0,0,0">
                    <w:txbxContent>
                      <w:p>
                        <w:pPr>
                          <w:spacing w:before="0" w:after="160" w:line="259" w:lineRule="auto"/>
                        </w:pPr>
                        <w:r>
                          <w:rPr>
                            <w:rFonts w:cs="Arial" w:hAnsi="Arial" w:eastAsia="Arial" w:ascii="Arial"/>
                            <w:sz w:val="22"/>
                          </w:rPr>
                          <w:t xml:space="preserve"> de la concejal del Grupo Mixto, Doña Ángela Cruz Perera.</w:t>
                        </w:r>
                      </w:p>
                    </w:txbxContent>
                  </v:textbox>
                </v:rect>
                <v:rect id="Rectangle 54559" style="position:absolute;width:518;height:2079;left:41245;top:45573;" filled="f" stroked="f">
                  <v:textbox inset="0,0,0,0">
                    <w:txbxContent>
                      <w:p>
                        <w:pPr>
                          <w:spacing w:before="0" w:after="160" w:line="259" w:lineRule="auto"/>
                        </w:pPr>
                        <w:r>
                          <w:rPr>
                            <w:rFonts w:cs="Arial" w:hAnsi="Arial" w:eastAsia="Arial" w:ascii="Arial"/>
                            <w:sz w:val="22"/>
                          </w:rPr>
                          <w:t xml:space="preserve"> </w:t>
                        </w:r>
                      </w:p>
                    </w:txbxContent>
                  </v:textbox>
                </v:rect>
                <v:shape id="Picture 54561" style="position:absolute;width:37972;height:3556;left:53721;top:34599;rotation:-89;" filled="f">
                  <v:imagedata r:id="rId63"/>
                </v:shape>
                <v:rect id="Rectangle 54562" style="position:absolute;width:47358;height:1132;left:51444;top:3111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563" style="position:absolute;width:44627;height:1132;left:53571;top:3248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301 de 353 </w:t>
                        </w:r>
                      </w:p>
                    </w:txbxContent>
                  </v:textbox>
                </v:rect>
              </v:group>
            </w:pict>
          </mc:Fallback>
        </mc:AlternateConten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JUNTA DE PORTAVOCES DE 26 DE ABRIL DE 2021.  </w:t>
      </w:r>
    </w:p>
    <w:p w:rsidR="00FF384B" w:rsidRDefault="003E3BA9">
      <w:pPr>
        <w:spacing w:after="5" w:line="247" w:lineRule="auto"/>
        <w:ind w:left="437" w:right="244" w:hanging="10"/>
        <w:jc w:val="both"/>
      </w:pPr>
      <w:r>
        <w:rPr>
          <w:rFonts w:ascii="Arial" w:eastAsia="Arial" w:hAnsi="Arial" w:cs="Arial"/>
        </w:rPr>
        <w:t xml:space="preserve">Quedó oída.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VOTACIÓN EN EL PLENO DE 29 DE ABRIL DE 2021.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37" w:right="244" w:hanging="10"/>
        <w:jc w:val="both"/>
      </w:pPr>
      <w:r>
        <w:rPr>
          <w:rFonts w:ascii="Arial" w:eastAsia="Arial" w:hAnsi="Arial" w:cs="Arial"/>
        </w:rPr>
        <w:t xml:space="preserve">Votos a favor: 5. </w:t>
      </w:r>
    </w:p>
    <w:p w:rsidR="00FF384B" w:rsidRDefault="003E3BA9">
      <w:pPr>
        <w:numPr>
          <w:ilvl w:val="0"/>
          <w:numId w:val="328"/>
        </w:numPr>
        <w:spacing w:after="109" w:line="247" w:lineRule="auto"/>
        <w:ind w:right="244" w:hanging="184"/>
        <w:jc w:val="both"/>
      </w:pPr>
      <w:r>
        <w:rPr>
          <w:rFonts w:ascii="Arial" w:eastAsia="Arial" w:hAnsi="Arial" w:cs="Arial"/>
        </w:rPr>
        <w:t>concejal del Grupo Popul</w:t>
      </w:r>
      <w:r>
        <w:rPr>
          <w:rFonts w:ascii="Arial" w:eastAsia="Arial" w:hAnsi="Arial" w:cs="Arial"/>
        </w:rPr>
        <w:t xml:space="preserve">ar: Don Jacobo López Fariña. </w:t>
      </w:r>
    </w:p>
    <w:p w:rsidR="00FF384B" w:rsidRDefault="003E3BA9">
      <w:pPr>
        <w:numPr>
          <w:ilvl w:val="0"/>
          <w:numId w:val="328"/>
        </w:numPr>
        <w:spacing w:after="109" w:line="247" w:lineRule="auto"/>
        <w:ind w:right="244" w:hanging="184"/>
        <w:jc w:val="both"/>
      </w:pPr>
      <w:r>
        <w:rPr>
          <w:rFonts w:ascii="Arial" w:eastAsia="Arial" w:hAnsi="Arial" w:cs="Arial"/>
        </w:rPr>
        <w:t xml:space="preserve">concejales del Grupo Mixto (SSP): Don Antonio Delgado García y Lourdes del Carmen Mondéjar Rondón. </w:t>
      </w:r>
    </w:p>
    <w:p w:rsidR="00FF384B" w:rsidRDefault="003E3BA9">
      <w:pPr>
        <w:spacing w:after="111" w:line="247" w:lineRule="auto"/>
        <w:ind w:left="437" w:right="244" w:hanging="10"/>
        <w:jc w:val="both"/>
      </w:pPr>
      <w:r>
        <w:rPr>
          <w:rFonts w:ascii="Arial" w:eastAsia="Arial" w:hAnsi="Arial" w:cs="Arial"/>
        </w:rPr>
        <w:t xml:space="preserve">1 de la concejal del Grupo Mixto: Doña Ángela Cruz Perera (CC-PNC). </w:t>
      </w:r>
    </w:p>
    <w:p w:rsidR="00FF384B" w:rsidRDefault="003E3BA9">
      <w:pPr>
        <w:spacing w:after="109" w:line="247" w:lineRule="auto"/>
        <w:ind w:left="437" w:right="3161" w:hanging="10"/>
        <w:jc w:val="both"/>
      </w:pPr>
      <w:r>
        <w:rPr>
          <w:rFonts w:ascii="Arial" w:eastAsia="Arial" w:hAnsi="Arial" w:cs="Arial"/>
        </w:rPr>
        <w:t>1 del concejal del Grupo Mixto (VxC): Don José Fernando G</w:t>
      </w:r>
      <w:r>
        <w:rPr>
          <w:rFonts w:ascii="Arial" w:eastAsia="Arial" w:hAnsi="Arial" w:cs="Arial"/>
        </w:rPr>
        <w:t xml:space="preserve">ómez Martín.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Votos en contra: 10. </w:t>
      </w:r>
    </w:p>
    <w:p w:rsidR="00FF384B" w:rsidRDefault="003E3BA9">
      <w:pPr>
        <w:spacing w:after="112" w:line="247" w:lineRule="auto"/>
        <w:ind w:left="437" w:right="7" w:hanging="10"/>
        <w:jc w:val="both"/>
      </w:pPr>
      <w:r>
        <w:rPr>
          <w:noProof/>
        </w:rPr>
        <mc:AlternateContent>
          <mc:Choice Requires="wpg">
            <w:drawing>
              <wp:anchor distT="0" distB="0" distL="114300" distR="114300" simplePos="0" relativeHeight="251968512" behindDoc="0" locked="0" layoutInCell="1" allowOverlap="1">
                <wp:simplePos x="0" y="0"/>
                <wp:positionH relativeFrom="column">
                  <wp:posOffset>6952743</wp:posOffset>
                </wp:positionH>
                <wp:positionV relativeFrom="paragraph">
                  <wp:posOffset>-490457</wp:posOffset>
                </wp:positionV>
                <wp:extent cx="524148" cy="3797300"/>
                <wp:effectExtent l="0" t="0" r="0" b="0"/>
                <wp:wrapSquare wrapText="bothSides"/>
                <wp:docPr id="506847" name="Group 50684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644" name="Picture 54644"/>
                          <pic:cNvPicPr/>
                        </pic:nvPicPr>
                        <pic:blipFill>
                          <a:blip r:embed="rId62"/>
                          <a:stretch>
                            <a:fillRect/>
                          </a:stretch>
                        </pic:blipFill>
                        <pic:spPr>
                          <a:xfrm rot="-5399999">
                            <a:off x="-1720849" y="1720850"/>
                            <a:ext cx="3797299" cy="355600"/>
                          </a:xfrm>
                          <a:prstGeom prst="rect">
                            <a:avLst/>
                          </a:prstGeom>
                        </pic:spPr>
                      </pic:pic>
                      <wps:wsp>
                        <wps:cNvPr id="54645" name="Rectangle 5464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646" name="Rectangle 5464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847" style="width:41.2715pt;height:299pt;position:absolute;mso-position-horizontal-relative:text;mso-position-horizontal:absolute;margin-left:547.46pt;mso-position-vertical-relative:text;margin-top:-38.6188pt;" coordsize="5241,37973">
                <v:shape id="Picture 54644" style="position:absolute;width:37972;height:3556;left:-17208;top:17208;rotation:-89;" filled="f">
                  <v:imagedata r:id="rId63"/>
                </v:shape>
                <v:rect id="Rectangle 5464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64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302 de 353 </w:t>
                        </w:r>
                      </w:p>
                    </w:txbxContent>
                  </v:textbox>
                </v:rect>
                <w10:wrap type="square"/>
              </v:group>
            </w:pict>
          </mc:Fallback>
        </mc:AlternateContent>
      </w:r>
      <w:r>
        <w:rPr>
          <w:rFonts w:ascii="Arial" w:eastAsia="Arial" w:hAnsi="Arial" w:cs="Arial"/>
        </w:rPr>
        <w:t>10 concejales del Grupo Socialista: Doña María Concepción Brito Núñez, Don Jorge Baute Delgado, Doña Olivia Concepción Pérez Díaz, Don José Francisco Pinto Ramos, Doña Hilaria Cecilia Otazo González, Doña Margarita Eva Tendero Barroso, Don Manuel Alberto G</w:t>
      </w:r>
      <w:r>
        <w:rPr>
          <w:rFonts w:ascii="Arial" w:eastAsia="Arial" w:hAnsi="Arial" w:cs="Arial"/>
        </w:rPr>
        <w:t xml:space="preserve">onzález Pestano, Doña María del Carmen Clemente Díaz, Don Olegario Francisco Alonso Bello y Don Reinaldo José Triviño Blanco.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Abstenciones: 0.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8" w:line="253" w:lineRule="auto"/>
        <w:ind w:left="767" w:right="3504" w:hanging="10"/>
        <w:jc w:val="center"/>
      </w:pPr>
      <w:r>
        <w:rPr>
          <w:rFonts w:ascii="Arial" w:eastAsia="Arial" w:hAnsi="Arial" w:cs="Arial"/>
          <w:b/>
        </w:rPr>
        <w:t xml:space="preserve">ACUERDO DEL PLENO DE 29 DE ABRIL DE 2021.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11" w:line="247" w:lineRule="auto"/>
        <w:ind w:left="415" w:hanging="3"/>
        <w:jc w:val="both"/>
      </w:pPr>
      <w:r>
        <w:rPr>
          <w:rFonts w:ascii="Arial" w:eastAsia="Arial" w:hAnsi="Arial" w:cs="Arial"/>
          <w:b/>
        </w:rPr>
        <w:t>Desestimar la moción del Grupo Mixto por registro de ent</w:t>
      </w:r>
      <w:r>
        <w:rPr>
          <w:rFonts w:ascii="Arial" w:eastAsia="Arial" w:hAnsi="Arial" w:cs="Arial"/>
          <w:b/>
        </w:rPr>
        <w:t xml:space="preserve">rada de 20 de abril de 2021 para la adhesión al Acuerdo Marco de la FEMP para la gestión y recaudación de las multas de tráfico.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02" w:line="240" w:lineRule="auto"/>
        <w:ind w:left="422" w:right="-3" w:hanging="10"/>
        <w:jc w:val="both"/>
      </w:pPr>
      <w:r>
        <w:rPr>
          <w:rFonts w:ascii="Arial" w:eastAsia="Arial" w:hAnsi="Arial" w:cs="Arial"/>
          <w:b/>
          <w:sz w:val="24"/>
        </w:rPr>
        <w:t>11.-</w:t>
      </w:r>
      <w:r>
        <w:rPr>
          <w:rFonts w:ascii="Arial" w:eastAsia="Arial" w:hAnsi="Arial" w:cs="Arial"/>
          <w:sz w:val="24"/>
        </w:rPr>
        <w:t xml:space="preserve"> </w:t>
      </w:r>
      <w:r>
        <w:rPr>
          <w:rFonts w:ascii="Arial" w:eastAsia="Arial" w:hAnsi="Arial" w:cs="Arial"/>
          <w:b/>
          <w:sz w:val="24"/>
        </w:rPr>
        <w:t>Expediente 3467/2021. Expediente 2642/2020. Moción del Grupo Mixto por RE (2021-E-RE-</w:t>
      </w:r>
      <w:r>
        <w:rPr>
          <w:rFonts w:ascii="Arial" w:eastAsia="Arial" w:hAnsi="Arial" w:cs="Arial"/>
          <w:b/>
          <w:sz w:val="24"/>
        </w:rPr>
        <w:t>1269) de 19 de abril de 2021 para la redacción de un Plan Municipal de Pavimentación de las Vías Públicas de Candelaria.</w:t>
      </w:r>
      <w:r>
        <w:rPr>
          <w:rFonts w:ascii="Arial" w:eastAsia="Arial" w:hAnsi="Arial" w:cs="Arial"/>
        </w:rPr>
        <w:t xml:space="preserve"> </w:t>
      </w:r>
    </w:p>
    <w:p w:rsidR="00FF384B" w:rsidRDefault="003E3BA9">
      <w:pPr>
        <w:spacing w:after="10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Consta en el expediente electrónico la referida moción que se inserta literalmente: </w:t>
      </w:r>
    </w:p>
    <w:p w:rsidR="00FF384B" w:rsidRDefault="003E3BA9">
      <w:pPr>
        <w:spacing w:after="100"/>
        <w:ind w:left="427"/>
      </w:pPr>
      <w:r>
        <w:rPr>
          <w:rFonts w:ascii="Arial" w:eastAsia="Arial" w:hAnsi="Arial" w:cs="Arial"/>
          <w:b/>
        </w:rPr>
        <w:t xml:space="preserve"> </w:t>
      </w:r>
    </w:p>
    <w:p w:rsidR="00FF384B" w:rsidRDefault="003E3BA9">
      <w:pPr>
        <w:spacing w:after="96"/>
        <w:ind w:left="427"/>
      </w:pPr>
      <w:r>
        <w:rPr>
          <w:rFonts w:ascii="Arial" w:eastAsia="Arial" w:hAnsi="Arial" w:cs="Arial"/>
          <w:b/>
        </w:rPr>
        <w:t xml:space="preserve"> </w:t>
      </w:r>
    </w:p>
    <w:p w:rsidR="00FF384B" w:rsidRDefault="003E3BA9">
      <w:pPr>
        <w:spacing w:after="50"/>
        <w:ind w:left="427"/>
      </w:pPr>
      <w:r>
        <w:rPr>
          <w:noProof/>
        </w:rPr>
        <w:drawing>
          <wp:inline distT="0" distB="0" distL="0" distR="0">
            <wp:extent cx="811481" cy="716275"/>
            <wp:effectExtent l="0" t="0" r="0" b="0"/>
            <wp:docPr id="54727" name="Picture 54727"/>
            <wp:cNvGraphicFramePr/>
            <a:graphic xmlns:a="http://schemas.openxmlformats.org/drawingml/2006/main">
              <a:graphicData uri="http://schemas.openxmlformats.org/drawingml/2006/picture">
                <pic:pic xmlns:pic="http://schemas.openxmlformats.org/drawingml/2006/picture">
                  <pic:nvPicPr>
                    <pic:cNvPr id="54727" name="Picture 54727"/>
                    <pic:cNvPicPr/>
                  </pic:nvPicPr>
                  <pic:blipFill>
                    <a:blip r:embed="rId132"/>
                    <a:stretch>
                      <a:fillRect/>
                    </a:stretch>
                  </pic:blipFill>
                  <pic:spPr>
                    <a:xfrm>
                      <a:off x="0" y="0"/>
                      <a:ext cx="811481" cy="716275"/>
                    </a:xfrm>
                    <a:prstGeom prst="rect">
                      <a:avLst/>
                    </a:prstGeom>
                  </pic:spPr>
                </pic:pic>
              </a:graphicData>
            </a:graphic>
          </wp:inline>
        </w:drawing>
      </w:r>
      <w:r>
        <w:rPr>
          <w:rFonts w:ascii="Arial" w:eastAsia="Arial" w:hAnsi="Arial" w:cs="Arial"/>
        </w:rPr>
        <w:t xml:space="preserve"> </w:t>
      </w:r>
    </w:p>
    <w:p w:rsidR="00FF384B" w:rsidRDefault="003E3BA9">
      <w:pPr>
        <w:spacing w:after="109" w:line="247" w:lineRule="auto"/>
        <w:ind w:left="415" w:hanging="3"/>
        <w:jc w:val="both"/>
      </w:pPr>
      <w:r>
        <w:rPr>
          <w:rFonts w:ascii="Arial" w:eastAsia="Arial" w:hAnsi="Arial" w:cs="Arial"/>
          <w:b/>
        </w:rPr>
        <w:t xml:space="preserve">CANDELARIA </w:t>
      </w:r>
    </w:p>
    <w:p w:rsidR="00FF384B" w:rsidRDefault="003E3BA9">
      <w:pPr>
        <w:spacing w:after="98"/>
        <w:ind w:left="427"/>
      </w:pPr>
      <w:r>
        <w:rPr>
          <w:rFonts w:ascii="Arial" w:eastAsia="Arial" w:hAnsi="Arial" w:cs="Arial"/>
          <w:b/>
        </w:rPr>
        <w:t xml:space="preserve"> </w:t>
      </w:r>
    </w:p>
    <w:p w:rsidR="00FF384B" w:rsidRDefault="003E3BA9">
      <w:pPr>
        <w:spacing w:after="101"/>
        <w:ind w:left="427"/>
      </w:pPr>
      <w:r>
        <w:rPr>
          <w:rFonts w:ascii="Arial" w:eastAsia="Arial" w:hAnsi="Arial" w:cs="Arial"/>
          <w:b/>
        </w:rPr>
        <w:t xml:space="preserve"> </w:t>
      </w:r>
    </w:p>
    <w:p w:rsidR="00FF384B" w:rsidRDefault="003E3BA9">
      <w:pPr>
        <w:spacing w:after="0"/>
        <w:ind w:left="419"/>
        <w:jc w:val="center"/>
      </w:pPr>
      <w:r>
        <w:rPr>
          <w:rFonts w:ascii="Arial" w:eastAsia="Arial" w:hAnsi="Arial" w:cs="Arial"/>
          <w:b/>
          <w:color w:val="212121"/>
        </w:rPr>
        <w:t xml:space="preserve">MOCIÓN </w:t>
      </w:r>
    </w:p>
    <w:p w:rsidR="00FF384B" w:rsidRDefault="003E3BA9">
      <w:pPr>
        <w:spacing w:after="0"/>
        <w:ind w:left="479"/>
        <w:jc w:val="center"/>
      </w:pPr>
      <w:r>
        <w:rPr>
          <w:rFonts w:ascii="Arial" w:eastAsia="Arial" w:hAnsi="Arial" w:cs="Arial"/>
          <w:color w:val="212121"/>
        </w:rPr>
        <w:t xml:space="preserve"> </w:t>
      </w:r>
    </w:p>
    <w:p w:rsidR="00FF384B" w:rsidRDefault="003E3BA9">
      <w:pPr>
        <w:spacing w:after="114" w:line="247" w:lineRule="auto"/>
        <w:ind w:left="437" w:right="8" w:hanging="10"/>
        <w:jc w:val="both"/>
      </w:pPr>
      <w:r>
        <w:rPr>
          <w:noProof/>
        </w:rPr>
        <mc:AlternateContent>
          <mc:Choice Requires="wpg">
            <w:drawing>
              <wp:anchor distT="0" distB="0" distL="114300" distR="114300" simplePos="0" relativeHeight="251969536" behindDoc="1" locked="0" layoutInCell="1" allowOverlap="1">
                <wp:simplePos x="0" y="0"/>
                <wp:positionH relativeFrom="column">
                  <wp:posOffset>6952743</wp:posOffset>
                </wp:positionH>
                <wp:positionV relativeFrom="paragraph">
                  <wp:posOffset>-1065260</wp:posOffset>
                </wp:positionV>
                <wp:extent cx="524148" cy="3797300"/>
                <wp:effectExtent l="0" t="0" r="0" b="0"/>
                <wp:wrapNone/>
                <wp:docPr id="506602" name="Group 50660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729" name="Picture 54729"/>
                          <pic:cNvPicPr/>
                        </pic:nvPicPr>
                        <pic:blipFill>
                          <a:blip r:embed="rId62"/>
                          <a:stretch>
                            <a:fillRect/>
                          </a:stretch>
                        </pic:blipFill>
                        <pic:spPr>
                          <a:xfrm rot="-5399999">
                            <a:off x="-1720849" y="1720850"/>
                            <a:ext cx="3797299" cy="355600"/>
                          </a:xfrm>
                          <a:prstGeom prst="rect">
                            <a:avLst/>
                          </a:prstGeom>
                        </pic:spPr>
                      </pic:pic>
                      <wps:wsp>
                        <wps:cNvPr id="54730" name="Rectangle 5473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731" name="Rectangle 5473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602" style="width:41.2715pt;height:299pt;position:absolute;z-index:-2147483581;mso-position-horizontal-relative:text;mso-position-horizontal:absolute;margin-left:547.46pt;mso-position-vertical-relative:text;margin-top:-83.8788pt;" coordsize="5241,37973">
                <v:shape id="Picture 54729" style="position:absolute;width:37972;height:3556;left:-17208;top:17208;rotation:-89;" filled="f">
                  <v:imagedata r:id="rId63"/>
                </v:shape>
                <v:rect id="Rectangle 5473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73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303 de 353 </w:t>
                        </w:r>
                      </w:p>
                    </w:txbxContent>
                  </v:textbox>
                </v:rect>
              </v:group>
            </w:pict>
          </mc:Fallback>
        </mc:AlternateContent>
      </w:r>
      <w:r>
        <w:rPr>
          <w:rFonts w:ascii="Arial" w:eastAsia="Arial" w:hAnsi="Arial" w:cs="Arial"/>
        </w:rPr>
        <w:t xml:space="preserve">      Dña. Ángela Cruz Perera, con DNI ***4786**, en calidad </w:t>
      </w:r>
      <w:r>
        <w:rPr>
          <w:rFonts w:ascii="Arial" w:eastAsia="Arial" w:hAnsi="Arial" w:cs="Arial"/>
        </w:rPr>
        <w:t xml:space="preserve">de portavoz del </w:t>
      </w:r>
      <w:r>
        <w:rPr>
          <w:rFonts w:ascii="Arial" w:eastAsia="Arial" w:hAnsi="Arial" w:cs="Arial"/>
          <w:b/>
        </w:rPr>
        <w:t>Grupo Municipal Coalición Canaria (CC-PNC)</w:t>
      </w:r>
      <w:r>
        <w:rPr>
          <w:rFonts w:ascii="Arial" w:eastAsia="Arial" w:hAnsi="Arial" w:cs="Arial"/>
        </w:rPr>
        <w:t>, conforme establece el artículo 97.3 del Reglamento de Organización, Funcionamiento y Régimen Jurídico de las Entidades Locales, aprobado por R.D. 2568/1986, de 28 de noviembre, y los artículos 19.</w:t>
      </w:r>
      <w:r>
        <w:rPr>
          <w:rFonts w:ascii="Arial" w:eastAsia="Arial" w:hAnsi="Arial" w:cs="Arial"/>
        </w:rPr>
        <w:t xml:space="preserve">1b y 80 del Reglamento Orgánico y de la Administración del Ayuntamiento de Candelaria, presenta, para su debate y aprobación, la siguiente </w:t>
      </w:r>
      <w:r>
        <w:rPr>
          <w:rFonts w:ascii="Arial" w:eastAsia="Arial" w:hAnsi="Arial" w:cs="Arial"/>
          <w:b/>
        </w:rPr>
        <w:t xml:space="preserve">MOCIÓN </w:t>
      </w:r>
      <w:r>
        <w:rPr>
          <w:rFonts w:ascii="Arial" w:eastAsia="Arial" w:hAnsi="Arial" w:cs="Arial"/>
        </w:rPr>
        <w:t xml:space="preserve">para la </w:t>
      </w:r>
      <w:r>
        <w:rPr>
          <w:rFonts w:ascii="Arial" w:eastAsia="Arial" w:hAnsi="Arial" w:cs="Arial"/>
          <w:b/>
        </w:rPr>
        <w:t>REDACCIÓN DE UN PLAN MUNICIPAL DE PAVIMENTACIÓN DE LAS VÍAS PÚBLICAS DE CANDELARIA</w:t>
      </w:r>
      <w:r>
        <w:rPr>
          <w:rFonts w:ascii="Arial" w:eastAsia="Arial" w:hAnsi="Arial" w:cs="Arial"/>
        </w:rPr>
        <w:t xml:space="preserve"> </w:t>
      </w:r>
    </w:p>
    <w:p w:rsidR="00FF384B" w:rsidRDefault="003E3BA9">
      <w:pPr>
        <w:spacing w:after="98"/>
        <w:ind w:left="427"/>
      </w:pPr>
      <w:r>
        <w:rPr>
          <w:rFonts w:ascii="Arial" w:eastAsia="Arial" w:hAnsi="Arial" w:cs="Arial"/>
          <w:b/>
        </w:rPr>
        <w:t xml:space="preserve"> </w:t>
      </w:r>
    </w:p>
    <w:p w:rsidR="00FF384B" w:rsidRDefault="003E3BA9">
      <w:pPr>
        <w:spacing w:after="98"/>
        <w:ind w:left="427"/>
      </w:pPr>
      <w:r>
        <w:rPr>
          <w:rFonts w:ascii="Arial" w:eastAsia="Arial" w:hAnsi="Arial" w:cs="Arial"/>
          <w:b/>
        </w:rPr>
        <w:t xml:space="preserve"> </w:t>
      </w:r>
    </w:p>
    <w:p w:rsidR="00FF384B" w:rsidRDefault="003E3BA9">
      <w:pPr>
        <w:pStyle w:val="Ttulo3"/>
        <w:shd w:val="clear" w:color="auto" w:fill="auto"/>
        <w:spacing w:after="8" w:line="253" w:lineRule="auto"/>
        <w:ind w:left="767" w:right="340"/>
      </w:pPr>
      <w:r>
        <w:rPr>
          <w:i w:val="0"/>
        </w:rPr>
        <w:t xml:space="preserve">EXPOSICIÓN DE </w:t>
      </w:r>
      <w:r>
        <w:rPr>
          <w:i w:val="0"/>
        </w:rPr>
        <w:t xml:space="preserve">MOTIVOS </w:t>
      </w:r>
    </w:p>
    <w:p w:rsidR="00FF384B" w:rsidRDefault="003E3BA9">
      <w:pPr>
        <w:spacing w:after="0"/>
        <w:ind w:left="479"/>
        <w:jc w:val="center"/>
      </w:pPr>
      <w:r>
        <w:rPr>
          <w:rFonts w:ascii="Arial" w:eastAsia="Arial" w:hAnsi="Arial" w:cs="Arial"/>
        </w:rPr>
        <w:t xml:space="preserve"> </w:t>
      </w:r>
    </w:p>
    <w:p w:rsidR="00FF384B" w:rsidRDefault="003E3BA9">
      <w:pPr>
        <w:spacing w:after="125" w:line="247" w:lineRule="auto"/>
        <w:ind w:left="437" w:hanging="10"/>
        <w:jc w:val="both"/>
      </w:pPr>
      <w:r>
        <w:rPr>
          <w:rFonts w:ascii="Arial" w:eastAsia="Arial" w:hAnsi="Arial" w:cs="Arial"/>
        </w:rPr>
        <w:t xml:space="preserve">      La pavimentación de las vías públicas es una de las obligaciones que un Ayuntamiento tiene por norma, como así se recoge en el Artículo 26.1 a) de la Ley 7/1985, de 2 de abril, Reguladora de las Bases de Régimen Local, donde se establece q</w:t>
      </w:r>
      <w:r>
        <w:rPr>
          <w:rFonts w:ascii="Arial" w:eastAsia="Arial" w:hAnsi="Arial" w:cs="Arial"/>
        </w:rPr>
        <w:t xml:space="preserve">ue </w:t>
      </w:r>
      <w:r>
        <w:rPr>
          <w:rFonts w:ascii="Arial" w:eastAsia="Arial" w:hAnsi="Arial" w:cs="Arial"/>
          <w:i/>
        </w:rPr>
        <w:t xml:space="preserve">“En todos los Municipios se deberán prestar los servicios siguientes: alumbrado público, cementerio, recogida de residuos, limpieza viaria, abastecimiento domiciliario de agua potable, alcantarillado, acceso a los núcleos de población y </w:t>
      </w:r>
      <w:r>
        <w:rPr>
          <w:rFonts w:ascii="Arial" w:eastAsia="Arial" w:hAnsi="Arial" w:cs="Arial"/>
          <w:i/>
          <w:u w:val="single" w:color="000000"/>
        </w:rPr>
        <w:t>pavimentación de las vías públicas</w:t>
      </w:r>
      <w:r>
        <w:rPr>
          <w:rFonts w:ascii="Arial" w:eastAsia="Arial" w:hAnsi="Arial" w:cs="Arial"/>
          <w:i/>
        </w:rPr>
        <w:t>”</w:t>
      </w:r>
      <w:r>
        <w:rPr>
          <w:rFonts w:ascii="Arial" w:eastAsia="Arial" w:hAnsi="Arial" w:cs="Arial"/>
        </w:rPr>
        <w:t xml:space="preserve">. </w:t>
      </w:r>
    </w:p>
    <w:p w:rsidR="00FF384B" w:rsidRDefault="003E3BA9">
      <w:pPr>
        <w:spacing w:after="100"/>
        <w:ind w:left="427"/>
      </w:pPr>
      <w:r>
        <w:rPr>
          <w:rFonts w:ascii="Arial" w:eastAsia="Arial" w:hAnsi="Arial" w:cs="Arial"/>
          <w:b/>
        </w:rPr>
        <w:t xml:space="preserve"> </w:t>
      </w:r>
    </w:p>
    <w:p w:rsidR="00FF384B" w:rsidRDefault="003E3BA9">
      <w:pPr>
        <w:spacing w:after="5" w:line="247" w:lineRule="auto"/>
        <w:ind w:left="437" w:right="8" w:hanging="10"/>
        <w:jc w:val="both"/>
      </w:pPr>
      <w:r>
        <w:rPr>
          <w:rFonts w:ascii="Arial" w:eastAsia="Arial" w:hAnsi="Arial" w:cs="Arial"/>
        </w:rPr>
        <w:t xml:space="preserve">      El municipio de Candelaria cuenta con un PMUS (Plan de Movilidad Urbana Sostenible) para el periodo 2013-2020 cuyas acciones aparecen presupuestadas en 34,83 millones de euros, dividiendo su financiación entre </w:t>
      </w:r>
      <w:r>
        <w:rPr>
          <w:rFonts w:ascii="Arial" w:eastAsia="Arial" w:hAnsi="Arial" w:cs="Arial"/>
        </w:rPr>
        <w:t xml:space="preserve">las diferentes Administraciones (Ayuntamiento, Cabildo de Tenerife, Gobierno de Canarias y el Estado), correspondiendo al Ayuntamiento de Candelaria 22 millones de euros. Una vez que ha caducado el PMUS, desconocemos si se va a actualizar por el equipo de </w:t>
      </w:r>
      <w:r>
        <w:rPr>
          <w:rFonts w:ascii="Arial" w:eastAsia="Arial" w:hAnsi="Arial" w:cs="Arial"/>
        </w:rPr>
        <w:t xml:space="preserve">gobierno o si se va a prorrogar, teniendo en cuenta el mucho trabajo que aún queda por hacer en las calles y espacios públicos de todos los pueblos que conforman nuestro municipio, y concretamente el cumplir con las condiciones adecuadas de pavimentación, </w:t>
      </w:r>
      <w:r>
        <w:rPr>
          <w:rFonts w:ascii="Arial" w:eastAsia="Arial" w:hAnsi="Arial" w:cs="Arial"/>
        </w:rPr>
        <w:t xml:space="preserve">algo que debería estar ya resuelto.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7" w:hanging="10"/>
        <w:jc w:val="both"/>
      </w:pPr>
      <w:r>
        <w:rPr>
          <w:rFonts w:ascii="Arial" w:eastAsia="Arial" w:hAnsi="Arial" w:cs="Arial"/>
        </w:rPr>
        <w:t xml:space="preserve">      No se está cumpliendo por tanto con la Ley y tampoco con el PMUS, como así lo atestiguan la efímera inversión </w:t>
      </w:r>
      <w:r>
        <w:rPr>
          <w:rFonts w:ascii="Arial" w:eastAsia="Arial" w:hAnsi="Arial" w:cs="Arial"/>
        </w:rPr>
        <w:t xml:space="preserve">que se ha destinado para ello en los últimos presupuestos en el área de Pavimentación de Vías Públicas y el elevado número de calles que, en pleno siglo XXI, continúan en Candelaria en un estado lamentable o con muchas deficiencias.  </w:t>
      </w:r>
    </w:p>
    <w:p w:rsidR="00FF384B" w:rsidRDefault="003E3BA9">
      <w:pPr>
        <w:spacing w:after="0"/>
        <w:ind w:left="427"/>
      </w:pPr>
      <w:r>
        <w:rPr>
          <w:rFonts w:ascii="Arial" w:eastAsia="Arial" w:hAnsi="Arial" w:cs="Arial"/>
        </w:rPr>
        <w:t xml:space="preserve"> </w:t>
      </w:r>
    </w:p>
    <w:p w:rsidR="00FF384B" w:rsidRDefault="003E3BA9">
      <w:pPr>
        <w:spacing w:after="112" w:line="247" w:lineRule="auto"/>
        <w:ind w:left="437" w:right="7" w:hanging="10"/>
        <w:jc w:val="both"/>
      </w:pPr>
      <w:r>
        <w:rPr>
          <w:rFonts w:ascii="Arial" w:eastAsia="Arial" w:hAnsi="Arial" w:cs="Arial"/>
        </w:rPr>
        <w:t xml:space="preserve">      El Presupuest</w:t>
      </w:r>
      <w:r>
        <w:rPr>
          <w:rFonts w:ascii="Arial" w:eastAsia="Arial" w:hAnsi="Arial" w:cs="Arial"/>
        </w:rPr>
        <w:t>o Municipal 2021, aprobado inicialmente el 15 de abril con el voto del grupo socialista, repite el mismo crédito que en el 2020 para la pavimentación de las vías municipales, 80.000 euros (50.000€ para RMC infraestructuras y bienes naturales y 30.000€ para</w:t>
      </w:r>
      <w:r>
        <w:rPr>
          <w:rFonts w:ascii="Arial" w:eastAsia="Arial" w:hAnsi="Arial" w:cs="Arial"/>
        </w:rPr>
        <w:t xml:space="preserve"> señalización y mobiliario urbano), al que solo se suma una inversión real de 20.056 euros destinada a la reforma de la Plaza de Las Caletillas. </w:t>
      </w:r>
    </w:p>
    <w:p w:rsidR="00FF384B" w:rsidRDefault="003E3BA9">
      <w:pPr>
        <w:spacing w:after="98"/>
        <w:ind w:left="427"/>
      </w:pPr>
      <w:r>
        <w:rPr>
          <w:rFonts w:ascii="Arial" w:eastAsia="Arial" w:hAnsi="Arial" w:cs="Arial"/>
        </w:rPr>
        <w:t xml:space="preserve"> </w:t>
      </w:r>
    </w:p>
    <w:p w:rsidR="00FF384B" w:rsidRDefault="003E3BA9">
      <w:pPr>
        <w:spacing w:after="5" w:line="247" w:lineRule="auto"/>
        <w:ind w:left="437" w:right="10" w:hanging="10"/>
        <w:jc w:val="both"/>
      </w:pPr>
      <w:r>
        <w:rPr>
          <w:noProof/>
        </w:rPr>
        <mc:AlternateContent>
          <mc:Choice Requires="wpg">
            <w:drawing>
              <wp:anchor distT="0" distB="0" distL="114300" distR="114300" simplePos="0" relativeHeight="251970560" behindDoc="1" locked="0" layoutInCell="1" allowOverlap="1">
                <wp:simplePos x="0" y="0"/>
                <wp:positionH relativeFrom="column">
                  <wp:posOffset>6952743</wp:posOffset>
                </wp:positionH>
                <wp:positionV relativeFrom="paragraph">
                  <wp:posOffset>-972296</wp:posOffset>
                </wp:positionV>
                <wp:extent cx="524148" cy="3797300"/>
                <wp:effectExtent l="0" t="0" r="0" b="0"/>
                <wp:wrapNone/>
                <wp:docPr id="506754" name="Group 50675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823" name="Picture 54823"/>
                          <pic:cNvPicPr/>
                        </pic:nvPicPr>
                        <pic:blipFill>
                          <a:blip r:embed="rId62"/>
                          <a:stretch>
                            <a:fillRect/>
                          </a:stretch>
                        </pic:blipFill>
                        <pic:spPr>
                          <a:xfrm rot="-5399999">
                            <a:off x="-1720849" y="1720850"/>
                            <a:ext cx="3797299" cy="355600"/>
                          </a:xfrm>
                          <a:prstGeom prst="rect">
                            <a:avLst/>
                          </a:prstGeom>
                        </pic:spPr>
                      </pic:pic>
                      <wps:wsp>
                        <wps:cNvPr id="54824" name="Rectangle 5482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825" name="Rectangle 5482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w:t>
                              </w:r>
                              <w:r>
                                <w:rPr>
                                  <w:rFonts w:ascii="Arial" w:eastAsia="Arial" w:hAnsi="Arial" w:cs="Arial"/>
                                  <w:sz w:val="12"/>
                                </w:rPr>
                                <w:t xml:space="preserve">ento firmado electrónicamente desde la plataforma esPublico Gestiona | Página 304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754" style="width:41.2715pt;height:299pt;position:absolute;z-index:-2147483563;mso-position-horizontal-relative:text;mso-position-horizontal:absolute;margin-left:547.46pt;mso-position-vertical-relative:text;margin-top:-76.5588pt;" coordsize="5241,37973">
                <v:shape id="Picture 54823" style="position:absolute;width:37972;height:3556;left:-17208;top:17208;rotation:-89;" filled="f">
                  <v:imagedata r:id="rId63"/>
                </v:shape>
                <v:rect id="Rectangle 5482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82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304 de 353 </w:t>
                        </w:r>
                      </w:p>
                    </w:txbxContent>
                  </v:textbox>
                </v:rect>
              </v:group>
            </w:pict>
          </mc:Fallback>
        </mc:AlternateContent>
      </w:r>
      <w:r>
        <w:rPr>
          <w:rFonts w:ascii="Arial" w:eastAsia="Arial" w:hAnsi="Arial" w:cs="Arial"/>
        </w:rPr>
        <w:t xml:space="preserve">      Desde Coalición Canaria defendemos la importancia de priorizar las actuaciones en base a unas necesidades, con el fin de planificar y diseñar las intervenciones</w:t>
      </w:r>
      <w:r>
        <w:rPr>
          <w:rFonts w:ascii="Arial" w:eastAsia="Arial" w:hAnsi="Arial" w:cs="Arial"/>
        </w:rPr>
        <w:t xml:space="preserve"> tanto para optimizar los recursos como para dar respuesta a los problemas de los vecinos y, en la medida de lo posible, no dificultar la marcha de la vida social y económica del municipio. No se puede pavimentar si no se han arreglado las tuberías o ejecu</w:t>
      </w:r>
      <w:r>
        <w:rPr>
          <w:rFonts w:ascii="Arial" w:eastAsia="Arial" w:hAnsi="Arial" w:cs="Arial"/>
        </w:rPr>
        <w:t>tado cualquier otro tipo de canalización prevista como recogida de pluviales, alumbrado público o fibra óptica, por ejemplo, y no tiene sentido asfaltar calles que ya lo han sido previamente, mientras existen otras en algunos puntos de nuestros pueblos que</w:t>
      </w:r>
      <w:r>
        <w:rPr>
          <w:rFonts w:ascii="Arial" w:eastAsia="Arial" w:hAnsi="Arial" w:cs="Arial"/>
        </w:rPr>
        <w:t xml:space="preserve"> continúan siendo de tierra.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      Por todo ello, los concejales de Coalición Canaria-PNC en el Grupo Mixto someten a la consideración del Pleno del Ayuntamiento de Candelaria los siguientes </w:t>
      </w:r>
      <w:r>
        <w:rPr>
          <w:rFonts w:ascii="Arial" w:eastAsia="Arial" w:hAnsi="Arial" w:cs="Arial"/>
          <w:b/>
        </w:rPr>
        <w:t>ACUERDOS</w:t>
      </w:r>
      <w:r>
        <w:rPr>
          <w:rFonts w:ascii="Arial" w:eastAsia="Arial" w:hAnsi="Arial" w:cs="Arial"/>
        </w:rPr>
        <w:t xml:space="preserve">: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9"/>
        </w:numPr>
        <w:spacing w:after="15" w:line="247" w:lineRule="auto"/>
        <w:ind w:hanging="3"/>
        <w:jc w:val="both"/>
      </w:pPr>
      <w:r>
        <w:rPr>
          <w:rFonts w:ascii="Arial" w:eastAsia="Arial" w:hAnsi="Arial" w:cs="Arial"/>
          <w:b/>
        </w:rPr>
        <w:t>Instar al Ayuntamiento de Candelaria a realizar</w:t>
      </w:r>
      <w:r>
        <w:rPr>
          <w:rFonts w:ascii="Arial" w:eastAsia="Arial" w:hAnsi="Arial" w:cs="Arial"/>
          <w:b/>
        </w:rPr>
        <w:t xml:space="preserve"> un diagnóstico pormenorizado de las necesidades de pavimentación de las calles del municipio, para determinar las intervenciones que son necesarias y adecuadas en cada una de ellas (acerado, asfaltado, mobiliario urbano, señalética, ajardinado, accesibili</w:t>
      </w:r>
      <w:r>
        <w:rPr>
          <w:rFonts w:ascii="Arial" w:eastAsia="Arial" w:hAnsi="Arial" w:cs="Arial"/>
          <w:b/>
        </w:rPr>
        <w:t xml:space="preserve">dad…)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9"/>
        </w:numPr>
        <w:spacing w:after="15" w:line="247" w:lineRule="auto"/>
        <w:ind w:hanging="3"/>
        <w:jc w:val="both"/>
      </w:pPr>
      <w:r>
        <w:rPr>
          <w:rFonts w:ascii="Arial" w:eastAsia="Arial" w:hAnsi="Arial" w:cs="Arial"/>
          <w:b/>
        </w:rPr>
        <w:t>Solicitar al Ayuntamiento la redacción de un Plan Municipal de Asfaltado y Pavimentación, con calendario y financiación, con la finalidad de que las intervenciones futuras que se lleven a cabo no se hagan sobre la marcha, sin una planificación previa, para</w:t>
      </w:r>
      <w:r>
        <w:rPr>
          <w:rFonts w:ascii="Arial" w:eastAsia="Arial" w:hAnsi="Arial" w:cs="Arial"/>
          <w:b/>
        </w:rPr>
        <w:t xml:space="preserve"> así acabar con los parcheos o actuaciones superficiales que a la larga suponen nuevos problemas.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9"/>
        </w:numPr>
        <w:spacing w:after="15" w:line="247" w:lineRule="auto"/>
        <w:ind w:hanging="3"/>
        <w:jc w:val="both"/>
      </w:pPr>
      <w:r>
        <w:rPr>
          <w:rFonts w:ascii="Arial" w:eastAsia="Arial" w:hAnsi="Arial" w:cs="Arial"/>
          <w:b/>
        </w:rPr>
        <w:t>Reclamar al Ayuntamiento la elaboración de un inventario de las calles del municipio que no están pavimentadas y, en base a este, establecer un calendario</w:t>
      </w:r>
      <w:r>
        <w:rPr>
          <w:rFonts w:ascii="Arial" w:eastAsia="Arial" w:hAnsi="Arial" w:cs="Arial"/>
          <w:b/>
        </w:rPr>
        <w:t xml:space="preserve"> de actuación de forma que se comprometa a que en un plazo de dos años TODAS las vías públicas de los pueblos del municipio de Candelaria estén pavimentadas.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29"/>
        </w:numPr>
        <w:spacing w:after="15" w:line="247" w:lineRule="auto"/>
        <w:ind w:hanging="3"/>
        <w:jc w:val="both"/>
      </w:pPr>
      <w:r>
        <w:rPr>
          <w:rFonts w:ascii="Arial" w:eastAsia="Arial" w:hAnsi="Arial" w:cs="Arial"/>
          <w:b/>
        </w:rPr>
        <w:t>Solicitar al Ayuntamiento se ponga en conocimiento del Pleno las acciones futuras que se lleve</w:t>
      </w:r>
      <w:r>
        <w:rPr>
          <w:rFonts w:ascii="Arial" w:eastAsia="Arial" w:hAnsi="Arial" w:cs="Arial"/>
          <w:b/>
        </w:rPr>
        <w:t xml:space="preserve">n a cabo por el grupo de gobierno en referencia a los puntos 1, 2 y 3 de estos Acuerdos: Diagnóstico pormenorizado de las necesidades de pavimentación; Plan Municipal de Asfaltado y Pavimentación; e Inventario de vías municipales sin pavimentar. </w:t>
      </w:r>
    </w:p>
    <w:p w:rsidR="00FF384B" w:rsidRDefault="003E3BA9">
      <w:pPr>
        <w:spacing w:after="0"/>
        <w:ind w:left="427"/>
      </w:pPr>
      <w:r>
        <w:rPr>
          <w:rFonts w:ascii="Arial" w:eastAsia="Arial" w:hAnsi="Arial" w:cs="Arial"/>
          <w:b/>
        </w:rPr>
        <w:t xml:space="preserve"> </w:t>
      </w:r>
      <w:r>
        <w:rPr>
          <w:rFonts w:ascii="Arial" w:eastAsia="Arial" w:hAnsi="Arial" w:cs="Arial"/>
          <w:sz w:val="24"/>
        </w:rPr>
        <w:t xml:space="preserve"> </w:t>
      </w:r>
    </w:p>
    <w:p w:rsidR="00FF384B" w:rsidRDefault="003E3BA9">
      <w:pPr>
        <w:spacing w:after="103"/>
        <w:ind w:left="427"/>
      </w:pPr>
      <w:r>
        <w:rPr>
          <w:rFonts w:ascii="Arial" w:eastAsia="Arial" w:hAnsi="Arial" w:cs="Arial"/>
          <w:b/>
        </w:rPr>
        <w:t xml:space="preserve"> </w:t>
      </w:r>
    </w:p>
    <w:p w:rsidR="00FF384B" w:rsidRDefault="003E3BA9">
      <w:pPr>
        <w:spacing w:after="0"/>
        <w:ind w:left="429" w:right="3162" w:hanging="10"/>
        <w:jc w:val="center"/>
      </w:pPr>
      <w:r>
        <w:rPr>
          <w:rFonts w:ascii="Arial" w:eastAsia="Arial" w:hAnsi="Arial" w:cs="Arial"/>
        </w:rPr>
        <w:t>En C</w:t>
      </w:r>
      <w:r>
        <w:rPr>
          <w:rFonts w:ascii="Arial" w:eastAsia="Arial" w:hAnsi="Arial" w:cs="Arial"/>
        </w:rPr>
        <w:t xml:space="preserve">andelaria, a 19 de Abril de 2021 </w:t>
      </w:r>
    </w:p>
    <w:p w:rsidR="00FF384B" w:rsidRDefault="003E3BA9">
      <w:pPr>
        <w:spacing w:after="0"/>
        <w:ind w:left="479" w:right="3161"/>
        <w:jc w:val="center"/>
      </w:pPr>
      <w:r>
        <w:rPr>
          <w:rFonts w:ascii="Arial" w:eastAsia="Arial" w:hAnsi="Arial" w:cs="Arial"/>
        </w:rPr>
        <w:t xml:space="preserve"> </w:t>
      </w:r>
    </w:p>
    <w:p w:rsidR="00FF384B" w:rsidRDefault="003E3BA9">
      <w:pPr>
        <w:pStyle w:val="Ttulo4"/>
        <w:ind w:left="767" w:right="3498"/>
      </w:pPr>
      <w:r>
        <w:t>Ángela Cruz Perera</w:t>
      </w:r>
      <w:r>
        <w:rPr>
          <w:b w:val="0"/>
          <w:sz w:val="24"/>
        </w:rPr>
        <w:t xml:space="preserve"> </w:t>
      </w:r>
    </w:p>
    <w:p w:rsidR="00FF384B" w:rsidRDefault="003E3BA9">
      <w:pPr>
        <w:spacing w:after="0"/>
        <w:ind w:left="429" w:right="3161" w:hanging="10"/>
        <w:jc w:val="center"/>
      </w:pPr>
      <w:r>
        <w:rPr>
          <w:rFonts w:ascii="Arial" w:eastAsia="Arial" w:hAnsi="Arial" w:cs="Arial"/>
        </w:rPr>
        <w:t xml:space="preserve">Portavoz del grupo municipal de CC-PNC </w:t>
      </w:r>
    </w:p>
    <w:p w:rsidR="00FF384B" w:rsidRDefault="003E3BA9">
      <w:pPr>
        <w:spacing w:after="0"/>
        <w:ind w:left="479" w:right="3161"/>
        <w:jc w:val="center"/>
      </w:pPr>
      <w:r>
        <w:rPr>
          <w:rFonts w:ascii="Arial" w:eastAsia="Arial" w:hAnsi="Arial" w:cs="Arial"/>
        </w:rPr>
        <w:t xml:space="preserve"> </w:t>
      </w:r>
    </w:p>
    <w:p w:rsidR="00FF384B" w:rsidRDefault="003E3BA9">
      <w:pPr>
        <w:spacing w:after="0"/>
        <w:ind w:left="479" w:right="3161"/>
        <w:jc w:val="center"/>
      </w:pPr>
      <w:r>
        <w:rPr>
          <w:rFonts w:ascii="Arial" w:eastAsia="Arial" w:hAnsi="Arial" w:cs="Arial"/>
        </w:rPr>
        <w:t xml:space="preserve"> </w:t>
      </w:r>
    </w:p>
    <w:p w:rsidR="00FF384B" w:rsidRDefault="003E3BA9">
      <w:pPr>
        <w:spacing w:after="103"/>
        <w:ind w:left="414"/>
        <w:jc w:val="center"/>
      </w:pPr>
      <w:r>
        <w:rPr>
          <w:noProof/>
        </w:rPr>
        <mc:AlternateContent>
          <mc:Choice Requires="wpg">
            <w:drawing>
              <wp:anchor distT="0" distB="0" distL="114300" distR="114300" simplePos="0" relativeHeight="251971584" behindDoc="0" locked="0" layoutInCell="1" allowOverlap="1">
                <wp:simplePos x="0" y="0"/>
                <wp:positionH relativeFrom="column">
                  <wp:posOffset>6952743</wp:posOffset>
                </wp:positionH>
                <wp:positionV relativeFrom="paragraph">
                  <wp:posOffset>-917432</wp:posOffset>
                </wp:positionV>
                <wp:extent cx="524148" cy="3797300"/>
                <wp:effectExtent l="0" t="0" r="0" b="0"/>
                <wp:wrapSquare wrapText="bothSides"/>
                <wp:docPr id="506598" name="Group 50659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902" name="Picture 54902"/>
                          <pic:cNvPicPr/>
                        </pic:nvPicPr>
                        <pic:blipFill>
                          <a:blip r:embed="rId62"/>
                          <a:stretch>
                            <a:fillRect/>
                          </a:stretch>
                        </pic:blipFill>
                        <pic:spPr>
                          <a:xfrm rot="-5399999">
                            <a:off x="-1720849" y="1720850"/>
                            <a:ext cx="3797299" cy="355600"/>
                          </a:xfrm>
                          <a:prstGeom prst="rect">
                            <a:avLst/>
                          </a:prstGeom>
                        </pic:spPr>
                      </pic:pic>
                      <wps:wsp>
                        <wps:cNvPr id="54903" name="Rectangle 5490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904" name="Rectangle 5490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598" style="width:41.2715pt;height:299pt;position:absolute;mso-position-horizontal-relative:text;mso-position-horizontal:absolute;margin-left:547.46pt;mso-position-vertical-relative:text;margin-top:-72.2388pt;" coordsize="5241,37973">
                <v:shape id="Picture 54902" style="position:absolute;width:37972;height:3556;left:-17208;top:17208;rotation:-89;" filled="f">
                  <v:imagedata r:id="rId63"/>
                </v:shape>
                <v:rect id="Rectangle 5490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90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305 de 353 </w:t>
                        </w:r>
                      </w:p>
                    </w:txbxContent>
                  </v:textbox>
                </v:rect>
                <w10:wrap type="square"/>
              </v:group>
            </w:pict>
          </mc:Fallback>
        </mc:AlternateContent>
      </w:r>
      <w:r>
        <w:rPr>
          <w:rFonts w:ascii="Arial" w:eastAsia="Arial" w:hAnsi="Arial" w:cs="Arial"/>
          <w:b/>
          <w:color w:val="0E233D"/>
        </w:rPr>
        <w:t>SRA. ALCALDESA-PRESIDENTA DEL ILUSTRE AYUNTAMIENTO DE LA VILLA DE CANDELARIA</w:t>
      </w:r>
      <w:r>
        <w:rPr>
          <w:rFonts w:ascii="Arial" w:eastAsia="Arial" w:hAnsi="Arial" w:cs="Arial"/>
        </w:rPr>
        <w:t xml:space="preserve"> </w:t>
      </w:r>
    </w:p>
    <w:p w:rsidR="00FF384B" w:rsidRDefault="003E3BA9">
      <w:pPr>
        <w:spacing w:after="98"/>
        <w:ind w:left="427" w:right="3161"/>
      </w:pPr>
      <w:r>
        <w:rPr>
          <w:rFonts w:ascii="Arial" w:eastAsia="Arial" w:hAnsi="Arial" w:cs="Arial"/>
        </w:rPr>
        <w:t xml:space="preserve"> </w:t>
      </w:r>
    </w:p>
    <w:p w:rsidR="00FF384B" w:rsidRDefault="003E3BA9">
      <w:pPr>
        <w:spacing w:after="98"/>
        <w:ind w:left="427" w:right="3161"/>
      </w:pPr>
      <w:r>
        <w:rPr>
          <w:rFonts w:ascii="Arial" w:eastAsia="Arial" w:hAnsi="Arial" w:cs="Arial"/>
        </w:rPr>
        <w:t xml:space="preserve"> </w:t>
      </w:r>
    </w:p>
    <w:p w:rsidR="00FF384B" w:rsidRDefault="003E3BA9">
      <w:pPr>
        <w:spacing w:after="100"/>
        <w:ind w:left="427" w:right="3161"/>
      </w:pPr>
      <w:r>
        <w:rPr>
          <w:rFonts w:ascii="Arial" w:eastAsia="Arial" w:hAnsi="Arial" w:cs="Arial"/>
        </w:rPr>
        <w:t xml:space="preserve"> </w:t>
      </w:r>
    </w:p>
    <w:p w:rsidR="00FF384B" w:rsidRDefault="003E3BA9">
      <w:pPr>
        <w:spacing w:after="95"/>
        <w:ind w:left="427" w:right="3161"/>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DICTAMEN DESFAVORABLE DE LA COMISIÓN INFORMATIVA DE P.G. URBANÍSTICA Y AMBI</w:t>
      </w:r>
      <w:r>
        <w:rPr>
          <w:rFonts w:ascii="Arial" w:eastAsia="Arial" w:hAnsi="Arial" w:cs="Arial"/>
          <w:b/>
        </w:rPr>
        <w:t xml:space="preserve">ENTAL, OBRAS y SERVICIOS PÚBLICOS DE 26 DE ABRIL DE 2021.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Votos a favor: 1. </w:t>
      </w:r>
    </w:p>
    <w:p w:rsidR="00FF384B" w:rsidRDefault="003E3BA9">
      <w:pPr>
        <w:spacing w:after="5" w:line="247" w:lineRule="auto"/>
        <w:ind w:left="437" w:right="3161" w:hanging="10"/>
        <w:jc w:val="both"/>
      </w:pPr>
      <w:r>
        <w:rPr>
          <w:rFonts w:ascii="Arial" w:eastAsia="Arial" w:hAnsi="Arial" w:cs="Arial"/>
        </w:rPr>
        <w:t xml:space="preserve">1 de la concejal del Grupo Mixto (CC-PNC), Doña Ángela Cruz Perera.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Votos en contra: 4. </w:t>
      </w:r>
    </w:p>
    <w:p w:rsidR="00FF384B" w:rsidRDefault="003E3BA9">
      <w:pPr>
        <w:spacing w:after="5" w:line="247" w:lineRule="auto"/>
        <w:ind w:left="437" w:hanging="10"/>
        <w:jc w:val="both"/>
      </w:pPr>
      <w:r>
        <w:rPr>
          <w:rFonts w:ascii="Arial" w:eastAsia="Arial" w:hAnsi="Arial" w:cs="Arial"/>
        </w:rPr>
        <w:t xml:space="preserve">Los 4 concejales del Grupo Socialista: Doña Hilaria Cecilia Otazo González, Don Jorge Baute Delgado, Don Olegario Francisco Alonso Bello y Doña Margarita Eva Tendero Barroso.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Abstenciones: 2. </w:t>
      </w:r>
    </w:p>
    <w:p w:rsidR="00FF384B" w:rsidRDefault="003E3BA9">
      <w:pPr>
        <w:spacing w:after="5" w:line="247" w:lineRule="auto"/>
        <w:ind w:left="437" w:right="244" w:hanging="10"/>
        <w:jc w:val="both"/>
      </w:pPr>
      <w:r>
        <w:rPr>
          <w:rFonts w:ascii="Arial" w:eastAsia="Arial" w:hAnsi="Arial" w:cs="Arial"/>
        </w:rPr>
        <w:t>1 de la concejal del Grupo Popular, Doña Raquel Martín Castr</w:t>
      </w:r>
      <w:r>
        <w:rPr>
          <w:rFonts w:ascii="Arial" w:eastAsia="Arial" w:hAnsi="Arial" w:cs="Arial"/>
        </w:rPr>
        <w:t xml:space="preserve">o.  </w:t>
      </w:r>
    </w:p>
    <w:p w:rsidR="00FF384B" w:rsidRDefault="003E3BA9">
      <w:pPr>
        <w:spacing w:after="5" w:line="247" w:lineRule="auto"/>
        <w:ind w:left="437" w:right="244" w:hanging="10"/>
        <w:jc w:val="both"/>
      </w:pPr>
      <w:r>
        <w:rPr>
          <w:rFonts w:ascii="Arial" w:eastAsia="Arial" w:hAnsi="Arial" w:cs="Arial"/>
        </w:rPr>
        <w:t xml:space="preserve">1 de la concejal del Grupo Mixto (SSP), Doña Lourdes del Carmen Mondéjar Rondón.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JUNTA DE PORTAVOCES DE 26 DE ABRIL DE 2021.  </w:t>
      </w:r>
    </w:p>
    <w:p w:rsidR="00FF384B" w:rsidRDefault="003E3BA9">
      <w:pPr>
        <w:spacing w:after="5" w:line="247" w:lineRule="auto"/>
        <w:ind w:left="437" w:right="244" w:hanging="10"/>
        <w:jc w:val="both"/>
      </w:pPr>
      <w:r>
        <w:rPr>
          <w:rFonts w:ascii="Arial" w:eastAsia="Arial" w:hAnsi="Arial" w:cs="Arial"/>
        </w:rPr>
        <w:t xml:space="preserve">Quedó oída.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right="3161" w:hanging="3"/>
        <w:jc w:val="both"/>
      </w:pPr>
      <w:r>
        <w:rPr>
          <w:rFonts w:ascii="Arial" w:eastAsia="Arial" w:hAnsi="Arial" w:cs="Arial"/>
          <w:b/>
        </w:rPr>
        <w:t xml:space="preserve">VOTACIÓN EN EL PLENO DE 29 DE ABRIL DE 2021.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Votos a favor: 5. </w:t>
      </w:r>
    </w:p>
    <w:p w:rsidR="00FF384B" w:rsidRDefault="003E3BA9">
      <w:pPr>
        <w:numPr>
          <w:ilvl w:val="0"/>
          <w:numId w:val="330"/>
        </w:numPr>
        <w:spacing w:after="111" w:line="247" w:lineRule="auto"/>
        <w:ind w:right="3161" w:hanging="184"/>
        <w:jc w:val="both"/>
      </w:pPr>
      <w:r>
        <w:rPr>
          <w:rFonts w:ascii="Arial" w:eastAsia="Arial" w:hAnsi="Arial" w:cs="Arial"/>
        </w:rPr>
        <w:t xml:space="preserve">concejal del Grupo Popular: Don Jacobo López Fariña. </w:t>
      </w:r>
    </w:p>
    <w:p w:rsidR="00FF384B" w:rsidRDefault="003E3BA9">
      <w:pPr>
        <w:numPr>
          <w:ilvl w:val="0"/>
          <w:numId w:val="330"/>
        </w:numPr>
        <w:spacing w:after="109" w:line="247" w:lineRule="auto"/>
        <w:ind w:right="3161" w:hanging="184"/>
        <w:jc w:val="both"/>
      </w:pPr>
      <w:r>
        <w:rPr>
          <w:rFonts w:ascii="Arial" w:eastAsia="Arial" w:hAnsi="Arial" w:cs="Arial"/>
        </w:rPr>
        <w:t xml:space="preserve">concejales del Grupo Mixto (SSP): Don Antonio Delgado García y Lourdes del Carmen Mondéjar Rondón. </w:t>
      </w:r>
    </w:p>
    <w:p w:rsidR="00FF384B" w:rsidRDefault="003E3BA9">
      <w:pPr>
        <w:spacing w:after="111" w:line="247" w:lineRule="auto"/>
        <w:ind w:left="437" w:right="3161" w:hanging="10"/>
        <w:jc w:val="both"/>
      </w:pPr>
      <w:r>
        <w:rPr>
          <w:rFonts w:ascii="Arial" w:eastAsia="Arial" w:hAnsi="Arial" w:cs="Arial"/>
        </w:rPr>
        <w:t xml:space="preserve">1 de la concejal del Grupo Mixto: Doña Ángela Cruz Perera (CC-PNC). </w:t>
      </w:r>
    </w:p>
    <w:p w:rsidR="00FF384B" w:rsidRDefault="003E3BA9">
      <w:pPr>
        <w:spacing w:after="109" w:line="247" w:lineRule="auto"/>
        <w:ind w:left="437" w:right="3161" w:hanging="10"/>
        <w:jc w:val="both"/>
      </w:pPr>
      <w:r>
        <w:rPr>
          <w:rFonts w:ascii="Arial" w:eastAsia="Arial" w:hAnsi="Arial" w:cs="Arial"/>
        </w:rPr>
        <w:t xml:space="preserve">1 del concejal del Grupo Mixto (VxC): Don José Fernando Gómez Martín.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Votos en contra: 11. </w:t>
      </w:r>
    </w:p>
    <w:p w:rsidR="00FF384B" w:rsidRDefault="003E3BA9">
      <w:pPr>
        <w:spacing w:after="112" w:line="247" w:lineRule="auto"/>
        <w:ind w:left="437" w:right="9" w:hanging="10"/>
        <w:jc w:val="both"/>
      </w:pPr>
      <w:r>
        <w:rPr>
          <w:noProof/>
        </w:rPr>
        <mc:AlternateContent>
          <mc:Choice Requires="wpg">
            <w:drawing>
              <wp:anchor distT="0" distB="0" distL="114300" distR="114300" simplePos="0" relativeHeight="251972608" behindDoc="0" locked="0" layoutInCell="1" allowOverlap="1">
                <wp:simplePos x="0" y="0"/>
                <wp:positionH relativeFrom="column">
                  <wp:posOffset>6952743</wp:posOffset>
                </wp:positionH>
                <wp:positionV relativeFrom="paragraph">
                  <wp:posOffset>-1615424</wp:posOffset>
                </wp:positionV>
                <wp:extent cx="524148" cy="3797300"/>
                <wp:effectExtent l="0" t="0" r="0" b="0"/>
                <wp:wrapSquare wrapText="bothSides"/>
                <wp:docPr id="506760" name="Group 50676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4990" name="Picture 54990"/>
                          <pic:cNvPicPr/>
                        </pic:nvPicPr>
                        <pic:blipFill>
                          <a:blip r:embed="rId62"/>
                          <a:stretch>
                            <a:fillRect/>
                          </a:stretch>
                        </pic:blipFill>
                        <pic:spPr>
                          <a:xfrm rot="-5399999">
                            <a:off x="-1720849" y="1720850"/>
                            <a:ext cx="3797299" cy="355600"/>
                          </a:xfrm>
                          <a:prstGeom prst="rect">
                            <a:avLst/>
                          </a:prstGeom>
                        </pic:spPr>
                      </pic:pic>
                      <wps:wsp>
                        <wps:cNvPr id="54991" name="Rectangle 5499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4992" name="Rectangle 5499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6760" style="width:41.2715pt;height:299pt;position:absolute;mso-position-horizontal-relative:text;mso-position-horizontal:absolute;margin-left:547.46pt;mso-position-vertical-relative:text;margin-top:-127.199pt;" coordsize="5241,37973">
                <v:shape id="Picture 54990" style="position:absolute;width:37972;height:3556;left:-17208;top:17208;rotation:-89;" filled="f">
                  <v:imagedata r:id="rId63"/>
                </v:shape>
                <v:rect id="Rectangle 5499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499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306 de 353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w:t>
      </w:r>
      <w:r>
        <w:rPr>
          <w:rFonts w:ascii="Arial" w:eastAsia="Arial" w:hAnsi="Arial" w:cs="Arial"/>
        </w:rPr>
        <w:t xml:space="preserve">, Doña Hilaria Cecilia Otazo González, Don Airam Pérez Chinea, Doña Margarita Eva Tendero Barroso, Don Manuel Alberto González Pestano, Doña María del Carmen Clemente Díaz, Don Olegario Francisco Alonso Bello y Don Reinaldo José Triviño Blanco.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Abstenci</w:t>
      </w:r>
      <w:r>
        <w:rPr>
          <w:rFonts w:ascii="Arial" w:eastAsia="Arial" w:hAnsi="Arial" w:cs="Arial"/>
        </w:rPr>
        <w:t xml:space="preserve">ones: 0.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79" w:right="3161"/>
        <w:jc w:val="center"/>
      </w:pPr>
      <w:r>
        <w:rPr>
          <w:rFonts w:ascii="Arial" w:eastAsia="Arial" w:hAnsi="Arial" w:cs="Arial"/>
          <w:b/>
        </w:rPr>
        <w:t xml:space="preserve"> </w:t>
      </w:r>
    </w:p>
    <w:p w:rsidR="00FF384B" w:rsidRDefault="003E3BA9">
      <w:pPr>
        <w:spacing w:after="0"/>
        <w:ind w:left="479"/>
        <w:jc w:val="center"/>
      </w:pPr>
      <w:r>
        <w:rPr>
          <w:rFonts w:ascii="Arial" w:eastAsia="Arial" w:hAnsi="Arial" w:cs="Arial"/>
          <w:b/>
        </w:rPr>
        <w:t xml:space="preserve"> </w:t>
      </w:r>
    </w:p>
    <w:p w:rsidR="00FF384B" w:rsidRDefault="003E3BA9">
      <w:pPr>
        <w:spacing w:after="0"/>
        <w:ind w:left="479"/>
        <w:jc w:val="center"/>
      </w:pPr>
      <w:r>
        <w:rPr>
          <w:rFonts w:ascii="Arial" w:eastAsia="Arial" w:hAnsi="Arial" w:cs="Arial"/>
          <w:b/>
        </w:rPr>
        <w:t xml:space="preserve"> </w:t>
      </w:r>
    </w:p>
    <w:p w:rsidR="00FF384B" w:rsidRDefault="003E3BA9">
      <w:pPr>
        <w:spacing w:after="0"/>
        <w:ind w:left="479"/>
        <w:jc w:val="center"/>
      </w:pPr>
      <w:r>
        <w:rPr>
          <w:rFonts w:ascii="Arial" w:eastAsia="Arial" w:hAnsi="Arial" w:cs="Arial"/>
          <w:b/>
        </w:rPr>
        <w:t xml:space="preserve"> </w:t>
      </w:r>
    </w:p>
    <w:p w:rsidR="00FF384B" w:rsidRDefault="003E3BA9">
      <w:pPr>
        <w:spacing w:after="0"/>
        <w:ind w:left="479"/>
        <w:jc w:val="center"/>
      </w:pPr>
      <w:r>
        <w:rPr>
          <w:rFonts w:ascii="Arial" w:eastAsia="Arial" w:hAnsi="Arial" w:cs="Arial"/>
          <w:b/>
        </w:rPr>
        <w:t xml:space="preserve"> </w:t>
      </w:r>
    </w:p>
    <w:p w:rsidR="00FF384B" w:rsidRDefault="003E3BA9">
      <w:pPr>
        <w:spacing w:after="8" w:line="253" w:lineRule="auto"/>
        <w:ind w:left="767" w:right="343" w:hanging="10"/>
        <w:jc w:val="center"/>
      </w:pPr>
      <w:r>
        <w:rPr>
          <w:rFonts w:ascii="Arial" w:eastAsia="Arial" w:hAnsi="Arial" w:cs="Arial"/>
          <w:b/>
        </w:rPr>
        <w:t xml:space="preserve">ACUERDO DEL PLENO DE 29 DE ABRIL DE 2021. </w:t>
      </w:r>
    </w:p>
    <w:p w:rsidR="00FF384B" w:rsidRDefault="003E3BA9">
      <w:pPr>
        <w:spacing w:after="95"/>
        <w:ind w:left="427"/>
      </w:pPr>
      <w:r>
        <w:rPr>
          <w:rFonts w:ascii="Arial" w:eastAsia="Arial" w:hAnsi="Arial" w:cs="Arial"/>
        </w:rPr>
        <w:t xml:space="preserve"> </w:t>
      </w:r>
    </w:p>
    <w:p w:rsidR="00FF384B" w:rsidRDefault="003E3BA9">
      <w:pPr>
        <w:spacing w:after="114" w:line="247" w:lineRule="auto"/>
        <w:ind w:left="412" w:firstLine="708"/>
        <w:jc w:val="both"/>
      </w:pPr>
      <w:r>
        <w:rPr>
          <w:rFonts w:ascii="Arial" w:eastAsia="Arial" w:hAnsi="Arial" w:cs="Arial"/>
          <w:b/>
        </w:rPr>
        <w:t xml:space="preserve">Desestimar la moción del Grupo Mixto por RE (2021-E-RE-1269) de 19 de abril de 2021 para la redacción de un Plan Municipal de Pavimentación de las Vías Públicas de Candelaria.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10949"/>
      </w:pPr>
      <w:r>
        <w:rPr>
          <w:noProof/>
        </w:rPr>
        <mc:AlternateContent>
          <mc:Choice Requires="wpg">
            <w:drawing>
              <wp:inline distT="0" distB="0" distL="0" distR="0">
                <wp:extent cx="524148" cy="3797300"/>
                <wp:effectExtent l="0" t="0" r="0" b="0"/>
                <wp:docPr id="507552" name="Group 50755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064" name="Picture 55064"/>
                          <pic:cNvPicPr/>
                        </pic:nvPicPr>
                        <pic:blipFill>
                          <a:blip r:embed="rId62"/>
                          <a:stretch>
                            <a:fillRect/>
                          </a:stretch>
                        </pic:blipFill>
                        <pic:spPr>
                          <a:xfrm rot="-5399999">
                            <a:off x="-1720849" y="1720850"/>
                            <a:ext cx="3797299" cy="355600"/>
                          </a:xfrm>
                          <a:prstGeom prst="rect">
                            <a:avLst/>
                          </a:prstGeom>
                        </pic:spPr>
                      </pic:pic>
                      <wps:wsp>
                        <wps:cNvPr id="55065" name="Rectangle 5506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066" name="Rectangle 5506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307 de 353 </w:t>
                              </w:r>
                            </w:p>
                          </w:txbxContent>
                        </wps:txbx>
                        <wps:bodyPr horzOverflow="overflow" vert="horz" lIns="0" tIns="0" rIns="0" bIns="0" rtlCol="0">
                          <a:noAutofit/>
                        </wps:bodyPr>
                      </wps:wsp>
                    </wpg:wgp>
                  </a:graphicData>
                </a:graphic>
              </wp:inline>
            </w:drawing>
          </mc:Choice>
          <mc:Fallback xmlns:a="http://schemas.openxmlformats.org/drawingml/2006/main">
            <w:pict>
              <v:group id="Group 507552" style="width:41.2715pt;height:299pt;mso-position-horizontal-relative:char;mso-position-vertical-relative:line" coordsize="5241,37973">
                <v:shape id="Picture 55064" style="position:absolute;width:37972;height:3556;left:-17208;top:17208;rotation:-89;" filled="f">
                  <v:imagedata r:id="rId63"/>
                </v:shape>
                <v:rect id="Rectangle 5506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06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307 de 353 </w:t>
                        </w:r>
                      </w:p>
                    </w:txbxContent>
                  </v:textbox>
                </v:rect>
              </v:group>
            </w:pict>
          </mc:Fallback>
        </mc:AlternateConten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02" w:line="240" w:lineRule="auto"/>
        <w:ind w:left="422" w:right="-3" w:hanging="10"/>
        <w:jc w:val="both"/>
      </w:pPr>
      <w:r>
        <w:rPr>
          <w:rFonts w:ascii="Arial" w:eastAsia="Arial" w:hAnsi="Arial" w:cs="Arial"/>
          <w:b/>
          <w:sz w:val="24"/>
        </w:rPr>
        <w:t>12.-</w:t>
      </w:r>
      <w:r>
        <w:rPr>
          <w:rFonts w:ascii="Arial" w:eastAsia="Arial" w:hAnsi="Arial" w:cs="Arial"/>
          <w:sz w:val="24"/>
        </w:rPr>
        <w:t xml:space="preserve"> </w:t>
      </w:r>
      <w:r>
        <w:rPr>
          <w:rFonts w:ascii="Arial" w:eastAsia="Arial" w:hAnsi="Arial" w:cs="Arial"/>
          <w:b/>
          <w:sz w:val="24"/>
        </w:rPr>
        <w:t>Expediente 2642/2020. Moción del Grupo Mixto por RE (2021-E-RE-1259) de 18 de abril de 2021 para la reiteración de la Moción del expediente de desafectación de terrenos innecesarios para el dominio público marítimo terrestre en el litoral de Candelaria (Pl</w:t>
      </w:r>
      <w:r>
        <w:rPr>
          <w:rFonts w:ascii="Arial" w:eastAsia="Arial" w:hAnsi="Arial" w:cs="Arial"/>
          <w:b/>
          <w:sz w:val="24"/>
        </w:rPr>
        <w:t>eno 24-9-2020).</w:t>
      </w:r>
      <w:r>
        <w:rPr>
          <w:rFonts w:ascii="Arial" w:eastAsia="Arial" w:hAnsi="Arial" w:cs="Arial"/>
        </w:rPr>
        <w:t xml:space="preserve"> </w:t>
      </w:r>
    </w:p>
    <w:p w:rsidR="00FF384B" w:rsidRDefault="003E3BA9">
      <w:pPr>
        <w:spacing w:after="98"/>
        <w:ind w:left="427"/>
      </w:pPr>
      <w:r>
        <w:rPr>
          <w:rFonts w:ascii="Arial" w:eastAsia="Arial" w:hAnsi="Arial" w:cs="Arial"/>
          <w:b/>
        </w:rPr>
        <w:t xml:space="preserve"> </w:t>
      </w:r>
    </w:p>
    <w:p w:rsidR="00FF384B" w:rsidRDefault="003E3BA9">
      <w:pPr>
        <w:spacing w:after="119"/>
        <w:ind w:left="427"/>
      </w:pPr>
      <w:r>
        <w:rPr>
          <w:rFonts w:ascii="Arial" w:eastAsia="Arial" w:hAnsi="Arial" w:cs="Arial"/>
          <w:b/>
        </w:rPr>
        <w:t xml:space="preserve"> </w:t>
      </w:r>
    </w:p>
    <w:p w:rsidR="00FF384B" w:rsidRDefault="003E3BA9">
      <w:pPr>
        <w:spacing w:after="0"/>
        <w:ind w:left="422" w:right="3161" w:hanging="10"/>
      </w:pPr>
      <w:r>
        <w:rPr>
          <w:rFonts w:ascii="Times New Roman" w:eastAsia="Times New Roman" w:hAnsi="Times New Roman" w:cs="Times New Roman"/>
          <w:b/>
          <w:sz w:val="24"/>
        </w:rPr>
        <w:t xml:space="preserve">Consta en el expediente electrónico la referida moción que se inserta literalmente: </w:t>
      </w:r>
    </w:p>
    <w:p w:rsidR="00FF384B" w:rsidRDefault="003E3BA9">
      <w:pPr>
        <w:spacing w:after="98"/>
        <w:ind w:left="427" w:right="3161"/>
      </w:pPr>
      <w:r>
        <w:rPr>
          <w:rFonts w:ascii="Arial" w:eastAsia="Arial" w:hAnsi="Arial" w:cs="Arial"/>
          <w:b/>
        </w:rPr>
        <w:t xml:space="preserve"> </w:t>
      </w:r>
    </w:p>
    <w:p w:rsidR="00FF384B" w:rsidRDefault="003E3BA9">
      <w:pPr>
        <w:spacing w:after="95"/>
        <w:ind w:left="427" w:right="3161"/>
      </w:pPr>
      <w:r>
        <w:rPr>
          <w:rFonts w:ascii="Arial" w:eastAsia="Arial" w:hAnsi="Arial" w:cs="Arial"/>
          <w:b/>
        </w:rPr>
        <w:t xml:space="preserve"> </w:t>
      </w:r>
    </w:p>
    <w:p w:rsidR="00FF384B" w:rsidRDefault="003E3BA9">
      <w:pPr>
        <w:spacing w:after="47"/>
        <w:ind w:left="427" w:right="3161"/>
      </w:pPr>
      <w:r>
        <w:rPr>
          <w:noProof/>
        </w:rPr>
        <w:drawing>
          <wp:inline distT="0" distB="0" distL="0" distR="0">
            <wp:extent cx="1067635" cy="952566"/>
            <wp:effectExtent l="0" t="0" r="0" b="0"/>
            <wp:docPr id="55130" name="Picture 55130"/>
            <wp:cNvGraphicFramePr/>
            <a:graphic xmlns:a="http://schemas.openxmlformats.org/drawingml/2006/main">
              <a:graphicData uri="http://schemas.openxmlformats.org/drawingml/2006/picture">
                <pic:pic xmlns:pic="http://schemas.openxmlformats.org/drawingml/2006/picture">
                  <pic:nvPicPr>
                    <pic:cNvPr id="55130" name="Picture 55130"/>
                    <pic:cNvPicPr/>
                  </pic:nvPicPr>
                  <pic:blipFill>
                    <a:blip r:embed="rId133"/>
                    <a:stretch>
                      <a:fillRect/>
                    </a:stretch>
                  </pic:blipFill>
                  <pic:spPr>
                    <a:xfrm>
                      <a:off x="0" y="0"/>
                      <a:ext cx="1067635" cy="952566"/>
                    </a:xfrm>
                    <a:prstGeom prst="rect">
                      <a:avLst/>
                    </a:prstGeom>
                  </pic:spPr>
                </pic:pic>
              </a:graphicData>
            </a:graphic>
          </wp:inline>
        </w:drawing>
      </w:r>
      <w:r>
        <w:rPr>
          <w:rFonts w:ascii="Arial" w:eastAsia="Arial" w:hAnsi="Arial" w:cs="Arial"/>
        </w:rPr>
        <w:t xml:space="preserve"> </w:t>
      </w:r>
    </w:p>
    <w:p w:rsidR="00FF384B" w:rsidRDefault="003E3BA9">
      <w:pPr>
        <w:spacing w:after="100"/>
        <w:ind w:left="427" w:right="3161"/>
      </w:pPr>
      <w:r>
        <w:rPr>
          <w:rFonts w:ascii="Arial" w:eastAsia="Arial" w:hAnsi="Arial" w:cs="Arial"/>
          <w:b/>
        </w:rPr>
        <w:t xml:space="preserve"> </w:t>
      </w:r>
    </w:p>
    <w:p w:rsidR="00FF384B" w:rsidRDefault="003E3BA9">
      <w:pPr>
        <w:spacing w:after="98"/>
        <w:ind w:left="427" w:right="3161"/>
      </w:pPr>
      <w:r>
        <w:rPr>
          <w:rFonts w:ascii="Arial" w:eastAsia="Arial" w:hAnsi="Arial" w:cs="Arial"/>
          <w:b/>
        </w:rPr>
        <w:t xml:space="preserve"> </w:t>
      </w:r>
    </w:p>
    <w:p w:rsidR="00FF384B" w:rsidRDefault="003E3BA9">
      <w:pPr>
        <w:spacing w:after="103"/>
        <w:ind w:left="427" w:right="3161"/>
      </w:pPr>
      <w:r>
        <w:rPr>
          <w:rFonts w:ascii="Arial" w:eastAsia="Arial" w:hAnsi="Arial" w:cs="Arial"/>
          <w:b/>
        </w:rPr>
        <w:t xml:space="preserve"> </w:t>
      </w:r>
    </w:p>
    <w:p w:rsidR="00FF384B" w:rsidRDefault="003E3BA9">
      <w:pPr>
        <w:spacing w:after="112" w:line="249" w:lineRule="auto"/>
        <w:ind w:left="10029" w:right="11" w:hanging="10"/>
        <w:jc w:val="right"/>
      </w:pPr>
      <w:r>
        <w:rPr>
          <w:noProof/>
        </w:rPr>
        <mc:AlternateContent>
          <mc:Choice Requires="wpg">
            <w:drawing>
              <wp:anchor distT="0" distB="0" distL="114300" distR="114300" simplePos="0" relativeHeight="251973632" behindDoc="0" locked="0" layoutInCell="1" allowOverlap="1">
                <wp:simplePos x="0" y="0"/>
                <wp:positionH relativeFrom="column">
                  <wp:posOffset>6952743</wp:posOffset>
                </wp:positionH>
                <wp:positionV relativeFrom="paragraph">
                  <wp:posOffset>-2365231</wp:posOffset>
                </wp:positionV>
                <wp:extent cx="524148" cy="3797300"/>
                <wp:effectExtent l="0" t="0" r="0" b="0"/>
                <wp:wrapSquare wrapText="bothSides"/>
                <wp:docPr id="507324" name="Group 5073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132" name="Picture 55132"/>
                          <pic:cNvPicPr/>
                        </pic:nvPicPr>
                        <pic:blipFill>
                          <a:blip r:embed="rId62"/>
                          <a:stretch>
                            <a:fillRect/>
                          </a:stretch>
                        </pic:blipFill>
                        <pic:spPr>
                          <a:xfrm rot="-5399999">
                            <a:off x="-1720849" y="1720850"/>
                            <a:ext cx="3797299" cy="355600"/>
                          </a:xfrm>
                          <a:prstGeom prst="rect">
                            <a:avLst/>
                          </a:prstGeom>
                        </pic:spPr>
                      </pic:pic>
                      <wps:wsp>
                        <wps:cNvPr id="55133" name="Rectangle 5513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134" name="Rectangle 5513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308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7324" style="width:41.2715pt;height:299pt;position:absolute;mso-position-horizontal-relative:text;mso-position-horizontal:absolute;margin-left:547.46pt;mso-position-vertical-relative:text;margin-top:-186.239pt;" coordsize="5241,37973">
                <v:shape id="Picture 55132" style="position:absolute;width:37972;height:3556;left:-17208;top:17208;rotation:-89;" filled="f">
                  <v:imagedata r:id="rId63"/>
                </v:shape>
                <v:rect id="Rectangle 5513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13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308 de 353 </w:t>
                        </w:r>
                      </w:p>
                    </w:txbxContent>
                  </v:textbox>
                </v:rect>
                <w10:wrap type="square"/>
              </v:group>
            </w:pict>
          </mc:Fallback>
        </mc:AlternateContent>
      </w:r>
      <w:r>
        <w:rPr>
          <w:rFonts w:ascii="Arial" w:eastAsia="Arial" w:hAnsi="Arial" w:cs="Arial"/>
        </w:rPr>
        <w:t xml:space="preserve">José Fernando Gómez Martín.  Concejal del Excmo. Ayuntamiento de Candelaria.    VecinosxCandelaria. </w:t>
      </w:r>
    </w:p>
    <w:p w:rsidR="00FF384B" w:rsidRDefault="003E3BA9">
      <w:pPr>
        <w:spacing w:after="0"/>
        <w:ind w:left="427" w:right="3161"/>
      </w:pPr>
      <w:r>
        <w:rPr>
          <w:rFonts w:ascii="Arial" w:eastAsia="Arial" w:hAnsi="Arial" w:cs="Arial"/>
        </w:rPr>
        <w:t xml:space="preserve"> </w:t>
      </w:r>
    </w:p>
    <w:p w:rsidR="00FF384B" w:rsidRDefault="003E3BA9">
      <w:pPr>
        <w:spacing w:after="112" w:line="247" w:lineRule="auto"/>
        <w:ind w:left="437" w:right="7" w:hanging="10"/>
        <w:jc w:val="both"/>
      </w:pPr>
      <w:r>
        <w:rPr>
          <w:rFonts w:ascii="Arial" w:eastAsia="Arial" w:hAnsi="Arial" w:cs="Arial"/>
        </w:rPr>
        <w:t>Don José Fernando Gómez Martín, concejal del Ayuntamiento de Candelaria, en nombre y representación del mismo y al amparo de lo establecido en los artículos 91.4 y 97.3 del Reglamento de Funcionamiento y Régimen Jurídico de las Entidades Locales de 1986, e</w:t>
      </w:r>
      <w:r>
        <w:rPr>
          <w:rFonts w:ascii="Arial" w:eastAsia="Arial" w:hAnsi="Arial" w:cs="Arial"/>
        </w:rPr>
        <w:t xml:space="preserve">leva al Pleno de la Corporación para su debate la siguiente </w:t>
      </w:r>
    </w:p>
    <w:p w:rsidR="00FF384B" w:rsidRDefault="003E3BA9">
      <w:pPr>
        <w:spacing w:after="100"/>
        <w:ind w:left="427"/>
      </w:pPr>
      <w:r>
        <w:rPr>
          <w:rFonts w:ascii="Arial" w:eastAsia="Arial" w:hAnsi="Arial" w:cs="Arial"/>
        </w:rPr>
        <w:t xml:space="preserve"> </w:t>
      </w:r>
    </w:p>
    <w:p w:rsidR="00FF384B" w:rsidRDefault="003E3BA9">
      <w:pPr>
        <w:spacing w:after="150"/>
        <w:ind w:left="427"/>
      </w:pPr>
      <w:r>
        <w:rPr>
          <w:rFonts w:ascii="Arial" w:eastAsia="Arial" w:hAnsi="Arial" w:cs="Arial"/>
        </w:rPr>
        <w:t xml:space="preserve"> </w:t>
      </w:r>
    </w:p>
    <w:p w:rsidR="00FF384B" w:rsidRDefault="003E3BA9">
      <w:pPr>
        <w:spacing w:after="15" w:line="247" w:lineRule="auto"/>
        <w:ind w:left="7346" w:right="6075" w:hanging="483"/>
        <w:jc w:val="both"/>
      </w:pPr>
      <w:r>
        <w:rPr>
          <w:rFonts w:ascii="Arial" w:eastAsia="Arial" w:hAnsi="Arial" w:cs="Arial"/>
          <w:b/>
        </w:rPr>
        <w:t>“REITERACIÓN</w:t>
      </w:r>
      <w:r>
        <w:rPr>
          <w:rFonts w:ascii="Arial" w:eastAsia="Arial" w:hAnsi="Arial" w:cs="Arial"/>
          <w:sz w:val="24"/>
        </w:rPr>
        <w:t xml:space="preserve"> </w:t>
      </w:r>
      <w:r>
        <w:rPr>
          <w:rFonts w:ascii="Arial" w:eastAsia="Arial" w:hAnsi="Arial" w:cs="Arial"/>
          <w:b/>
        </w:rPr>
        <w:t>DE LA</w:t>
      </w:r>
      <w:r>
        <w:rPr>
          <w:rFonts w:ascii="Arial" w:eastAsia="Arial" w:hAnsi="Arial" w:cs="Arial"/>
          <w:sz w:val="24"/>
        </w:rPr>
        <w:t xml:space="preserve"> </w:t>
      </w:r>
    </w:p>
    <w:p w:rsidR="00FF384B" w:rsidRDefault="003E3BA9">
      <w:pPr>
        <w:pStyle w:val="Ttulo3"/>
        <w:shd w:val="clear" w:color="auto" w:fill="auto"/>
        <w:spacing w:after="8" w:line="253" w:lineRule="auto"/>
        <w:ind w:left="767" w:right="339"/>
      </w:pPr>
      <w:r>
        <w:rPr>
          <w:i w:val="0"/>
        </w:rPr>
        <w:t xml:space="preserve">MOCION </w:t>
      </w:r>
    </w:p>
    <w:p w:rsidR="00FF384B" w:rsidRDefault="003E3BA9">
      <w:pPr>
        <w:spacing w:after="0"/>
        <w:ind w:left="427"/>
      </w:pPr>
      <w:r>
        <w:rPr>
          <w:rFonts w:ascii="Arial" w:eastAsia="Arial" w:hAnsi="Arial" w:cs="Arial"/>
          <w:b/>
        </w:rPr>
        <w:t xml:space="preserve"> </w:t>
      </w:r>
      <w:r>
        <w:rPr>
          <w:rFonts w:ascii="Arial" w:eastAsia="Arial" w:hAnsi="Arial" w:cs="Arial"/>
          <w:sz w:val="24"/>
        </w:rPr>
        <w:t xml:space="preserve"> </w:t>
      </w:r>
    </w:p>
    <w:p w:rsidR="00FF384B" w:rsidRDefault="003E3BA9">
      <w:pPr>
        <w:spacing w:after="114" w:line="247" w:lineRule="auto"/>
        <w:ind w:left="415" w:hanging="3"/>
        <w:jc w:val="both"/>
      </w:pPr>
      <w:r>
        <w:rPr>
          <w:rFonts w:ascii="Arial" w:eastAsia="Arial" w:hAnsi="Arial" w:cs="Arial"/>
          <w:b/>
        </w:rPr>
        <w:t xml:space="preserve">PARA INICIAR UN EXPEDIENTE DE DESAFECTACION DE TERRENOS INNECESARIOS PARA EL DOMINIO PUBLICO MARITIMO TERRESTRE EN EL LITORAL DE CANDELARIA, que se presentó al </w:t>
      </w:r>
      <w:r>
        <w:rPr>
          <w:rFonts w:ascii="Arial" w:eastAsia="Arial" w:hAnsi="Arial" w:cs="Arial"/>
          <w:b/>
        </w:rPr>
        <w:t>pleno ordinario del 24 de septiembre de 2020, quedando sobre la mesa su debate.</w:t>
      </w:r>
      <w:r>
        <w:rPr>
          <w:rFonts w:ascii="Arial" w:eastAsia="Arial" w:hAnsi="Arial" w:cs="Arial"/>
        </w:rPr>
        <w:t xml:space="preserve"> </w:t>
      </w:r>
    </w:p>
    <w:p w:rsidR="00FF384B" w:rsidRDefault="003E3BA9">
      <w:pPr>
        <w:spacing w:after="98"/>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La aplicación de la Ley de Costas, de su Reglamento y de sus herramientas, en nuestro municipio ha generado desde hace varias décadas, situaciones que, aún siendo acordes co</w:t>
      </w:r>
      <w:r>
        <w:rPr>
          <w:rFonts w:ascii="Arial" w:eastAsia="Arial" w:hAnsi="Arial" w:cs="Arial"/>
        </w:rPr>
        <w:t xml:space="preserve">n las leyes y normativas, han producido situaciones difíciles de entender para muchos vecinos de nuestra Villa.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Resoluciones, que obligan a nuestro planeamiento urbano a dejar fuera de ordenación, en situación de ilegalidad propiedades de nuestro litor</w:t>
      </w:r>
      <w:r>
        <w:rPr>
          <w:rFonts w:ascii="Arial" w:eastAsia="Arial" w:hAnsi="Arial" w:cs="Arial"/>
        </w:rPr>
        <w:t xml:space="preserve">al.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Núcleos costeros, habitados y consolidados desde la segunda mitad del siglo pasado, calificados como urbanos consolidados, han pasado a ser terrenos rústicos de protección mediante la inclusión en el dominio público marítimo terrestre.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 xml:space="preserve">El caso del pueblo de Bajo la Cuesta, un asentamiento de uso residencial del litoral de Candelaria, cuyo desarrollo se inicio en la década de los años 70 del siglo XX, es un ejemplo de una extraña situación urbanistica; legal y anómala.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Su inicio y for</w:t>
      </w:r>
      <w:r>
        <w:rPr>
          <w:rFonts w:ascii="Arial" w:eastAsia="Arial" w:hAnsi="Arial" w:cs="Arial"/>
        </w:rPr>
        <w:t xml:space="preserve">mación como núcleo costero, estuvo amparado por el deslinde del dominio público marítimo terrestre realizado a instancias de Don </w:t>
      </w:r>
    </w:p>
    <w:p w:rsidR="00FF384B" w:rsidRDefault="003E3BA9">
      <w:pPr>
        <w:spacing w:after="5" w:line="247" w:lineRule="auto"/>
        <w:ind w:left="437" w:right="4" w:hanging="10"/>
        <w:jc w:val="both"/>
      </w:pPr>
      <w:r>
        <w:rPr>
          <w:noProof/>
        </w:rPr>
        <mc:AlternateContent>
          <mc:Choice Requires="wpg">
            <w:drawing>
              <wp:anchor distT="0" distB="0" distL="114300" distR="114300" simplePos="0" relativeHeight="251974656" behindDoc="1" locked="0" layoutInCell="1" allowOverlap="1">
                <wp:simplePos x="0" y="0"/>
                <wp:positionH relativeFrom="column">
                  <wp:posOffset>6952743</wp:posOffset>
                </wp:positionH>
                <wp:positionV relativeFrom="paragraph">
                  <wp:posOffset>-2026904</wp:posOffset>
                </wp:positionV>
                <wp:extent cx="524148" cy="3797300"/>
                <wp:effectExtent l="0" t="0" r="0" b="0"/>
                <wp:wrapNone/>
                <wp:docPr id="508162" name="Group 50816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217" name="Picture 55217"/>
                          <pic:cNvPicPr/>
                        </pic:nvPicPr>
                        <pic:blipFill>
                          <a:blip r:embed="rId62"/>
                          <a:stretch>
                            <a:fillRect/>
                          </a:stretch>
                        </pic:blipFill>
                        <pic:spPr>
                          <a:xfrm rot="-5399999">
                            <a:off x="-1720849" y="1720850"/>
                            <a:ext cx="3797299" cy="355600"/>
                          </a:xfrm>
                          <a:prstGeom prst="rect">
                            <a:avLst/>
                          </a:prstGeom>
                        </pic:spPr>
                      </pic:pic>
                      <wps:wsp>
                        <wps:cNvPr id="55218" name="Rectangle 5521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219" name="Rectangle 5521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firmado elect</w:t>
                              </w:r>
                              <w:r>
                                <w:rPr>
                                  <w:rFonts w:ascii="Arial" w:eastAsia="Arial" w:hAnsi="Arial" w:cs="Arial"/>
                                  <w:sz w:val="12"/>
                                </w:rPr>
                                <w:t xml:space="preserve">rónicamente desde la plataforma esPublico Gestiona | Página 309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162" style="width:41.2715pt;height:299pt;position:absolute;z-index:-2147483572;mso-position-horizontal-relative:text;mso-position-horizontal:absolute;margin-left:547.46pt;mso-position-vertical-relative:text;margin-top:-159.599pt;" coordsize="5241,37973">
                <v:shape id="Picture 55217" style="position:absolute;width:37972;height:3556;left:-17208;top:17208;rotation:-89;" filled="f">
                  <v:imagedata r:id="rId63"/>
                </v:shape>
                <v:rect id="Rectangle 5521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21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309 de 353 </w:t>
                        </w:r>
                      </w:p>
                    </w:txbxContent>
                  </v:textbox>
                </v:rect>
              </v:group>
            </w:pict>
          </mc:Fallback>
        </mc:AlternateContent>
      </w:r>
      <w:r>
        <w:rPr>
          <w:rFonts w:ascii="Arial" w:eastAsia="Arial" w:hAnsi="Arial" w:cs="Arial"/>
        </w:rPr>
        <w:t>Francisco Ucelay Cambreleng, desde la Punta del Mondongo hasta el límite con la costa del municipio del Rosario, y cuya aprobación se realizó en 1969. En dicho deslinde, y según lo ref</w:t>
      </w:r>
      <w:r>
        <w:rPr>
          <w:rFonts w:ascii="Arial" w:eastAsia="Arial" w:hAnsi="Arial" w:cs="Arial"/>
        </w:rPr>
        <w:t xml:space="preserve">lejado en el plano original de la Direccion General de Costas, la línea del dominio público marítimo terrestre no afectaba a la ubicación actual de las viviendas existentes.  </w:t>
      </w:r>
    </w:p>
    <w:p w:rsidR="00FF384B" w:rsidRDefault="003E3BA9">
      <w:pPr>
        <w:spacing w:after="0"/>
        <w:ind w:left="427"/>
      </w:pPr>
      <w:r>
        <w:rPr>
          <w:rFonts w:ascii="Arial" w:eastAsia="Arial" w:hAnsi="Arial" w:cs="Arial"/>
        </w:rPr>
        <w:t xml:space="preserve"> </w:t>
      </w:r>
    </w:p>
    <w:p w:rsidR="00FF384B" w:rsidRDefault="003E3BA9">
      <w:pPr>
        <w:spacing w:after="47" w:line="247" w:lineRule="auto"/>
        <w:ind w:left="437" w:hanging="10"/>
        <w:jc w:val="both"/>
      </w:pPr>
      <w:r>
        <w:rPr>
          <w:rFonts w:ascii="Arial" w:eastAsia="Arial" w:hAnsi="Arial" w:cs="Arial"/>
        </w:rPr>
        <w:t>Las normas subsidiarias de planeamiento urbano de Candelaria</w:t>
      </w:r>
      <w:r>
        <w:rPr>
          <w:rFonts w:ascii="Arial" w:eastAsia="Arial" w:hAnsi="Arial" w:cs="Arial"/>
          <w:b/>
        </w:rPr>
        <w:t xml:space="preserve">, </w:t>
      </w:r>
      <w:r>
        <w:rPr>
          <w:rFonts w:ascii="Arial" w:eastAsia="Arial" w:hAnsi="Arial" w:cs="Arial"/>
        </w:rPr>
        <w:t xml:space="preserve">aprobadas el 29 </w:t>
      </w:r>
      <w:r>
        <w:rPr>
          <w:rFonts w:ascii="Arial" w:eastAsia="Arial" w:hAnsi="Arial" w:cs="Arial"/>
        </w:rPr>
        <w:t xml:space="preserve">de diciembre de 1988, y publicadas en el BOE el 10 de enero de </w:t>
      </w:r>
    </w:p>
    <w:p w:rsidR="00FF384B" w:rsidRDefault="003E3BA9">
      <w:pPr>
        <w:spacing w:after="5" w:line="247" w:lineRule="auto"/>
        <w:ind w:left="437" w:hanging="10"/>
        <w:jc w:val="both"/>
      </w:pPr>
      <w:r>
        <w:rPr>
          <w:rFonts w:ascii="Arial" w:eastAsia="Arial" w:hAnsi="Arial" w:cs="Arial"/>
        </w:rPr>
        <w:t xml:space="preserve">1989, otorgaron la calificación de “suelo urbano consolidado” a todo el pueblo costero; condición que mantuvo hasta los primeros años de este siglo.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14" w:line="247" w:lineRule="auto"/>
        <w:ind w:left="437" w:right="10" w:hanging="10"/>
        <w:jc w:val="both"/>
      </w:pPr>
      <w:r>
        <w:rPr>
          <w:rFonts w:ascii="Arial" w:eastAsia="Arial" w:hAnsi="Arial" w:cs="Arial"/>
        </w:rPr>
        <w:t>Todo un pueblo costero, que en los prim</w:t>
      </w:r>
      <w:r>
        <w:rPr>
          <w:rFonts w:ascii="Arial" w:eastAsia="Arial" w:hAnsi="Arial" w:cs="Arial"/>
        </w:rPr>
        <w:t>eros años de este siglo, con su inclusión en el deslinde del dominio público marítimo terrestre realizado por la Dirección General de Costas, con la referencia DL-107-TF, y aprobado por Orden Ministerial de fecha 22-05-2006, perdió toda la legalidad que ha</w:t>
      </w:r>
      <w:r>
        <w:rPr>
          <w:rFonts w:ascii="Arial" w:eastAsia="Arial" w:hAnsi="Arial" w:cs="Arial"/>
        </w:rPr>
        <w:t xml:space="preserve">sta esa fecha le amparaba. </w:t>
      </w:r>
    </w:p>
    <w:p w:rsidR="00FF384B" w:rsidRDefault="003E3BA9">
      <w:pPr>
        <w:spacing w:after="98"/>
        <w:ind w:left="427"/>
      </w:pPr>
      <w:r>
        <w:rPr>
          <w:rFonts w:ascii="Arial" w:eastAsia="Arial" w:hAnsi="Arial" w:cs="Arial"/>
        </w:rPr>
        <w:t xml:space="preserve"> </w:t>
      </w:r>
    </w:p>
    <w:p w:rsidR="00FF384B" w:rsidRDefault="003E3BA9">
      <w:pPr>
        <w:spacing w:after="5" w:line="247" w:lineRule="auto"/>
        <w:ind w:left="437" w:right="5" w:hanging="10"/>
        <w:jc w:val="both"/>
      </w:pPr>
      <w:r>
        <w:rPr>
          <w:rFonts w:ascii="Arial" w:eastAsia="Arial" w:hAnsi="Arial" w:cs="Arial"/>
        </w:rPr>
        <w:t>El actual Plan General de Ordenación Urbana de nuestro municipio, aprobado definitivamente mediante la Resolución de 27 de abril de 2007, de la Comisión de Ordenación del Territorio y Medio Ambiente de Canarias y publicada en el Boletín Oficial de Canarias</w:t>
      </w:r>
      <w:r>
        <w:rPr>
          <w:rFonts w:ascii="Arial" w:eastAsia="Arial" w:hAnsi="Arial" w:cs="Arial"/>
        </w:rPr>
        <w:t xml:space="preserve"> de 08-05-2007, califica el núcleo costero de Bajo la Cuesta como rustico de protección del litoral, siendo preceptivos los informes de la Direccion General de Costas, que meses antes, había incluido en el dominio público marítimo terrestre al conjunto del</w:t>
      </w:r>
      <w:r>
        <w:rPr>
          <w:rFonts w:ascii="Arial" w:eastAsia="Arial" w:hAnsi="Arial" w:cs="Arial"/>
        </w:rPr>
        <w:t xml:space="preserve"> núcleo costero.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Nos encontramos ante una situación, ajustada al rigor de la ley vigente, pero sumamente injusta para nuestros vecinos.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El tramo de costa del que se trata, señalado en el deslinde DL-107-TF, entre los mojones M-233 al M-250, es un a</w:t>
      </w:r>
      <w:r>
        <w:rPr>
          <w:rFonts w:ascii="Arial" w:eastAsia="Arial" w:hAnsi="Arial" w:cs="Arial"/>
        </w:rPr>
        <w:t xml:space="preserve">cantilado en cuya base se ha formado el pueblo de Bajo la Cuesta.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9" w:hanging="10"/>
        <w:jc w:val="both"/>
      </w:pPr>
      <w:r>
        <w:rPr>
          <w:rFonts w:ascii="Arial" w:eastAsia="Arial" w:hAnsi="Arial" w:cs="Arial"/>
        </w:rPr>
        <w:t>Hablamos de un tramo de acantilado y de su base, que desde la segunda mitad de la década de los años 60, hasta la década de los 80 del siglo XX, sufrió los efectos de continuos y reitera</w:t>
      </w:r>
      <w:r>
        <w:rPr>
          <w:rFonts w:ascii="Arial" w:eastAsia="Arial" w:hAnsi="Arial" w:cs="Arial"/>
        </w:rPr>
        <w:t xml:space="preserve">dos vertidos y rellenos. Son continuas, las autorizaciones otorgadas a empresas constructoras a verter escombros en la zona, provocando sucesivos rellenos.  </w:t>
      </w:r>
    </w:p>
    <w:p w:rsidR="00FF384B" w:rsidRDefault="003E3BA9">
      <w:pPr>
        <w:spacing w:after="14"/>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En Agosto de 1986, la Consejería de Política Territorial del Gobierno de Canarias, publica su “P</w:t>
      </w:r>
      <w:r>
        <w:rPr>
          <w:rFonts w:ascii="Arial" w:eastAsia="Arial" w:hAnsi="Arial" w:cs="Arial"/>
        </w:rPr>
        <w:t xml:space="preserve">lan de Acondicionamiento del Borde Costero de Tenerife, el primer documento de ordenación del litoral de la isla. </w:t>
      </w:r>
    </w:p>
    <w:p w:rsidR="00FF384B" w:rsidRDefault="003E3BA9">
      <w:pPr>
        <w:spacing w:after="0"/>
        <w:ind w:left="427"/>
      </w:pPr>
      <w:r>
        <w:rPr>
          <w:rFonts w:ascii="Arial" w:eastAsia="Arial" w:hAnsi="Arial" w:cs="Arial"/>
        </w:rPr>
        <w:t xml:space="preserve">  </w:t>
      </w:r>
    </w:p>
    <w:p w:rsidR="00FF384B" w:rsidRDefault="003E3BA9">
      <w:pPr>
        <w:spacing w:after="1" w:line="239" w:lineRule="auto"/>
        <w:ind w:left="437" w:hanging="10"/>
      </w:pPr>
      <w:r>
        <w:rPr>
          <w:noProof/>
        </w:rPr>
        <mc:AlternateContent>
          <mc:Choice Requires="wpg">
            <w:drawing>
              <wp:anchor distT="0" distB="0" distL="114300" distR="114300" simplePos="0" relativeHeight="251975680" behindDoc="1" locked="0" layoutInCell="1" allowOverlap="1">
                <wp:simplePos x="0" y="0"/>
                <wp:positionH relativeFrom="column">
                  <wp:posOffset>6952743</wp:posOffset>
                </wp:positionH>
                <wp:positionV relativeFrom="paragraph">
                  <wp:posOffset>-1463024</wp:posOffset>
                </wp:positionV>
                <wp:extent cx="524148" cy="3797300"/>
                <wp:effectExtent l="0" t="0" r="0" b="0"/>
                <wp:wrapNone/>
                <wp:docPr id="508372" name="Group 50837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325" name="Picture 55325"/>
                          <pic:cNvPicPr/>
                        </pic:nvPicPr>
                        <pic:blipFill>
                          <a:blip r:embed="rId62"/>
                          <a:stretch>
                            <a:fillRect/>
                          </a:stretch>
                        </pic:blipFill>
                        <pic:spPr>
                          <a:xfrm rot="-5399999">
                            <a:off x="-1720849" y="1720850"/>
                            <a:ext cx="3797299" cy="355600"/>
                          </a:xfrm>
                          <a:prstGeom prst="rect">
                            <a:avLst/>
                          </a:prstGeom>
                        </pic:spPr>
                      </pic:pic>
                      <wps:wsp>
                        <wps:cNvPr id="55326" name="Rectangle 5532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327" name="Rectangle 5532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372" style="width:41.2715pt;height:299pt;position:absolute;z-index:-2147483553;mso-position-horizontal-relative:text;mso-position-horizontal:absolute;margin-left:547.46pt;mso-position-vertical-relative:text;margin-top:-115.199pt;" coordsize="5241,37973">
                <v:shape id="Picture 55325" style="position:absolute;width:37972;height:3556;left:-17208;top:17208;rotation:-89;" filled="f">
                  <v:imagedata r:id="rId63"/>
                </v:shape>
                <v:rect id="Rectangle 5532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32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310 de 353 </w:t>
                        </w:r>
                      </w:p>
                    </w:txbxContent>
                  </v:textbox>
                </v:rect>
              </v:group>
            </w:pict>
          </mc:Fallback>
        </mc:AlternateContent>
      </w:r>
      <w:r>
        <w:rPr>
          <w:rFonts w:ascii="Arial" w:eastAsia="Arial" w:hAnsi="Arial" w:cs="Arial"/>
        </w:rPr>
        <w:t>En dicho plan, y en el apartado de las obras autorizadas en la franja del litoral y en la costa, cita obras en la zona de Bajo la Cuesta. Así, vertidos de escomb</w:t>
      </w:r>
      <w:r>
        <w:rPr>
          <w:rFonts w:ascii="Arial" w:eastAsia="Arial" w:hAnsi="Arial" w:cs="Arial"/>
        </w:rPr>
        <w:t xml:space="preserve">ros en la Montaña Bermeja, en el acantilado del Circulo de Amistad, y sobre todo los vertidos procedentes de la construcción de la autopista entre 1975 y 1987 y los vertidos de escombros y tierras procedentes de varias obras de distintas infraestructuras, </w:t>
      </w:r>
      <w:r>
        <w:rPr>
          <w:rFonts w:ascii="Arial" w:eastAsia="Arial" w:hAnsi="Arial" w:cs="Arial"/>
        </w:rPr>
        <w:t xml:space="preserve">fueron autorizados por la Dirección General de Costas, de manera continua y sistemática en el tramo de Bajo la Cuesta.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rFonts w:ascii="Arial" w:eastAsia="Arial" w:hAnsi="Arial" w:cs="Arial"/>
        </w:rPr>
        <w:t>A esto hay que sumarle los depósitos de callados sobrantes de otras playas del municipio en la base del acantilado, las obras de prot</w:t>
      </w:r>
      <w:r>
        <w:rPr>
          <w:rFonts w:ascii="Arial" w:eastAsia="Arial" w:hAnsi="Arial" w:cs="Arial"/>
        </w:rPr>
        <w:t xml:space="preserve">ección y el continuo aporte autorizado de piedras en la zona y los originados más recientemente por las obras de ampliación del tercer carril de la autopista. </w:t>
      </w:r>
    </w:p>
    <w:p w:rsidR="00FF384B" w:rsidRDefault="003E3BA9">
      <w:pPr>
        <w:spacing w:after="0"/>
        <w:ind w:left="427"/>
      </w:pPr>
      <w:r>
        <w:rPr>
          <w:rFonts w:ascii="Arial" w:eastAsia="Arial" w:hAnsi="Arial" w:cs="Arial"/>
        </w:rPr>
        <w:t xml:space="preserve">  </w:t>
      </w:r>
    </w:p>
    <w:p w:rsidR="00FF384B" w:rsidRDefault="003E3BA9">
      <w:pPr>
        <w:spacing w:after="4" w:line="247" w:lineRule="auto"/>
        <w:ind w:left="437" w:hanging="10"/>
        <w:jc w:val="both"/>
      </w:pPr>
      <w:r>
        <w:rPr>
          <w:rFonts w:ascii="Arial" w:eastAsia="Arial" w:hAnsi="Arial" w:cs="Arial"/>
        </w:rPr>
        <w:t xml:space="preserve">Tras esta situación, y en los años 80, este Ayuntamiento, en sesión ordinaria de la Comisión </w:t>
      </w:r>
      <w:r>
        <w:rPr>
          <w:rFonts w:ascii="Arial" w:eastAsia="Arial" w:hAnsi="Arial" w:cs="Arial"/>
        </w:rPr>
        <w:t xml:space="preserve">de gobierno, de fecha 15 de abril de 1988, propone para la consideración y aprobación que </w:t>
      </w:r>
      <w:r>
        <w:rPr>
          <w:rFonts w:ascii="Arial" w:eastAsia="Arial" w:hAnsi="Arial" w:cs="Arial"/>
          <w:i/>
        </w:rPr>
        <w:t>“ tras el acuerdo de la Comisión de Urbanismo y Medio Ambiente de Canarias de fecha 17 de noviembre de 1987, que aprueban las normas subsidiarias de planeamiento de C</w:t>
      </w:r>
      <w:r>
        <w:rPr>
          <w:rFonts w:ascii="Arial" w:eastAsia="Arial" w:hAnsi="Arial" w:cs="Arial"/>
          <w:i/>
        </w:rPr>
        <w:t>andelaria, que califican al pueblo de Bajo la Cuesta, como suelo urbano, núcleo continuo, y que preveen como uso del borde costero, la de calle y paseo marítimo, la redacción del proyecto de Calle y paseo marítimo en la zona de Bajo la Cuesta</w:t>
      </w:r>
      <w:r>
        <w:rPr>
          <w:rFonts w:ascii="Arial" w:eastAsia="Arial" w:hAnsi="Arial" w:cs="Arial"/>
        </w:rPr>
        <w:t xml:space="preserve">”.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 w:line="239" w:lineRule="auto"/>
        <w:ind w:left="437" w:hanging="10"/>
      </w:pPr>
      <w:r>
        <w:rPr>
          <w:rFonts w:ascii="Arial" w:eastAsia="Arial" w:hAnsi="Arial" w:cs="Arial"/>
        </w:rPr>
        <w:t>Resultado de este acuerdo, fue la realización de la obra de la Calle en Bajo la Cuesta, con uso mixto de vía y paseo marítimo, y que actualmente se denomina, calle Manuel Oliva Martín, y que la electrificación de la misma, y de todo el núcleo de Bajo la Cu</w:t>
      </w:r>
      <w:r>
        <w:rPr>
          <w:rFonts w:ascii="Arial" w:eastAsia="Arial" w:hAnsi="Arial" w:cs="Arial"/>
        </w:rPr>
        <w:t xml:space="preserve">esta fue solicitada por este Ayuntamiento a la Consejería de Industria y Energía del Gobierno de Canarias e incluida en el Plan Nacional de Electrificación Rural (PLANER-87) y finalizadas en julio de 1989.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8" w:hanging="10"/>
        <w:jc w:val="both"/>
      </w:pPr>
      <w:r>
        <w:rPr>
          <w:rFonts w:ascii="Arial" w:eastAsia="Arial" w:hAnsi="Arial" w:cs="Arial"/>
        </w:rPr>
        <w:t>El resultado de todas estas acciones, es el de</w:t>
      </w:r>
      <w:r>
        <w:rPr>
          <w:rFonts w:ascii="Arial" w:eastAsia="Arial" w:hAnsi="Arial" w:cs="Arial"/>
        </w:rPr>
        <w:t xml:space="preserve"> un núcleo costero, dotado con todos los servicios, incluido en el dominio público marítimo terrestre, en la base de un acantilado, que tras décadas de vertidos autorizados por la Direccion General de Costas, de obras y rellenos, ha perdido todo interés am</w:t>
      </w:r>
      <w:r>
        <w:rPr>
          <w:rFonts w:ascii="Arial" w:eastAsia="Arial" w:hAnsi="Arial" w:cs="Arial"/>
        </w:rPr>
        <w:t xml:space="preserve">biental.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9" w:hanging="10"/>
        <w:jc w:val="both"/>
      </w:pPr>
      <w:r>
        <w:rPr>
          <w:rFonts w:ascii="Arial" w:eastAsia="Arial" w:hAnsi="Arial" w:cs="Arial"/>
        </w:rPr>
        <w:t>Vista la situación actual de este núcleo residencial, La ley de Costas de 1988, de 28 de julio, en su articulado nos proporciona la opción legal y factible de poder corregir la situación anteriormente descrita, y en el Reglamento General de Co</w:t>
      </w:r>
      <w:r>
        <w:rPr>
          <w:rFonts w:ascii="Arial" w:eastAsia="Arial" w:hAnsi="Arial" w:cs="Arial"/>
        </w:rPr>
        <w:t xml:space="preserve">stas, aprobado por Real Decreto 876/2014, de 10 de octubre, en su artículo 38, sobre la desafectación de terrenos, nos dice que:  </w:t>
      </w:r>
    </w:p>
    <w:p w:rsidR="00FF384B" w:rsidRDefault="003E3BA9">
      <w:pPr>
        <w:spacing w:after="0"/>
        <w:ind w:left="427"/>
      </w:pPr>
      <w:r>
        <w:rPr>
          <w:rFonts w:ascii="Arial" w:eastAsia="Arial" w:hAnsi="Arial" w:cs="Arial"/>
        </w:rPr>
        <w:t xml:space="preserve"> </w:t>
      </w:r>
    </w:p>
    <w:p w:rsidR="00FF384B" w:rsidRDefault="003E3BA9">
      <w:pPr>
        <w:numPr>
          <w:ilvl w:val="0"/>
          <w:numId w:val="331"/>
        </w:numPr>
        <w:spacing w:after="4" w:line="247" w:lineRule="auto"/>
        <w:ind w:right="9" w:hanging="247"/>
        <w:jc w:val="both"/>
      </w:pPr>
      <w:r>
        <w:rPr>
          <w:rFonts w:ascii="Arial" w:eastAsia="Arial" w:hAnsi="Arial" w:cs="Arial"/>
        </w:rPr>
        <w:t xml:space="preserve">Solo podrá procederse a la desafectación de terrenos en el supuesto del apartado 5º del artículo 4, según el mismo, </w:t>
      </w:r>
      <w:r>
        <w:rPr>
          <w:rFonts w:ascii="Arial" w:eastAsia="Arial" w:hAnsi="Arial" w:cs="Arial"/>
          <w:i/>
        </w:rPr>
        <w:t>los terrenos deslindados como dominio público que por cualquier causa han perdido sus características naturales de playa, acantilado, o zona marítimo-terrestre, salvo lo previsto en el artículo 18, previo informe preceptivo del Ayuntamiento y de la Comunid</w:t>
      </w:r>
      <w:r>
        <w:rPr>
          <w:rFonts w:ascii="Arial" w:eastAsia="Arial" w:hAnsi="Arial" w:cs="Arial"/>
          <w:i/>
        </w:rPr>
        <w:t>ad Autónoma afectados y previa declaración de innecesaridad a los efectos previstos en el artículo anterior.</w:t>
      </w:r>
      <w:r>
        <w:rPr>
          <w:rFonts w:ascii="Arial" w:eastAsia="Arial" w:hAnsi="Arial" w:cs="Arial"/>
          <w:sz w:val="24"/>
        </w:rPr>
        <w:t xml:space="preserve"> </w:t>
      </w:r>
    </w:p>
    <w:p w:rsidR="00FF384B" w:rsidRDefault="003E3BA9">
      <w:pPr>
        <w:spacing w:after="0"/>
        <w:ind w:left="427"/>
      </w:pPr>
      <w:r>
        <w:rPr>
          <w:rFonts w:ascii="Arial" w:eastAsia="Arial" w:hAnsi="Arial" w:cs="Arial"/>
          <w:i/>
        </w:rPr>
        <w:t xml:space="preserve"> </w:t>
      </w:r>
    </w:p>
    <w:p w:rsidR="00FF384B" w:rsidRDefault="003E3BA9">
      <w:pPr>
        <w:spacing w:after="0"/>
        <w:ind w:left="427"/>
      </w:pPr>
      <w:r>
        <w:rPr>
          <w:rFonts w:ascii="Arial" w:eastAsia="Arial" w:hAnsi="Arial" w:cs="Arial"/>
          <w:i/>
        </w:rPr>
        <w:t xml:space="preserve"> </w:t>
      </w:r>
    </w:p>
    <w:p w:rsidR="00FF384B" w:rsidRDefault="003E3BA9">
      <w:pPr>
        <w:numPr>
          <w:ilvl w:val="0"/>
          <w:numId w:val="331"/>
        </w:numPr>
        <w:spacing w:after="5" w:line="247" w:lineRule="auto"/>
        <w:ind w:right="9" w:hanging="247"/>
        <w:jc w:val="both"/>
      </w:pPr>
      <w:r>
        <w:rPr>
          <w:noProof/>
        </w:rPr>
        <mc:AlternateContent>
          <mc:Choice Requires="wpg">
            <w:drawing>
              <wp:anchor distT="0" distB="0" distL="114300" distR="114300" simplePos="0" relativeHeight="251976704" behindDoc="1" locked="0" layoutInCell="1" allowOverlap="1">
                <wp:simplePos x="0" y="0"/>
                <wp:positionH relativeFrom="column">
                  <wp:posOffset>6952743</wp:posOffset>
                </wp:positionH>
                <wp:positionV relativeFrom="paragraph">
                  <wp:posOffset>-1470644</wp:posOffset>
                </wp:positionV>
                <wp:extent cx="524148" cy="3797300"/>
                <wp:effectExtent l="0" t="0" r="0" b="0"/>
                <wp:wrapNone/>
                <wp:docPr id="508381" name="Group 50838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427" name="Picture 55427"/>
                          <pic:cNvPicPr/>
                        </pic:nvPicPr>
                        <pic:blipFill>
                          <a:blip r:embed="rId62"/>
                          <a:stretch>
                            <a:fillRect/>
                          </a:stretch>
                        </pic:blipFill>
                        <pic:spPr>
                          <a:xfrm rot="-5399999">
                            <a:off x="-1720849" y="1720850"/>
                            <a:ext cx="3797299" cy="355600"/>
                          </a:xfrm>
                          <a:prstGeom prst="rect">
                            <a:avLst/>
                          </a:prstGeom>
                        </pic:spPr>
                      </pic:pic>
                      <wps:wsp>
                        <wps:cNvPr id="55428" name="Rectangle 5542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429" name="Rectangle 55429"/>
                        <wps:cNvSpPr/>
                        <wps:spPr>
                          <a:xfrm rot="-5399999">
                            <a:off x="-1732004" y="1513053"/>
                            <a:ext cx="4455271" cy="113222"/>
                          </a:xfrm>
                          <a:prstGeom prst="rect">
                            <a:avLst/>
                          </a:prstGeom>
                          <a:ln>
                            <a:noFill/>
                          </a:ln>
                        </wps:spPr>
                        <wps:txbx>
                          <w:txbxContent>
                            <w:p w:rsidR="00FF384B" w:rsidRDefault="003E3BA9">
                              <w:r>
                                <w:rPr>
                                  <w:rFonts w:ascii="Arial" w:eastAsia="Arial" w:hAnsi="Arial" w:cs="Arial"/>
                                  <w:sz w:val="12"/>
                                </w:rPr>
                                <w:t>Documento firmado electrónicamente desd</w:t>
                              </w:r>
                              <w:r>
                                <w:rPr>
                                  <w:rFonts w:ascii="Arial" w:eastAsia="Arial" w:hAnsi="Arial" w:cs="Arial"/>
                                  <w:sz w:val="12"/>
                                </w:rPr>
                                <w:t xml:space="preserve">e la plataforma esPublico Gestiona | Página 311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381" style="width:41.2715pt;height:299pt;position:absolute;z-index:-2147483561;mso-position-horizontal-relative:text;mso-position-horizontal:absolute;margin-left:547.46pt;mso-position-vertical-relative:text;margin-top:-115.799pt;" coordsize="5241,37973">
                <v:shape id="Picture 55427" style="position:absolute;width:37972;height:3556;left:-17208;top:17208;rotation:-89;" filled="f">
                  <v:imagedata r:id="rId63"/>
                </v:shape>
                <v:rect id="Rectangle 5542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429" style="position:absolute;width:44552;height:1132;left:-17320;top:1513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311 de 353 </w:t>
                        </w:r>
                      </w:p>
                    </w:txbxContent>
                  </v:textbox>
                </v:rect>
              </v:group>
            </w:pict>
          </mc:Fallback>
        </mc:AlternateContent>
      </w:r>
      <w:r>
        <w:rPr>
          <w:rFonts w:ascii="Arial" w:eastAsia="Arial" w:hAnsi="Arial" w:cs="Arial"/>
        </w:rPr>
        <w:t xml:space="preserve">La declaración de innecesariedad para la protección o utilización del dominio público marítimo-terrestre tendrá carácter excepcional </w:t>
      </w:r>
      <w:r>
        <w:rPr>
          <w:rFonts w:ascii="Arial" w:eastAsia="Arial" w:hAnsi="Arial" w:cs="Arial"/>
          <w:i/>
        </w:rPr>
        <w:t>y sólo procederá en aquellos supuestos en que resulte inviable la r</w:t>
      </w:r>
      <w:r>
        <w:rPr>
          <w:rFonts w:ascii="Arial" w:eastAsia="Arial" w:hAnsi="Arial" w:cs="Arial"/>
          <w:i/>
        </w:rPr>
        <w:t xml:space="preserve">ecuperación de los terrenos o la utilización de los mismos para usos relacionados con la protección y utilización del dominio público marítimo-terrestre. </w:t>
      </w:r>
      <w:r>
        <w:rPr>
          <w:rFonts w:ascii="Arial" w:eastAsia="Arial" w:hAnsi="Arial" w:cs="Arial"/>
        </w:rPr>
        <w:t>Una vez declarada la innecesariedad de los terrenos podrá solicitarse su desafectación al Ministerio d</w:t>
      </w:r>
      <w:r>
        <w:rPr>
          <w:rFonts w:ascii="Arial" w:eastAsia="Arial" w:hAnsi="Arial" w:cs="Arial"/>
        </w:rPr>
        <w:t xml:space="preserve">e Hacienda y Administraciones Públicas en los términos de la Ley 33/2003, de 3 de noviembre, de Patrimonio de las Administraciones Públicas.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numPr>
          <w:ilvl w:val="0"/>
          <w:numId w:val="331"/>
        </w:numPr>
        <w:spacing w:after="5" w:line="247" w:lineRule="auto"/>
        <w:ind w:right="9" w:hanging="247"/>
        <w:jc w:val="both"/>
      </w:pPr>
      <w:r>
        <w:rPr>
          <w:rFonts w:ascii="Arial" w:eastAsia="Arial" w:hAnsi="Arial" w:cs="Arial"/>
        </w:rPr>
        <w:t>La desafectación deberá ser expresa y antes de proceder a ella habrán de practicarse los correspondientes desli</w:t>
      </w:r>
      <w:r>
        <w:rPr>
          <w:rFonts w:ascii="Arial" w:eastAsia="Arial" w:hAnsi="Arial" w:cs="Arial"/>
        </w:rPr>
        <w:t xml:space="preserve">ndes y cumplirse las restantes condiciones exigidas por la Ley 33/2003, de 3 de noviembre.  </w:t>
      </w:r>
    </w:p>
    <w:p w:rsidR="00FF384B" w:rsidRDefault="003E3BA9">
      <w:pPr>
        <w:spacing w:after="0"/>
        <w:ind w:left="427"/>
      </w:pPr>
      <w:r>
        <w:rPr>
          <w:rFonts w:ascii="Arial" w:eastAsia="Arial" w:hAnsi="Arial" w:cs="Arial"/>
        </w:rPr>
        <w:t xml:space="preserve"> </w:t>
      </w:r>
    </w:p>
    <w:p w:rsidR="00FF384B" w:rsidRDefault="003E3BA9">
      <w:pPr>
        <w:numPr>
          <w:ilvl w:val="0"/>
          <w:numId w:val="331"/>
        </w:numPr>
        <w:spacing w:after="5" w:line="247" w:lineRule="auto"/>
        <w:ind w:right="9" w:hanging="247"/>
        <w:jc w:val="both"/>
      </w:pPr>
      <w:r>
        <w:rPr>
          <w:rFonts w:ascii="Arial" w:eastAsia="Arial" w:hAnsi="Arial" w:cs="Arial"/>
        </w:rPr>
        <w:t xml:space="preserve">La desafectación se tramitará de acuerdo con lo dispuesto en la legislación patrimonial.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9" w:hanging="10"/>
        <w:jc w:val="both"/>
      </w:pPr>
      <w:r>
        <w:rPr>
          <w:rFonts w:ascii="Arial" w:eastAsia="Arial" w:hAnsi="Arial" w:cs="Arial"/>
        </w:rPr>
        <w:t>La declaración de innecesaridad, tal y como deriva del artículo 18 d</w:t>
      </w:r>
      <w:r>
        <w:rPr>
          <w:rFonts w:ascii="Arial" w:eastAsia="Arial" w:hAnsi="Arial" w:cs="Arial"/>
        </w:rPr>
        <w:t xml:space="preserve">e la Ley 22/1988, de Costas, en relación con el artículo 4.5 de la misma, transcritos con anterioridad, ni crea ni modifica ni extingue, por sí misma, ninguna relación jurídica, </w:t>
      </w:r>
      <w:r>
        <w:rPr>
          <w:rFonts w:ascii="Arial" w:eastAsia="Arial" w:hAnsi="Arial" w:cs="Arial"/>
          <w:i/>
        </w:rPr>
        <w:t>sino que constituye un requisito previo para que pueda tener lugar la declarac</w:t>
      </w:r>
      <w:r>
        <w:rPr>
          <w:rFonts w:ascii="Arial" w:eastAsia="Arial" w:hAnsi="Arial" w:cs="Arial"/>
          <w:i/>
        </w:rPr>
        <w:t>ión que modifique la esfera jurídica de la Administración</w:t>
      </w:r>
      <w:r>
        <w:rPr>
          <w:rFonts w:ascii="Arial" w:eastAsia="Arial" w:hAnsi="Arial" w:cs="Arial"/>
        </w:rPr>
        <w:t xml:space="preserve">, como es </w:t>
      </w:r>
      <w:r>
        <w:rPr>
          <w:rFonts w:ascii="Arial" w:eastAsia="Arial" w:hAnsi="Arial" w:cs="Arial"/>
          <w:i/>
        </w:rPr>
        <w:t>la desafectación de los terrenos</w:t>
      </w:r>
      <w:r>
        <w:rPr>
          <w:rFonts w:ascii="Arial" w:eastAsia="Arial" w:hAnsi="Arial" w:cs="Arial"/>
        </w:rPr>
        <w:t xml:space="preserve">, es decir, se trata de un requisito previo para que pueda tener lugar el dictado de una ulterior resolución de desafectación.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7" w:hanging="10"/>
        <w:jc w:val="both"/>
      </w:pPr>
      <w:r>
        <w:rPr>
          <w:rFonts w:ascii="Arial" w:eastAsia="Arial" w:hAnsi="Arial" w:cs="Arial"/>
        </w:rPr>
        <w:t>Se entiende que tal declar</w:t>
      </w:r>
      <w:r>
        <w:rPr>
          <w:rFonts w:ascii="Arial" w:eastAsia="Arial" w:hAnsi="Arial" w:cs="Arial"/>
        </w:rPr>
        <w:t>ación de innecesaridad debe ser motivada, y la solicitud de la misma, debe estar debidamente argumentada, ya que no existe norma alguna que establezca criterios concretos respecto de la valoración administrativa de la ausencia de necesidad o “innecesarieda</w:t>
      </w:r>
      <w:r>
        <w:rPr>
          <w:rFonts w:ascii="Arial" w:eastAsia="Arial" w:hAnsi="Arial" w:cs="Arial"/>
        </w:rPr>
        <w:t>d” sino que se trata de la aplicación de un concepto jurídico administrativo indeterminado, que debe ser interpretado en cada caso.</w:t>
      </w:r>
      <w:r>
        <w:rPr>
          <w:rFonts w:ascii="Arial" w:eastAsia="Arial" w:hAnsi="Arial" w:cs="Arial"/>
          <w:sz w:val="24"/>
        </w:rPr>
        <w:t xml:space="preserve"> </w:t>
      </w:r>
    </w:p>
    <w:p w:rsidR="00FF384B" w:rsidRDefault="003E3BA9">
      <w:pPr>
        <w:spacing w:after="0"/>
        <w:ind w:left="427"/>
      </w:pPr>
      <w:r>
        <w:rPr>
          <w:rFonts w:ascii="Arial" w:eastAsia="Arial" w:hAnsi="Arial" w:cs="Arial"/>
          <w:i/>
        </w:rPr>
        <w:t xml:space="preserve"> </w:t>
      </w:r>
    </w:p>
    <w:p w:rsidR="00FF384B" w:rsidRDefault="003E3BA9">
      <w:pPr>
        <w:spacing w:after="0"/>
        <w:ind w:left="427"/>
      </w:pPr>
      <w:r>
        <w:rPr>
          <w:rFonts w:ascii="Arial" w:eastAsia="Arial" w:hAnsi="Arial" w:cs="Arial"/>
          <w:i/>
        </w:rPr>
        <w:t xml:space="preserve"> </w:t>
      </w:r>
    </w:p>
    <w:p w:rsidR="00FF384B" w:rsidRDefault="003E3BA9">
      <w:pPr>
        <w:spacing w:after="0"/>
        <w:ind w:left="427"/>
      </w:pPr>
      <w:r>
        <w:rPr>
          <w:rFonts w:ascii="Arial" w:eastAsia="Arial" w:hAnsi="Arial" w:cs="Arial"/>
          <w:i/>
        </w:rPr>
        <w:t xml:space="preserve"> </w:t>
      </w:r>
    </w:p>
    <w:p w:rsidR="00FF384B" w:rsidRDefault="003E3BA9">
      <w:pPr>
        <w:spacing w:after="5" w:line="247" w:lineRule="auto"/>
        <w:ind w:left="437" w:right="8" w:hanging="10"/>
        <w:jc w:val="both"/>
      </w:pPr>
      <w:r>
        <w:rPr>
          <w:rFonts w:ascii="Arial" w:eastAsia="Arial" w:hAnsi="Arial" w:cs="Arial"/>
        </w:rPr>
        <w:t>En Bajo la Cuesta, la argumentación para la solicitud de la innecesariedad de los terrenos para la protección o utilización del dominio público marítimo terrestre se encuadran, en el supuesto de como requisitos imprescindibles y acumulativos a fin de decla</w:t>
      </w:r>
      <w:r>
        <w:rPr>
          <w:rFonts w:ascii="Arial" w:eastAsia="Arial" w:hAnsi="Arial" w:cs="Arial"/>
        </w:rPr>
        <w:t>rar la que la devolución del terreno, a su estado natural, la recuperación de ese tramo del litoral requiera el levantamiento de rellenos consolidados que dan soporte a edificaciones, solares o infraestructuras integrados en una trama urbana consolidada; e</w:t>
      </w:r>
      <w:r>
        <w:rPr>
          <w:rFonts w:ascii="Arial" w:eastAsia="Arial" w:hAnsi="Arial" w:cs="Arial"/>
        </w:rPr>
        <w:t xml:space="preserve">n la base de un acantilado; en terrenos calificados como urbanos.  </w:t>
      </w:r>
    </w:p>
    <w:p w:rsidR="00FF384B" w:rsidRDefault="003E3BA9">
      <w:pPr>
        <w:spacing w:after="0"/>
        <w:ind w:left="427"/>
      </w:pPr>
      <w:r>
        <w:rPr>
          <w:rFonts w:ascii="Arial" w:eastAsia="Arial" w:hAnsi="Arial" w:cs="Arial"/>
        </w:rPr>
        <w:t xml:space="preserve"> </w:t>
      </w:r>
    </w:p>
    <w:p w:rsidR="00FF384B" w:rsidRDefault="003E3BA9">
      <w:pPr>
        <w:spacing w:after="4" w:line="247" w:lineRule="auto"/>
        <w:ind w:left="437" w:right="9" w:hanging="10"/>
        <w:jc w:val="both"/>
      </w:pPr>
      <w:r>
        <w:rPr>
          <w:noProof/>
        </w:rPr>
        <mc:AlternateContent>
          <mc:Choice Requires="wpg">
            <w:drawing>
              <wp:anchor distT="0" distB="0" distL="114300" distR="114300" simplePos="0" relativeHeight="251977728" behindDoc="1" locked="0" layoutInCell="1" allowOverlap="1">
                <wp:simplePos x="0" y="0"/>
                <wp:positionH relativeFrom="column">
                  <wp:posOffset>6952743</wp:posOffset>
                </wp:positionH>
                <wp:positionV relativeFrom="paragraph">
                  <wp:posOffset>-345678</wp:posOffset>
                </wp:positionV>
                <wp:extent cx="524148" cy="3797300"/>
                <wp:effectExtent l="0" t="0" r="0" b="0"/>
                <wp:wrapNone/>
                <wp:docPr id="508710" name="Group 50871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537" name="Picture 55537"/>
                          <pic:cNvPicPr/>
                        </pic:nvPicPr>
                        <pic:blipFill>
                          <a:blip r:embed="rId62"/>
                          <a:stretch>
                            <a:fillRect/>
                          </a:stretch>
                        </pic:blipFill>
                        <pic:spPr>
                          <a:xfrm rot="-5399999">
                            <a:off x="-1720849" y="1720850"/>
                            <a:ext cx="3797299" cy="355600"/>
                          </a:xfrm>
                          <a:prstGeom prst="rect">
                            <a:avLst/>
                          </a:prstGeom>
                        </pic:spPr>
                      </pic:pic>
                      <wps:wsp>
                        <wps:cNvPr id="55538" name="Rectangle 5553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539" name="Rectangle 5553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w:t>
                              </w:r>
                              <w:r>
                                <w:rPr>
                                  <w:rFonts w:ascii="Arial" w:eastAsia="Arial" w:hAnsi="Arial" w:cs="Arial"/>
                                  <w:sz w:val="12"/>
                                </w:rPr>
                                <w:t xml:space="preserve">312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710" style="width:41.2715pt;height:299pt;position:absolute;z-index:-2147483555;mso-position-horizontal-relative:text;mso-position-horizontal:absolute;margin-left:547.46pt;mso-position-vertical-relative:text;margin-top:-27.2188pt;" coordsize="5241,37973">
                <v:shape id="Picture 55537" style="position:absolute;width:37972;height:3556;left:-17208;top:17208;rotation:-89;" filled="f">
                  <v:imagedata r:id="rId63"/>
                </v:shape>
                <v:rect id="Rectangle 5553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53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312 de 353 </w:t>
                        </w:r>
                      </w:p>
                    </w:txbxContent>
                  </v:textbox>
                </v:rect>
              </v:group>
            </w:pict>
          </mc:Fallback>
        </mc:AlternateContent>
      </w:r>
      <w:r>
        <w:rPr>
          <w:rFonts w:ascii="Arial" w:eastAsia="Arial" w:hAnsi="Arial" w:cs="Arial"/>
        </w:rPr>
        <w:t>Es aplicable en este caso, la doctrina de las SSTS de 16 de mayo de 2014 (Rec. 4518/2011) y de 3 de febrero de 2015 (Rec. 368/2013), a cuyo tenor «</w:t>
      </w:r>
      <w:r>
        <w:rPr>
          <w:rFonts w:ascii="Arial" w:eastAsia="Arial" w:hAnsi="Arial" w:cs="Arial"/>
          <w:i/>
        </w:rPr>
        <w:t>la remisión que hace el artículo 4.5 de la Ley de Costas al procedimiento de desafectación previs</w:t>
      </w:r>
      <w:r>
        <w:rPr>
          <w:rFonts w:ascii="Arial" w:eastAsia="Arial" w:hAnsi="Arial" w:cs="Arial"/>
          <w:i/>
        </w:rPr>
        <w:t>to en el artículo 18 de la misma Ley lleva a considerar que los terrenos que han perdido sus características naturales de playa, acantilado o zona marítimo-terrestre no han de mantenerse indefinidamente en el ámbito del dominio público por el solo hecho de</w:t>
      </w:r>
      <w:r>
        <w:rPr>
          <w:rFonts w:ascii="Arial" w:eastAsia="Arial" w:hAnsi="Arial" w:cs="Arial"/>
          <w:i/>
        </w:rPr>
        <w:t xml:space="preserve"> que un deslinde, los incluyó en su día como demaniales».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rPr>
        <w:t xml:space="preserve">Atendiendo a lo anteriormente descrito, </w:t>
      </w:r>
      <w:r>
        <w:rPr>
          <w:rFonts w:ascii="Arial" w:eastAsia="Arial" w:hAnsi="Arial" w:cs="Arial"/>
          <w:b/>
        </w:rPr>
        <w:t xml:space="preserve">proponemos al Pleno del Ayuntamiento de Candelaria los siguientes </w:t>
      </w:r>
      <w:r>
        <w:rPr>
          <w:rFonts w:ascii="Arial" w:eastAsia="Arial" w:hAnsi="Arial" w:cs="Arial"/>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ACUERDOS: </w:t>
      </w:r>
    </w:p>
    <w:p w:rsidR="00FF384B" w:rsidRDefault="003E3BA9">
      <w:pPr>
        <w:spacing w:after="0"/>
        <w:ind w:left="427"/>
      </w:pPr>
      <w:r>
        <w:rPr>
          <w:rFonts w:ascii="Arial" w:eastAsia="Arial" w:hAnsi="Arial" w:cs="Arial"/>
          <w:b/>
        </w:rPr>
        <w:t xml:space="preserve"> </w:t>
      </w:r>
      <w:r>
        <w:rPr>
          <w:rFonts w:ascii="Arial" w:eastAsia="Arial" w:hAnsi="Arial" w:cs="Arial"/>
          <w:sz w:val="24"/>
        </w:rPr>
        <w:t xml:space="preserve"> </w:t>
      </w:r>
    </w:p>
    <w:p w:rsidR="00FF384B" w:rsidRDefault="003E3BA9">
      <w:pPr>
        <w:spacing w:after="15" w:line="247" w:lineRule="auto"/>
        <w:ind w:left="415" w:hanging="3"/>
        <w:jc w:val="both"/>
      </w:pPr>
      <w:r>
        <w:rPr>
          <w:rFonts w:ascii="Arial" w:eastAsia="Arial" w:hAnsi="Arial" w:cs="Arial"/>
          <w:b/>
        </w:rPr>
        <w:t xml:space="preserve">1.- </w:t>
      </w:r>
      <w:r>
        <w:rPr>
          <w:rFonts w:ascii="Arial" w:eastAsia="Arial" w:hAnsi="Arial" w:cs="Arial"/>
          <w:b/>
        </w:rPr>
        <w:t xml:space="preserve">Redactar y solicitar al Ministerio para la Transición Ecológica y el Reto Demográfico, la declaración de innecesariedad de los terrenos para la protección del dominio público marítimo terrestre, entre los mojones M-233 al M-250 del deslinde con referencia </w:t>
      </w:r>
      <w:r>
        <w:rPr>
          <w:rFonts w:ascii="Arial" w:eastAsia="Arial" w:hAnsi="Arial" w:cs="Arial"/>
          <w:b/>
        </w:rPr>
        <w:t xml:space="preserve">DL-107- TF que afecta al litoral de Candelaria. </w:t>
      </w:r>
    </w:p>
    <w:p w:rsidR="00FF384B" w:rsidRDefault="003E3BA9">
      <w:pPr>
        <w:spacing w:after="0"/>
        <w:ind w:left="427"/>
      </w:pPr>
      <w:r>
        <w:rPr>
          <w:rFonts w:ascii="Arial" w:eastAsia="Arial" w:hAnsi="Arial" w:cs="Arial"/>
          <w:b/>
        </w:rPr>
        <w:t xml:space="preserve"> </w:t>
      </w:r>
      <w:r>
        <w:rPr>
          <w:rFonts w:ascii="Arial" w:eastAsia="Arial" w:hAnsi="Arial" w:cs="Arial"/>
          <w:sz w:val="24"/>
        </w:rPr>
        <w:t xml:space="preserve"> </w:t>
      </w:r>
    </w:p>
    <w:p w:rsidR="00FF384B" w:rsidRDefault="003E3BA9">
      <w:pPr>
        <w:spacing w:after="15" w:line="247" w:lineRule="auto"/>
        <w:ind w:left="415" w:hanging="3"/>
        <w:jc w:val="both"/>
      </w:pPr>
      <w:r>
        <w:rPr>
          <w:rFonts w:ascii="Arial" w:eastAsia="Arial" w:hAnsi="Arial" w:cs="Arial"/>
          <w:b/>
        </w:rPr>
        <w:t>2.-Dar traslado de esta solicitud, a la Consejería de Transición Ecológica, Lucha contra el Cambio Climático y Planificación Territorial del Gobierno de Canarias, instando la realización del informe neces</w:t>
      </w:r>
      <w:r>
        <w:rPr>
          <w:rFonts w:ascii="Arial" w:eastAsia="Arial" w:hAnsi="Arial" w:cs="Arial"/>
          <w:b/>
        </w:rPr>
        <w:t xml:space="preserve">ario.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3.-</w:t>
      </w:r>
      <w:r>
        <w:rPr>
          <w:rFonts w:ascii="Arial" w:eastAsia="Arial" w:hAnsi="Arial" w:cs="Arial"/>
          <w:b/>
        </w:rPr>
        <w:t>Mantener reuniones continuas con la Dirección General de Costas, y la Subdirección General del Dominio Público Marítimo Terrestre, con el objeto de aportar cuanta documentación sea requerida para la obtención de la declaración de innecesariedad de los terr</w:t>
      </w:r>
      <w:r>
        <w:rPr>
          <w:rFonts w:ascii="Arial" w:eastAsia="Arial" w:hAnsi="Arial" w:cs="Arial"/>
          <w:b/>
        </w:rPr>
        <w:t xml:space="preserve">enos señalados entre los mojones M-233 al M-250 del deslinde con referencia DL-107- TF. </w:t>
      </w:r>
    </w:p>
    <w:p w:rsidR="00FF384B" w:rsidRDefault="003E3BA9">
      <w:pPr>
        <w:spacing w:after="0"/>
        <w:ind w:left="427"/>
      </w:pPr>
      <w:r>
        <w:rPr>
          <w:rFonts w:ascii="Arial" w:eastAsia="Arial" w:hAnsi="Arial" w:cs="Arial"/>
          <w:b/>
        </w:rPr>
        <w:t xml:space="preserve"> </w:t>
      </w:r>
      <w:r>
        <w:rPr>
          <w:rFonts w:ascii="Arial" w:eastAsia="Arial" w:hAnsi="Arial" w:cs="Arial"/>
          <w:sz w:val="24"/>
        </w:rPr>
        <w:t xml:space="preserve"> </w:t>
      </w:r>
    </w:p>
    <w:p w:rsidR="00FF384B" w:rsidRDefault="003E3BA9">
      <w:pPr>
        <w:spacing w:after="15" w:line="247" w:lineRule="auto"/>
        <w:ind w:left="415" w:hanging="3"/>
        <w:jc w:val="both"/>
      </w:pPr>
      <w:r>
        <w:rPr>
          <w:rFonts w:ascii="Arial" w:eastAsia="Arial" w:hAnsi="Arial" w:cs="Arial"/>
          <w:b/>
        </w:rPr>
        <w:t>4.- Proseguir todos los procesos legales, para lograr la desafección de los terrenos del dominio público marítimo terrestre en el tramo de Bajo la Cuesta, afectados</w:t>
      </w:r>
      <w:r>
        <w:rPr>
          <w:rFonts w:ascii="Arial" w:eastAsia="Arial" w:hAnsi="Arial" w:cs="Arial"/>
          <w:b/>
        </w:rPr>
        <w:t xml:space="preserve"> por el deslinde DL-107- TF.  </w:t>
      </w:r>
    </w:p>
    <w:p w:rsidR="00FF384B" w:rsidRDefault="003E3BA9">
      <w:pPr>
        <w:spacing w:after="0"/>
        <w:ind w:left="427"/>
      </w:pPr>
      <w:r>
        <w:rPr>
          <w:rFonts w:ascii="Arial" w:eastAsia="Arial" w:hAnsi="Arial" w:cs="Arial"/>
          <w:b/>
        </w:rPr>
        <w:t xml:space="preserve"> </w:t>
      </w:r>
    </w:p>
    <w:p w:rsidR="00FF384B" w:rsidRDefault="003E3BA9">
      <w:pPr>
        <w:spacing w:after="22"/>
        <w:ind w:left="427"/>
      </w:pPr>
      <w:r>
        <w:rPr>
          <w:rFonts w:ascii="Arial" w:eastAsia="Arial" w:hAnsi="Arial" w:cs="Arial"/>
          <w:b/>
        </w:rPr>
        <w:t xml:space="preserve"> </w:t>
      </w:r>
    </w:p>
    <w:p w:rsidR="00FF384B" w:rsidRDefault="003E3BA9">
      <w:pPr>
        <w:spacing w:after="5" w:line="247" w:lineRule="auto"/>
        <w:ind w:left="437" w:right="6752" w:hanging="10"/>
        <w:jc w:val="both"/>
      </w:pPr>
      <w:r>
        <w:rPr>
          <w:rFonts w:ascii="Arial" w:eastAsia="Arial" w:hAnsi="Arial" w:cs="Arial"/>
        </w:rPr>
        <w:t xml:space="preserve">No obstante, el Ayuntamiento Pleno, acordará lo más procedente.”  Candelaria, 18 de Abril de 2021.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r>
        <w:rPr>
          <w:noProof/>
        </w:rPr>
        <w:drawing>
          <wp:inline distT="0" distB="0" distL="0" distR="0">
            <wp:extent cx="1149187" cy="983018"/>
            <wp:effectExtent l="0" t="0" r="0" b="0"/>
            <wp:docPr id="55619" name="Picture 55619"/>
            <wp:cNvGraphicFramePr/>
            <a:graphic xmlns:a="http://schemas.openxmlformats.org/drawingml/2006/main">
              <a:graphicData uri="http://schemas.openxmlformats.org/drawingml/2006/picture">
                <pic:pic xmlns:pic="http://schemas.openxmlformats.org/drawingml/2006/picture">
                  <pic:nvPicPr>
                    <pic:cNvPr id="55619" name="Picture 55619"/>
                    <pic:cNvPicPr/>
                  </pic:nvPicPr>
                  <pic:blipFill>
                    <a:blip r:embed="rId134"/>
                    <a:stretch>
                      <a:fillRect/>
                    </a:stretch>
                  </pic:blipFill>
                  <pic:spPr>
                    <a:xfrm>
                      <a:off x="0" y="0"/>
                      <a:ext cx="1149187" cy="983018"/>
                    </a:xfrm>
                    <a:prstGeom prst="rect">
                      <a:avLst/>
                    </a:prstGeom>
                  </pic:spPr>
                </pic:pic>
              </a:graphicData>
            </a:graphic>
          </wp:inline>
        </w:drawing>
      </w:r>
      <w:r>
        <w:rPr>
          <w:rFonts w:ascii="Arial" w:eastAsia="Arial" w:hAnsi="Arial" w:cs="Arial"/>
          <w:sz w:val="24"/>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José Fernando Gómez Martín </w:t>
      </w:r>
      <w:r>
        <w:rPr>
          <w:rFonts w:ascii="Arial" w:eastAsia="Arial" w:hAnsi="Arial" w:cs="Arial"/>
          <w:sz w:val="24"/>
        </w:rPr>
        <w:t xml:space="preserve"> </w:t>
      </w:r>
    </w:p>
    <w:p w:rsidR="00FF384B" w:rsidRDefault="003E3BA9">
      <w:pPr>
        <w:spacing w:after="15" w:line="247" w:lineRule="auto"/>
        <w:ind w:left="415" w:right="3161" w:hanging="3"/>
        <w:jc w:val="both"/>
      </w:pPr>
      <w:r>
        <w:rPr>
          <w:rFonts w:ascii="Arial" w:eastAsia="Arial" w:hAnsi="Arial" w:cs="Arial"/>
          <w:b/>
        </w:rPr>
        <w:t xml:space="preserve">Concejal del Excmo. Ayuntamiento de Candelaria </w:t>
      </w:r>
      <w:r>
        <w:rPr>
          <w:rFonts w:ascii="Arial" w:eastAsia="Arial" w:hAnsi="Arial" w:cs="Arial"/>
          <w:sz w:val="24"/>
        </w:rPr>
        <w:t xml:space="preserve"> </w:t>
      </w:r>
    </w:p>
    <w:p w:rsidR="00FF384B" w:rsidRDefault="003E3BA9">
      <w:pPr>
        <w:spacing w:after="95"/>
        <w:ind w:left="427" w:right="3161"/>
      </w:pPr>
      <w:r>
        <w:rPr>
          <w:rFonts w:ascii="Arial" w:eastAsia="Arial" w:hAnsi="Arial" w:cs="Arial"/>
        </w:rPr>
        <w:t xml:space="preserve"> </w:t>
      </w:r>
    </w:p>
    <w:p w:rsidR="00FF384B" w:rsidRDefault="003E3BA9">
      <w:pPr>
        <w:spacing w:after="15" w:line="247" w:lineRule="auto"/>
        <w:ind w:left="415" w:hanging="3"/>
        <w:jc w:val="both"/>
      </w:pPr>
      <w:r>
        <w:rPr>
          <w:noProof/>
        </w:rPr>
        <mc:AlternateContent>
          <mc:Choice Requires="wpg">
            <w:drawing>
              <wp:anchor distT="0" distB="0" distL="114300" distR="114300" simplePos="0" relativeHeight="251978752" behindDoc="0" locked="0" layoutInCell="1" allowOverlap="1">
                <wp:simplePos x="0" y="0"/>
                <wp:positionH relativeFrom="column">
                  <wp:posOffset>6952743</wp:posOffset>
                </wp:positionH>
                <wp:positionV relativeFrom="paragraph">
                  <wp:posOffset>-2711561</wp:posOffset>
                </wp:positionV>
                <wp:extent cx="524148" cy="3797300"/>
                <wp:effectExtent l="0" t="0" r="0" b="0"/>
                <wp:wrapSquare wrapText="bothSides"/>
                <wp:docPr id="508615" name="Group 50861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621" name="Picture 55621"/>
                          <pic:cNvPicPr/>
                        </pic:nvPicPr>
                        <pic:blipFill>
                          <a:blip r:embed="rId62"/>
                          <a:stretch>
                            <a:fillRect/>
                          </a:stretch>
                        </pic:blipFill>
                        <pic:spPr>
                          <a:xfrm rot="-5399999">
                            <a:off x="-1720849" y="1720850"/>
                            <a:ext cx="3797299" cy="355600"/>
                          </a:xfrm>
                          <a:prstGeom prst="rect">
                            <a:avLst/>
                          </a:prstGeom>
                        </pic:spPr>
                      </pic:pic>
                      <wps:wsp>
                        <wps:cNvPr id="55622" name="Rectangle 5562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623" name="Rectangle 5562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615" style="width:41.2715pt;height:299pt;position:absolute;mso-position-horizontal-relative:text;mso-position-horizontal:absolute;margin-left:547.46pt;mso-position-vertical-relative:text;margin-top:-213.509pt;" coordsize="5241,37973">
                <v:shape id="Picture 55621" style="position:absolute;width:37972;height:3556;left:-17208;top:17208;rotation:-89;" filled="f">
                  <v:imagedata r:id="rId63"/>
                </v:shape>
                <v:rect id="Rectangle 5562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62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313 de 353 </w:t>
                        </w:r>
                      </w:p>
                    </w:txbxContent>
                  </v:textbox>
                </v:rect>
                <w10:wrap type="square"/>
              </v:group>
            </w:pict>
          </mc:Fallback>
        </mc:AlternateContent>
      </w:r>
      <w:r>
        <w:rPr>
          <w:rFonts w:ascii="Arial" w:eastAsia="Arial" w:hAnsi="Arial" w:cs="Arial"/>
          <w:b/>
        </w:rPr>
        <w:t>Consta en el Informe Urbanístico emitido por D. Federico J. L</w:t>
      </w:r>
      <w:r>
        <w:rPr>
          <w:rFonts w:ascii="Arial" w:eastAsia="Arial" w:hAnsi="Arial" w:cs="Arial"/>
          <w:b/>
        </w:rPr>
        <w:t xml:space="preserve">ópez del Amo Campos De Orellana, Aparejador Municipal, de 28 de abril de 2021, del siguiente tenor literal; </w:t>
      </w:r>
    </w:p>
    <w:p w:rsidR="00FF384B" w:rsidRDefault="003E3BA9">
      <w:pPr>
        <w:spacing w:after="123"/>
        <w:ind w:left="427"/>
      </w:pPr>
      <w:r>
        <w:rPr>
          <w:rFonts w:ascii="Arial" w:eastAsia="Arial" w:hAnsi="Arial" w:cs="Arial"/>
          <w:b/>
        </w:rPr>
        <w:t xml:space="preserve"> </w:t>
      </w:r>
    </w:p>
    <w:p w:rsidR="00FF384B" w:rsidRDefault="003E3BA9">
      <w:pPr>
        <w:pStyle w:val="Ttulo3"/>
        <w:shd w:val="clear" w:color="auto" w:fill="auto"/>
        <w:spacing w:after="106" w:line="253" w:lineRule="auto"/>
        <w:ind w:left="767" w:right="344"/>
      </w:pPr>
      <w:r>
        <w:rPr>
          <w:i w:val="0"/>
        </w:rPr>
        <w:t xml:space="preserve">“INFORME DE LOS SERVICIOS TÉCNICOS MUNICIPALES </w:t>
      </w:r>
    </w:p>
    <w:p w:rsidR="00FF384B" w:rsidRDefault="003E3BA9">
      <w:pPr>
        <w:spacing w:after="94" w:line="247" w:lineRule="auto"/>
        <w:ind w:left="427" w:right="9" w:firstLine="708"/>
        <w:jc w:val="both"/>
      </w:pPr>
      <w:r>
        <w:rPr>
          <w:rFonts w:ascii="Arial" w:eastAsia="Arial" w:hAnsi="Arial" w:cs="Arial"/>
        </w:rPr>
        <w:t xml:space="preserve">Una vez comprobada la documentación obrante en el expediente por el técnico municipal </w:t>
      </w:r>
      <w:r>
        <w:rPr>
          <w:rFonts w:ascii="Arial" w:eastAsia="Arial" w:hAnsi="Arial" w:cs="Arial"/>
          <w:b/>
        </w:rPr>
        <w:t>Federico José López del Amo Campos de Orellana</w:t>
      </w:r>
      <w:r>
        <w:rPr>
          <w:rFonts w:ascii="Arial" w:eastAsia="Arial" w:hAnsi="Arial" w:cs="Arial"/>
        </w:rPr>
        <w:t>, que desempeña el puesto de trabajo de Arquitecto Técnico en la Oficina Técnica Municipal de la Concejalía de Planificación y Gestión Urbanística y Ambiental, emite el siguiente informe:</w:t>
      </w:r>
      <w:r>
        <w:rPr>
          <w:rFonts w:ascii="Times New Roman" w:eastAsia="Times New Roman" w:hAnsi="Times New Roman" w:cs="Times New Roman"/>
          <w:sz w:val="24"/>
        </w:rPr>
        <w:t xml:space="preserve"> </w:t>
      </w:r>
    </w:p>
    <w:p w:rsidR="00FF384B" w:rsidRDefault="003E3BA9">
      <w:pPr>
        <w:spacing w:after="5" w:line="247" w:lineRule="auto"/>
        <w:ind w:left="437" w:right="10" w:hanging="10"/>
        <w:jc w:val="both"/>
      </w:pPr>
      <w:r>
        <w:rPr>
          <w:rFonts w:ascii="Arial" w:eastAsia="Arial" w:hAnsi="Arial" w:cs="Arial"/>
        </w:rPr>
        <w:t xml:space="preserve"> En relación con la p</w:t>
      </w:r>
      <w:r>
        <w:rPr>
          <w:rFonts w:ascii="Arial" w:eastAsia="Arial" w:hAnsi="Arial" w:cs="Arial"/>
        </w:rPr>
        <w:t>etición de informe urbanístico sobre los terrenos situados en la Zona denominada Bajo la Cuesta, concretamente en la zona afectada por el deslinde DL-107-tf, entre los vértices M-233 y M-250, se emite el presente Informe Técnico referido al planeamiento mu</w:t>
      </w:r>
      <w:r>
        <w:rPr>
          <w:rFonts w:ascii="Arial" w:eastAsia="Arial" w:hAnsi="Arial" w:cs="Arial"/>
        </w:rPr>
        <w:t xml:space="preserve">nicipal vigente: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1.ANTECEDENTES: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37" w:right="7" w:hanging="10"/>
        <w:jc w:val="both"/>
      </w:pPr>
      <w:r>
        <w:rPr>
          <w:noProof/>
        </w:rPr>
        <mc:AlternateContent>
          <mc:Choice Requires="wpg">
            <w:drawing>
              <wp:anchor distT="0" distB="0" distL="114300" distR="114300" simplePos="0" relativeHeight="251979776" behindDoc="0" locked="0" layoutInCell="1" allowOverlap="1">
                <wp:simplePos x="0" y="0"/>
                <wp:positionH relativeFrom="column">
                  <wp:posOffset>6952743</wp:posOffset>
                </wp:positionH>
                <wp:positionV relativeFrom="paragraph">
                  <wp:posOffset>230393</wp:posOffset>
                </wp:positionV>
                <wp:extent cx="524148" cy="3797300"/>
                <wp:effectExtent l="0" t="0" r="0" b="0"/>
                <wp:wrapSquare wrapText="bothSides"/>
                <wp:docPr id="508411" name="Group 508411"/>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703" name="Picture 55703"/>
                          <pic:cNvPicPr/>
                        </pic:nvPicPr>
                        <pic:blipFill>
                          <a:blip r:embed="rId62"/>
                          <a:stretch>
                            <a:fillRect/>
                          </a:stretch>
                        </pic:blipFill>
                        <pic:spPr>
                          <a:xfrm rot="-5399999">
                            <a:off x="-1720849" y="1720850"/>
                            <a:ext cx="3797299" cy="355600"/>
                          </a:xfrm>
                          <a:prstGeom prst="rect">
                            <a:avLst/>
                          </a:prstGeom>
                        </pic:spPr>
                      </pic:pic>
                      <wps:wsp>
                        <wps:cNvPr id="55704" name="Rectangle 5570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705" name="Rectangle 5570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8411" style="width:41.2715pt;height:299pt;position:absolute;mso-position-horizontal-relative:text;mso-position-horizontal:absolute;margin-left:547.46pt;mso-position-vertical-relative:text;margin-top:18.1412pt;" coordsize="5241,37973">
                <v:shape id="Picture 55703" style="position:absolute;width:37972;height:3556;left:-17208;top:17208;rotation:-89;" filled="f">
                  <v:imagedata r:id="rId63"/>
                </v:shape>
                <v:rect id="Rectangle 5570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70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314 de 353 </w:t>
                        </w:r>
                      </w:p>
                    </w:txbxContent>
                  </v:textbox>
                </v:rect>
                <w10:wrap type="square"/>
              </v:group>
            </w:pict>
          </mc:Fallback>
        </mc:AlternateContent>
      </w:r>
      <w:r>
        <w:rPr>
          <w:rFonts w:ascii="Arial" w:eastAsia="Arial" w:hAnsi="Arial" w:cs="Arial"/>
        </w:rPr>
        <w:t xml:space="preserve"> De acuerdo con el </w:t>
      </w:r>
      <w:r>
        <w:rPr>
          <w:rFonts w:ascii="Arial" w:eastAsia="Arial" w:hAnsi="Arial" w:cs="Arial"/>
          <w:b/>
        </w:rPr>
        <w:t xml:space="preserve">PLAN GENERAL DE ORDENACIÓN, </w:t>
      </w:r>
      <w:r>
        <w:rPr>
          <w:rFonts w:ascii="Arial" w:eastAsia="Arial" w:hAnsi="Arial" w:cs="Arial"/>
        </w:rPr>
        <w:t>planeamiento municipal en vigor, con publicaciones en B.O.C. de fecha 10 de mayo de 2007 y B.O.P. de fecha 17 de mayo de 2007  y Modificaciones Puntuales, aprobadas definitivamente por acuerdo del Ayuntamiento Pleno, en sesiones</w:t>
      </w:r>
      <w:r>
        <w:rPr>
          <w:rFonts w:ascii="Arial" w:eastAsia="Arial" w:hAnsi="Arial" w:cs="Arial"/>
        </w:rPr>
        <w:t xml:space="preserve"> ordinarias de fecha 26 de marzo de 2009 y 29 de diciembre de 2011 y publicada en el BOP de Santa Cruz de Tenerife de fecha 17 de junio de 2009 y 3 de febrero de 2012, respectivamente, se encuentra</w:t>
      </w:r>
      <w:r>
        <w:rPr>
          <w:rFonts w:ascii="Arial" w:eastAsia="Arial" w:hAnsi="Arial" w:cs="Arial"/>
          <w:b/>
        </w:rPr>
        <w:t xml:space="preserve"> </w:t>
      </w:r>
      <w:r>
        <w:rPr>
          <w:rFonts w:ascii="Arial" w:eastAsia="Arial" w:hAnsi="Arial" w:cs="Arial"/>
        </w:rPr>
        <w:t>clasificada, categorizada y calificada como:</w:t>
      </w:r>
      <w:r>
        <w:rPr>
          <w:rFonts w:ascii="Times New Roman" w:eastAsia="Times New Roman" w:hAnsi="Times New Roman" w:cs="Times New Roman"/>
          <w:sz w:val="24"/>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112" w:line="247" w:lineRule="auto"/>
        <w:ind w:left="437" w:right="3161" w:hanging="10"/>
        <w:jc w:val="both"/>
      </w:pPr>
      <w:r>
        <w:rPr>
          <w:rFonts w:ascii="Arial" w:eastAsia="Arial" w:hAnsi="Arial" w:cs="Arial"/>
        </w:rPr>
        <w:t>Suelo Rús</w:t>
      </w:r>
      <w:r>
        <w:rPr>
          <w:rFonts w:ascii="Arial" w:eastAsia="Arial" w:hAnsi="Arial" w:cs="Arial"/>
        </w:rPr>
        <w:t xml:space="preserve">tico de Protección Costera </w:t>
      </w:r>
      <w:r>
        <w:rPr>
          <w:rFonts w:ascii="Arial" w:eastAsia="Arial" w:hAnsi="Arial" w:cs="Arial"/>
          <w:b/>
        </w:rPr>
        <w:t>SRPL</w:t>
      </w:r>
      <w:r>
        <w:rPr>
          <w:rFonts w:ascii="Arial" w:eastAsia="Arial" w:hAnsi="Arial" w:cs="Arial"/>
        </w:rPr>
        <w:t xml:space="preserve">.  </w:t>
      </w:r>
    </w:p>
    <w:p w:rsidR="00FF384B" w:rsidRDefault="003E3BA9">
      <w:pPr>
        <w:spacing w:after="111" w:line="247" w:lineRule="auto"/>
        <w:ind w:left="437" w:right="244" w:hanging="10"/>
        <w:jc w:val="both"/>
      </w:pPr>
      <w:r>
        <w:rPr>
          <w:rFonts w:ascii="Arial" w:eastAsia="Arial" w:hAnsi="Arial" w:cs="Arial"/>
        </w:rPr>
        <w:t>Existe una zona comprendida entre los vértices M-233 y M-242 calificada como Espacio Libre (</w:t>
      </w:r>
      <w:r>
        <w:rPr>
          <w:rFonts w:ascii="Arial" w:eastAsia="Arial" w:hAnsi="Arial" w:cs="Arial"/>
          <w:b/>
        </w:rPr>
        <w:t>EL</w:t>
      </w:r>
      <w:r>
        <w:rPr>
          <w:rFonts w:ascii="Arial" w:eastAsia="Arial" w:hAnsi="Arial" w:cs="Arial"/>
        </w:rPr>
        <w:t xml:space="preserve">), tal y como se detalla en el presente informe. </w:t>
      </w:r>
    </w:p>
    <w:p w:rsidR="00FF384B" w:rsidRDefault="003E3BA9">
      <w:pPr>
        <w:spacing w:after="5" w:line="247" w:lineRule="auto"/>
        <w:ind w:left="437" w:right="3161" w:hanging="10"/>
        <w:jc w:val="both"/>
      </w:pPr>
      <w:r>
        <w:rPr>
          <w:rFonts w:ascii="Arial" w:eastAsia="Arial" w:hAnsi="Arial" w:cs="Arial"/>
        </w:rPr>
        <w:t xml:space="preserve">Afectada por Dominio Público Marítimo  </w:t>
      </w:r>
    </w:p>
    <w:p w:rsidR="00FF384B" w:rsidRDefault="003E3BA9">
      <w:pPr>
        <w:spacing w:after="0"/>
        <w:ind w:left="427"/>
        <w:jc w:val="both"/>
      </w:pPr>
      <w:r>
        <w:rPr>
          <w:noProof/>
        </w:rPr>
        <mc:AlternateContent>
          <mc:Choice Requires="wpg">
            <w:drawing>
              <wp:inline distT="0" distB="0" distL="0" distR="0">
                <wp:extent cx="7205619" cy="6024372"/>
                <wp:effectExtent l="0" t="0" r="0" b="0"/>
                <wp:docPr id="548046" name="Group 548046"/>
                <wp:cNvGraphicFramePr/>
                <a:graphic xmlns:a="http://schemas.openxmlformats.org/drawingml/2006/main">
                  <a:graphicData uri="http://schemas.microsoft.com/office/word/2010/wordprocessingGroup">
                    <wpg:wgp>
                      <wpg:cNvGrpSpPr/>
                      <wpg:grpSpPr>
                        <a:xfrm>
                          <a:off x="0" y="0"/>
                          <a:ext cx="7205619" cy="6024372"/>
                          <a:chOff x="0" y="0"/>
                          <a:chExt cx="7205619" cy="6024372"/>
                        </a:xfrm>
                      </wpg:grpSpPr>
                      <wps:wsp>
                        <wps:cNvPr id="55731" name="Rectangle 55731"/>
                        <wps:cNvSpPr/>
                        <wps:spPr>
                          <a:xfrm>
                            <a:off x="5315077" y="2142982"/>
                            <a:ext cx="51809" cy="207921"/>
                          </a:xfrm>
                          <a:prstGeom prst="rect">
                            <a:avLst/>
                          </a:prstGeom>
                          <a:ln>
                            <a:noFill/>
                          </a:ln>
                        </wps:spPr>
                        <wps:txbx>
                          <w:txbxContent>
                            <w:p w:rsidR="00FF384B" w:rsidRDefault="003E3BA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5738" name="Picture 55738"/>
                          <pic:cNvPicPr/>
                        </pic:nvPicPr>
                        <pic:blipFill>
                          <a:blip r:embed="rId135"/>
                          <a:stretch>
                            <a:fillRect/>
                          </a:stretch>
                        </pic:blipFill>
                        <pic:spPr>
                          <a:xfrm>
                            <a:off x="0" y="0"/>
                            <a:ext cx="5309616" cy="2269236"/>
                          </a:xfrm>
                          <a:prstGeom prst="rect">
                            <a:avLst/>
                          </a:prstGeom>
                        </pic:spPr>
                      </pic:pic>
                      <wps:wsp>
                        <wps:cNvPr id="55739" name="Shape 55739"/>
                        <wps:cNvSpPr/>
                        <wps:spPr>
                          <a:xfrm>
                            <a:off x="1268095" y="1565148"/>
                            <a:ext cx="103378" cy="696595"/>
                          </a:xfrm>
                          <a:custGeom>
                            <a:avLst/>
                            <a:gdLst/>
                            <a:ahLst/>
                            <a:cxnLst/>
                            <a:rect l="0" t="0" r="0" b="0"/>
                            <a:pathLst>
                              <a:path w="103378" h="696595">
                                <a:moveTo>
                                  <a:pt x="45339" y="0"/>
                                </a:moveTo>
                                <a:lnTo>
                                  <a:pt x="58039" y="0"/>
                                </a:lnTo>
                                <a:lnTo>
                                  <a:pt x="58039" y="660600"/>
                                </a:lnTo>
                                <a:lnTo>
                                  <a:pt x="90678" y="604647"/>
                                </a:lnTo>
                                <a:cubicBezTo>
                                  <a:pt x="92456" y="601599"/>
                                  <a:pt x="96266" y="600583"/>
                                  <a:pt x="99314" y="602361"/>
                                </a:cubicBezTo>
                                <a:cubicBezTo>
                                  <a:pt x="102362" y="604139"/>
                                  <a:pt x="103378" y="607949"/>
                                  <a:pt x="101600" y="610997"/>
                                </a:cubicBezTo>
                                <a:lnTo>
                                  <a:pt x="51689" y="696595"/>
                                </a:lnTo>
                                <a:lnTo>
                                  <a:pt x="1778" y="610997"/>
                                </a:lnTo>
                                <a:cubicBezTo>
                                  <a:pt x="0" y="607949"/>
                                  <a:pt x="1016" y="604139"/>
                                  <a:pt x="4064" y="602361"/>
                                </a:cubicBezTo>
                                <a:cubicBezTo>
                                  <a:pt x="7112" y="600583"/>
                                  <a:pt x="10922" y="601599"/>
                                  <a:pt x="12700" y="604647"/>
                                </a:cubicBezTo>
                                <a:lnTo>
                                  <a:pt x="45339" y="660599"/>
                                </a:lnTo>
                                <a:lnTo>
                                  <a:pt x="45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640" name="Picture 547640"/>
                          <pic:cNvPicPr/>
                        </pic:nvPicPr>
                        <pic:blipFill>
                          <a:blip r:embed="rId136"/>
                          <a:stretch>
                            <a:fillRect/>
                          </a:stretch>
                        </pic:blipFill>
                        <pic:spPr>
                          <a:xfrm>
                            <a:off x="1105281" y="1364488"/>
                            <a:ext cx="454152" cy="201168"/>
                          </a:xfrm>
                          <a:prstGeom prst="rect">
                            <a:avLst/>
                          </a:prstGeom>
                        </pic:spPr>
                      </pic:pic>
                      <wps:wsp>
                        <wps:cNvPr id="55741" name="Shape 55741"/>
                        <wps:cNvSpPr/>
                        <wps:spPr>
                          <a:xfrm>
                            <a:off x="1109472" y="1356360"/>
                            <a:ext cx="461772" cy="208788"/>
                          </a:xfrm>
                          <a:custGeom>
                            <a:avLst/>
                            <a:gdLst/>
                            <a:ahLst/>
                            <a:cxnLst/>
                            <a:rect l="0" t="0" r="0" b="0"/>
                            <a:pathLst>
                              <a:path w="461772" h="208788">
                                <a:moveTo>
                                  <a:pt x="34798" y="0"/>
                                </a:moveTo>
                                <a:cubicBezTo>
                                  <a:pt x="15621" y="0"/>
                                  <a:pt x="0" y="15621"/>
                                  <a:pt x="0" y="34798"/>
                                </a:cubicBezTo>
                                <a:lnTo>
                                  <a:pt x="0" y="173990"/>
                                </a:lnTo>
                                <a:cubicBezTo>
                                  <a:pt x="0" y="193167"/>
                                  <a:pt x="15621" y="208788"/>
                                  <a:pt x="34798" y="208788"/>
                                </a:cubicBezTo>
                                <a:lnTo>
                                  <a:pt x="426974" y="208788"/>
                                </a:lnTo>
                                <a:cubicBezTo>
                                  <a:pt x="446151" y="208788"/>
                                  <a:pt x="461772" y="193167"/>
                                  <a:pt x="461772" y="173990"/>
                                </a:cubicBezTo>
                                <a:lnTo>
                                  <a:pt x="461772" y="34798"/>
                                </a:lnTo>
                                <a:cubicBezTo>
                                  <a:pt x="461772" y="15621"/>
                                  <a:pt x="446151" y="0"/>
                                  <a:pt x="42697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742" name="Rectangle 55742"/>
                        <wps:cNvSpPr/>
                        <wps:spPr>
                          <a:xfrm>
                            <a:off x="1216406" y="1435481"/>
                            <a:ext cx="102749" cy="119743"/>
                          </a:xfrm>
                          <a:prstGeom prst="rect">
                            <a:avLst/>
                          </a:prstGeom>
                          <a:ln>
                            <a:noFill/>
                          </a:ln>
                        </wps:spPr>
                        <wps:txbx>
                          <w:txbxContent>
                            <w:p w:rsidR="00FF384B" w:rsidRDefault="003E3BA9">
                              <w:r>
                                <w:rPr>
                                  <w:b/>
                                  <w:sz w:val="14"/>
                                </w:rPr>
                                <w:t>M</w:t>
                              </w:r>
                            </w:p>
                          </w:txbxContent>
                        </wps:txbx>
                        <wps:bodyPr horzOverflow="overflow" vert="horz" lIns="0" tIns="0" rIns="0" bIns="0" rtlCol="0">
                          <a:noAutofit/>
                        </wps:bodyPr>
                      </wps:wsp>
                      <wps:wsp>
                        <wps:cNvPr id="55743" name="Rectangle 55743"/>
                        <wps:cNvSpPr/>
                        <wps:spPr>
                          <a:xfrm>
                            <a:off x="1294130" y="1435481"/>
                            <a:ext cx="35974" cy="119743"/>
                          </a:xfrm>
                          <a:prstGeom prst="rect">
                            <a:avLst/>
                          </a:prstGeom>
                          <a:ln>
                            <a:noFill/>
                          </a:ln>
                        </wps:spPr>
                        <wps:txbx>
                          <w:txbxContent>
                            <w:p w:rsidR="00FF384B" w:rsidRDefault="003E3BA9">
                              <w:r>
                                <w:rPr>
                                  <w:b/>
                                  <w:sz w:val="14"/>
                                </w:rPr>
                                <w:t>-</w:t>
                              </w:r>
                            </w:p>
                          </w:txbxContent>
                        </wps:txbx>
                        <wps:bodyPr horzOverflow="overflow" vert="horz" lIns="0" tIns="0" rIns="0" bIns="0" rtlCol="0">
                          <a:noAutofit/>
                        </wps:bodyPr>
                      </wps:wsp>
                      <wps:wsp>
                        <wps:cNvPr id="55744" name="Rectangle 55744"/>
                        <wps:cNvSpPr/>
                        <wps:spPr>
                          <a:xfrm>
                            <a:off x="1321562" y="1435481"/>
                            <a:ext cx="179046" cy="119743"/>
                          </a:xfrm>
                          <a:prstGeom prst="rect">
                            <a:avLst/>
                          </a:prstGeom>
                          <a:ln>
                            <a:noFill/>
                          </a:ln>
                        </wps:spPr>
                        <wps:txbx>
                          <w:txbxContent>
                            <w:p w:rsidR="00FF384B" w:rsidRDefault="003E3BA9">
                              <w:r>
                                <w:rPr>
                                  <w:b/>
                                  <w:sz w:val="14"/>
                                </w:rPr>
                                <w:t>233</w:t>
                              </w:r>
                            </w:p>
                          </w:txbxContent>
                        </wps:txbx>
                        <wps:bodyPr horzOverflow="overflow" vert="horz" lIns="0" tIns="0" rIns="0" bIns="0" rtlCol="0">
                          <a:noAutofit/>
                        </wps:bodyPr>
                      </wps:wsp>
                      <wps:wsp>
                        <wps:cNvPr id="55745" name="Rectangle 55745"/>
                        <wps:cNvSpPr/>
                        <wps:spPr>
                          <a:xfrm>
                            <a:off x="1457198" y="1435481"/>
                            <a:ext cx="26569" cy="119743"/>
                          </a:xfrm>
                          <a:prstGeom prst="rect">
                            <a:avLst/>
                          </a:prstGeom>
                          <a:ln>
                            <a:noFill/>
                          </a:ln>
                        </wps:spPr>
                        <wps:txbx>
                          <w:txbxContent>
                            <w:p w:rsidR="00FF384B" w:rsidRDefault="003E3BA9">
                              <w:r>
                                <w:rPr>
                                  <w:b/>
                                  <w:sz w:val="14"/>
                                </w:rPr>
                                <w:t xml:space="preserve"> </w:t>
                              </w:r>
                            </w:p>
                          </w:txbxContent>
                        </wps:txbx>
                        <wps:bodyPr horzOverflow="overflow" vert="horz" lIns="0" tIns="0" rIns="0" bIns="0" rtlCol="0">
                          <a:noAutofit/>
                        </wps:bodyPr>
                      </wps:wsp>
                      <pic:pic xmlns:pic="http://schemas.openxmlformats.org/drawingml/2006/picture">
                        <pic:nvPicPr>
                          <pic:cNvPr id="547641" name="Picture 547641"/>
                          <pic:cNvPicPr/>
                        </pic:nvPicPr>
                        <pic:blipFill>
                          <a:blip r:embed="rId137"/>
                          <a:stretch>
                            <a:fillRect/>
                          </a:stretch>
                        </pic:blipFill>
                        <pic:spPr>
                          <a:xfrm>
                            <a:off x="4381882" y="884936"/>
                            <a:ext cx="454152" cy="201168"/>
                          </a:xfrm>
                          <a:prstGeom prst="rect">
                            <a:avLst/>
                          </a:prstGeom>
                        </pic:spPr>
                      </pic:pic>
                      <wps:wsp>
                        <wps:cNvPr id="55747" name="Shape 55747"/>
                        <wps:cNvSpPr/>
                        <wps:spPr>
                          <a:xfrm>
                            <a:off x="4386072" y="874776"/>
                            <a:ext cx="461772" cy="208788"/>
                          </a:xfrm>
                          <a:custGeom>
                            <a:avLst/>
                            <a:gdLst/>
                            <a:ahLst/>
                            <a:cxnLst/>
                            <a:rect l="0" t="0" r="0" b="0"/>
                            <a:pathLst>
                              <a:path w="461772" h="208788">
                                <a:moveTo>
                                  <a:pt x="34798" y="0"/>
                                </a:moveTo>
                                <a:cubicBezTo>
                                  <a:pt x="15621" y="0"/>
                                  <a:pt x="0" y="15621"/>
                                  <a:pt x="0" y="34798"/>
                                </a:cubicBezTo>
                                <a:lnTo>
                                  <a:pt x="0" y="173990"/>
                                </a:lnTo>
                                <a:cubicBezTo>
                                  <a:pt x="0" y="193167"/>
                                  <a:pt x="15621" y="208788"/>
                                  <a:pt x="34798" y="208788"/>
                                </a:cubicBezTo>
                                <a:lnTo>
                                  <a:pt x="426974" y="208788"/>
                                </a:lnTo>
                                <a:cubicBezTo>
                                  <a:pt x="446151" y="208788"/>
                                  <a:pt x="461772" y="193167"/>
                                  <a:pt x="461772" y="173990"/>
                                </a:cubicBezTo>
                                <a:lnTo>
                                  <a:pt x="461772" y="34798"/>
                                </a:lnTo>
                                <a:cubicBezTo>
                                  <a:pt x="461772" y="15621"/>
                                  <a:pt x="446151" y="0"/>
                                  <a:pt x="42697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748" name="Rectangle 55748"/>
                        <wps:cNvSpPr/>
                        <wps:spPr>
                          <a:xfrm>
                            <a:off x="4493641" y="953516"/>
                            <a:ext cx="102749" cy="119743"/>
                          </a:xfrm>
                          <a:prstGeom prst="rect">
                            <a:avLst/>
                          </a:prstGeom>
                          <a:ln>
                            <a:noFill/>
                          </a:ln>
                        </wps:spPr>
                        <wps:txbx>
                          <w:txbxContent>
                            <w:p w:rsidR="00FF384B" w:rsidRDefault="003E3BA9">
                              <w:r>
                                <w:rPr>
                                  <w:b/>
                                  <w:color w:val="FFFFFF"/>
                                  <w:sz w:val="14"/>
                                </w:rPr>
                                <w:t>M</w:t>
                              </w:r>
                            </w:p>
                          </w:txbxContent>
                        </wps:txbx>
                        <wps:bodyPr horzOverflow="overflow" vert="horz" lIns="0" tIns="0" rIns="0" bIns="0" rtlCol="0">
                          <a:noAutofit/>
                        </wps:bodyPr>
                      </wps:wsp>
                      <wps:wsp>
                        <wps:cNvPr id="55749" name="Rectangle 55749"/>
                        <wps:cNvSpPr/>
                        <wps:spPr>
                          <a:xfrm>
                            <a:off x="4571365" y="953516"/>
                            <a:ext cx="35974" cy="119743"/>
                          </a:xfrm>
                          <a:prstGeom prst="rect">
                            <a:avLst/>
                          </a:prstGeom>
                          <a:ln>
                            <a:noFill/>
                          </a:ln>
                        </wps:spPr>
                        <wps:txbx>
                          <w:txbxContent>
                            <w:p w:rsidR="00FF384B" w:rsidRDefault="003E3BA9">
                              <w:r>
                                <w:rPr>
                                  <w:b/>
                                  <w:color w:val="FFFFFF"/>
                                  <w:sz w:val="14"/>
                                </w:rPr>
                                <w:t>-</w:t>
                              </w:r>
                            </w:p>
                          </w:txbxContent>
                        </wps:txbx>
                        <wps:bodyPr horzOverflow="overflow" vert="horz" lIns="0" tIns="0" rIns="0" bIns="0" rtlCol="0">
                          <a:noAutofit/>
                        </wps:bodyPr>
                      </wps:wsp>
                      <wps:wsp>
                        <wps:cNvPr id="55750" name="Rectangle 55750"/>
                        <wps:cNvSpPr/>
                        <wps:spPr>
                          <a:xfrm>
                            <a:off x="4598797" y="953516"/>
                            <a:ext cx="179046" cy="119743"/>
                          </a:xfrm>
                          <a:prstGeom prst="rect">
                            <a:avLst/>
                          </a:prstGeom>
                          <a:ln>
                            <a:noFill/>
                          </a:ln>
                        </wps:spPr>
                        <wps:txbx>
                          <w:txbxContent>
                            <w:p w:rsidR="00FF384B" w:rsidRDefault="003E3BA9">
                              <w:r>
                                <w:rPr>
                                  <w:b/>
                                  <w:color w:val="FFFFFF"/>
                                  <w:sz w:val="14"/>
                                </w:rPr>
                                <w:t>250</w:t>
                              </w:r>
                            </w:p>
                          </w:txbxContent>
                        </wps:txbx>
                        <wps:bodyPr horzOverflow="overflow" vert="horz" lIns="0" tIns="0" rIns="0" bIns="0" rtlCol="0">
                          <a:noAutofit/>
                        </wps:bodyPr>
                      </wps:wsp>
                      <wps:wsp>
                        <wps:cNvPr id="55751" name="Rectangle 55751"/>
                        <wps:cNvSpPr/>
                        <wps:spPr>
                          <a:xfrm>
                            <a:off x="4734433" y="953516"/>
                            <a:ext cx="26569" cy="119743"/>
                          </a:xfrm>
                          <a:prstGeom prst="rect">
                            <a:avLst/>
                          </a:prstGeom>
                          <a:ln>
                            <a:noFill/>
                          </a:ln>
                        </wps:spPr>
                        <wps:txbx>
                          <w:txbxContent>
                            <w:p w:rsidR="00FF384B" w:rsidRDefault="003E3BA9">
                              <w:r>
                                <w:rPr>
                                  <w:b/>
                                  <w:color w:val="FFFFFF"/>
                                  <w:sz w:val="14"/>
                                </w:rPr>
                                <w:t xml:space="preserve"> </w:t>
                              </w:r>
                            </w:p>
                          </w:txbxContent>
                        </wps:txbx>
                        <wps:bodyPr horzOverflow="overflow" vert="horz" lIns="0" tIns="0" rIns="0" bIns="0" rtlCol="0">
                          <a:noAutofit/>
                        </wps:bodyPr>
                      </wps:wsp>
                      <pic:pic xmlns:pic="http://schemas.openxmlformats.org/drawingml/2006/picture">
                        <pic:nvPicPr>
                          <pic:cNvPr id="55754" name="Picture 55754"/>
                          <pic:cNvPicPr/>
                        </pic:nvPicPr>
                        <pic:blipFill>
                          <a:blip r:embed="rId62"/>
                          <a:stretch>
                            <a:fillRect/>
                          </a:stretch>
                        </pic:blipFill>
                        <pic:spPr>
                          <a:xfrm rot="-5399999">
                            <a:off x="4960621" y="3947922"/>
                            <a:ext cx="3797299" cy="355600"/>
                          </a:xfrm>
                          <a:prstGeom prst="rect">
                            <a:avLst/>
                          </a:prstGeom>
                        </pic:spPr>
                      </pic:pic>
                      <wps:wsp>
                        <wps:cNvPr id="55755" name="Rectangle 55755"/>
                        <wps:cNvSpPr/>
                        <wps:spPr>
                          <a:xfrm rot="-5399999">
                            <a:off x="4732952" y="3599811"/>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756" name="Rectangle 55756"/>
                        <wps:cNvSpPr/>
                        <wps:spPr>
                          <a:xfrm rot="-5399999">
                            <a:off x="4945715" y="3736376"/>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315 de 353 </w:t>
                              </w:r>
                            </w:p>
                          </w:txbxContent>
                        </wps:txbx>
                        <wps:bodyPr horzOverflow="overflow" vert="horz" lIns="0" tIns="0" rIns="0" bIns="0" rtlCol="0">
                          <a:noAutofit/>
                        </wps:bodyPr>
                      </wps:wsp>
                    </wpg:wgp>
                  </a:graphicData>
                </a:graphic>
              </wp:inline>
            </w:drawing>
          </mc:Choice>
          <mc:Fallback xmlns:a="http://schemas.openxmlformats.org/drawingml/2006/main">
            <w:pict>
              <v:group id="Group 548046" style="width:567.372pt;height:474.36pt;mso-position-horizontal-relative:char;mso-position-vertical-relative:line" coordsize="72056,60243">
                <v:rect id="Rectangle 55731" style="position:absolute;width:518;height:2079;left:53150;top:21429;" filled="f" stroked="f">
                  <v:textbox inset="0,0,0,0">
                    <w:txbxContent>
                      <w:p>
                        <w:pPr>
                          <w:spacing w:before="0" w:after="160" w:line="259" w:lineRule="auto"/>
                        </w:pPr>
                        <w:r>
                          <w:rPr>
                            <w:rFonts w:cs="Arial" w:hAnsi="Arial" w:eastAsia="Arial" w:ascii="Arial"/>
                            <w:sz w:val="22"/>
                          </w:rPr>
                          <w:t xml:space="preserve"> </w:t>
                        </w:r>
                      </w:p>
                    </w:txbxContent>
                  </v:textbox>
                </v:rect>
                <v:shape id="Picture 55738" style="position:absolute;width:53096;height:22692;left:0;top:0;" filled="f">
                  <v:imagedata r:id="rId138"/>
                </v:shape>
                <v:shape id="Shape 55739" style="position:absolute;width:1033;height:6965;left:12680;top:15651;" coordsize="103378,696595" path="m45339,0l58039,0l58039,660600l90678,604647c92456,601599,96266,600583,99314,602361c102362,604139,103378,607949,101600,610997l51689,696595l1778,610997c0,607949,1016,604139,4064,602361c7112,600583,10922,601599,12700,604647l45339,660599l45339,0x">
                  <v:stroke weight="0pt" endcap="flat" joinstyle="miter" miterlimit="10" on="false" color="#000000" opacity="0"/>
                  <v:fill on="true" color="#000000"/>
                </v:shape>
                <v:shape id="Picture 547640" style="position:absolute;width:4541;height:2011;left:11052;top:13644;" filled="f">
                  <v:imagedata r:id="rId139"/>
                </v:shape>
                <v:shape id="Shape 55741" style="position:absolute;width:4617;height:2087;left:11094;top:13563;" coordsize="461772,208788" path="m34798,0c15621,0,0,15621,0,34798l0,173990c0,193167,15621,208788,34798,208788l426974,208788c446151,208788,461772,193167,461772,173990l461772,34798c461772,15621,446151,0,426974,0x">
                  <v:stroke weight="0.72pt" endcap="flat" joinstyle="round" on="true" color="#000000"/>
                  <v:fill on="false" color="#000000" opacity="0"/>
                </v:shape>
                <v:rect id="Rectangle 55742" style="position:absolute;width:1027;height:1197;left:12164;top:14354;" filled="f" stroked="f">
                  <v:textbox inset="0,0,0,0">
                    <w:txbxContent>
                      <w:p>
                        <w:pPr>
                          <w:spacing w:before="0" w:after="160" w:line="259" w:lineRule="auto"/>
                        </w:pPr>
                        <w:r>
                          <w:rPr>
                            <w:rFonts w:cs="Calibri" w:hAnsi="Calibri" w:eastAsia="Calibri" w:ascii="Calibri"/>
                            <w:b w:val="1"/>
                            <w:sz w:val="14"/>
                          </w:rPr>
                          <w:t xml:space="preserve">M</w:t>
                        </w:r>
                      </w:p>
                    </w:txbxContent>
                  </v:textbox>
                </v:rect>
                <v:rect id="Rectangle 55743" style="position:absolute;width:359;height:1197;left:12941;top:14354;" filled="f" stroked="f">
                  <v:textbox inset="0,0,0,0">
                    <w:txbxContent>
                      <w:p>
                        <w:pPr>
                          <w:spacing w:before="0" w:after="160" w:line="259" w:lineRule="auto"/>
                        </w:pPr>
                        <w:r>
                          <w:rPr>
                            <w:rFonts w:cs="Calibri" w:hAnsi="Calibri" w:eastAsia="Calibri" w:ascii="Calibri"/>
                            <w:b w:val="1"/>
                            <w:sz w:val="14"/>
                          </w:rPr>
                          <w:t xml:space="preserve">-</w:t>
                        </w:r>
                      </w:p>
                    </w:txbxContent>
                  </v:textbox>
                </v:rect>
                <v:rect id="Rectangle 55744" style="position:absolute;width:1790;height:1197;left:13215;top:14354;" filled="f" stroked="f">
                  <v:textbox inset="0,0,0,0">
                    <w:txbxContent>
                      <w:p>
                        <w:pPr>
                          <w:spacing w:before="0" w:after="160" w:line="259" w:lineRule="auto"/>
                        </w:pPr>
                        <w:r>
                          <w:rPr>
                            <w:rFonts w:cs="Calibri" w:hAnsi="Calibri" w:eastAsia="Calibri" w:ascii="Calibri"/>
                            <w:b w:val="1"/>
                            <w:sz w:val="14"/>
                          </w:rPr>
                          <w:t xml:space="preserve">233</w:t>
                        </w:r>
                      </w:p>
                    </w:txbxContent>
                  </v:textbox>
                </v:rect>
                <v:rect id="Rectangle 55745" style="position:absolute;width:265;height:1197;left:14571;top:14354;" filled="f" stroked="f">
                  <v:textbox inset="0,0,0,0">
                    <w:txbxContent>
                      <w:p>
                        <w:pPr>
                          <w:spacing w:before="0" w:after="160" w:line="259" w:lineRule="auto"/>
                        </w:pPr>
                        <w:r>
                          <w:rPr>
                            <w:rFonts w:cs="Calibri" w:hAnsi="Calibri" w:eastAsia="Calibri" w:ascii="Calibri"/>
                            <w:b w:val="1"/>
                            <w:sz w:val="14"/>
                          </w:rPr>
                          <w:t xml:space="preserve"> </w:t>
                        </w:r>
                      </w:p>
                    </w:txbxContent>
                  </v:textbox>
                </v:rect>
                <v:shape id="Picture 547641" style="position:absolute;width:4541;height:2011;left:43818;top:8849;" filled="f">
                  <v:imagedata r:id="rId140"/>
                </v:shape>
                <v:shape id="Shape 55747" style="position:absolute;width:4617;height:2087;left:43860;top:8747;" coordsize="461772,208788" path="m34798,0c15621,0,0,15621,0,34798l0,173990c0,193167,15621,208788,34798,208788l426974,208788c446151,208788,461772,193167,461772,173990l461772,34798c461772,15621,446151,0,426974,0x">
                  <v:stroke weight="0.72pt" endcap="flat" joinstyle="round" on="true" color="#000000"/>
                  <v:fill on="false" color="#000000" opacity="0"/>
                </v:shape>
                <v:rect id="Rectangle 55748" style="position:absolute;width:1027;height:1197;left:44936;top:9535;" filled="f" stroked="f">
                  <v:textbox inset="0,0,0,0">
                    <w:txbxContent>
                      <w:p>
                        <w:pPr>
                          <w:spacing w:before="0" w:after="160" w:line="259" w:lineRule="auto"/>
                        </w:pPr>
                        <w:r>
                          <w:rPr>
                            <w:rFonts w:cs="Calibri" w:hAnsi="Calibri" w:eastAsia="Calibri" w:ascii="Calibri"/>
                            <w:b w:val="1"/>
                            <w:color w:val="ffffff"/>
                            <w:sz w:val="14"/>
                          </w:rPr>
                          <w:t xml:space="preserve">M</w:t>
                        </w:r>
                      </w:p>
                    </w:txbxContent>
                  </v:textbox>
                </v:rect>
                <v:rect id="Rectangle 55749" style="position:absolute;width:359;height:1197;left:45713;top:9535;" filled="f" stroked="f">
                  <v:textbox inset="0,0,0,0">
                    <w:txbxContent>
                      <w:p>
                        <w:pPr>
                          <w:spacing w:before="0" w:after="160" w:line="259" w:lineRule="auto"/>
                        </w:pPr>
                        <w:r>
                          <w:rPr>
                            <w:rFonts w:cs="Calibri" w:hAnsi="Calibri" w:eastAsia="Calibri" w:ascii="Calibri"/>
                            <w:b w:val="1"/>
                            <w:color w:val="ffffff"/>
                            <w:sz w:val="14"/>
                          </w:rPr>
                          <w:t xml:space="preserve">-</w:t>
                        </w:r>
                      </w:p>
                    </w:txbxContent>
                  </v:textbox>
                </v:rect>
                <v:rect id="Rectangle 55750" style="position:absolute;width:1790;height:1197;left:45987;top:9535;" filled="f" stroked="f">
                  <v:textbox inset="0,0,0,0">
                    <w:txbxContent>
                      <w:p>
                        <w:pPr>
                          <w:spacing w:before="0" w:after="160" w:line="259" w:lineRule="auto"/>
                        </w:pPr>
                        <w:r>
                          <w:rPr>
                            <w:rFonts w:cs="Calibri" w:hAnsi="Calibri" w:eastAsia="Calibri" w:ascii="Calibri"/>
                            <w:b w:val="1"/>
                            <w:color w:val="ffffff"/>
                            <w:sz w:val="14"/>
                          </w:rPr>
                          <w:t xml:space="preserve">250</w:t>
                        </w:r>
                      </w:p>
                    </w:txbxContent>
                  </v:textbox>
                </v:rect>
                <v:rect id="Rectangle 55751" style="position:absolute;width:265;height:1197;left:47344;top:9535;" filled="f" stroked="f">
                  <v:textbox inset="0,0,0,0">
                    <w:txbxContent>
                      <w:p>
                        <w:pPr>
                          <w:spacing w:before="0" w:after="160" w:line="259" w:lineRule="auto"/>
                        </w:pPr>
                        <w:r>
                          <w:rPr>
                            <w:rFonts w:cs="Calibri" w:hAnsi="Calibri" w:eastAsia="Calibri" w:ascii="Calibri"/>
                            <w:b w:val="1"/>
                            <w:color w:val="ffffff"/>
                            <w:sz w:val="14"/>
                          </w:rPr>
                          <w:t xml:space="preserve"> </w:t>
                        </w:r>
                      </w:p>
                    </w:txbxContent>
                  </v:textbox>
                </v:rect>
                <v:shape id="Picture 55754" style="position:absolute;width:37972;height:3556;left:49606;top:39479;rotation:-89;" filled="f">
                  <v:imagedata r:id="rId63"/>
                </v:shape>
                <v:rect id="Rectangle 55755" style="position:absolute;width:47358;height:1132;left:47329;top:3599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756" style="position:absolute;width:44627;height:1132;left:49457;top:3736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315 de 353 </w:t>
                        </w:r>
                      </w:p>
                    </w:txbxContent>
                  </v:textbox>
                </v:rect>
              </v:group>
            </w:pict>
          </mc:Fallback>
        </mc:AlternateContent>
      </w:r>
    </w:p>
    <w:p w:rsidR="00FF384B" w:rsidRDefault="003E3BA9">
      <w:pPr>
        <w:spacing w:after="0"/>
        <w:ind w:left="427"/>
      </w:pPr>
      <w:r>
        <w:rPr>
          <w:noProof/>
        </w:rPr>
        <mc:AlternateContent>
          <mc:Choice Requires="wpg">
            <w:drawing>
              <wp:inline distT="0" distB="0" distL="0" distR="0">
                <wp:extent cx="7205619" cy="6024372"/>
                <wp:effectExtent l="0" t="0" r="0" b="0"/>
                <wp:docPr id="548048" name="Group 548048"/>
                <wp:cNvGraphicFramePr/>
                <a:graphic xmlns:a="http://schemas.openxmlformats.org/drawingml/2006/main">
                  <a:graphicData uri="http://schemas.microsoft.com/office/word/2010/wordprocessingGroup">
                    <wpg:wgp>
                      <wpg:cNvGrpSpPr/>
                      <wpg:grpSpPr>
                        <a:xfrm>
                          <a:off x="0" y="0"/>
                          <a:ext cx="7205619" cy="6024372"/>
                          <a:chOff x="0" y="0"/>
                          <a:chExt cx="7205619" cy="6024372"/>
                        </a:xfrm>
                      </wpg:grpSpPr>
                      <wps:wsp>
                        <wps:cNvPr id="55769" name="Rectangle 55769"/>
                        <wps:cNvSpPr/>
                        <wps:spPr>
                          <a:xfrm>
                            <a:off x="5304409" y="5106467"/>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771" name="Picture 55771"/>
                          <pic:cNvPicPr/>
                        </pic:nvPicPr>
                        <pic:blipFill>
                          <a:blip r:embed="rId141"/>
                          <a:stretch>
                            <a:fillRect/>
                          </a:stretch>
                        </pic:blipFill>
                        <pic:spPr>
                          <a:xfrm>
                            <a:off x="0" y="0"/>
                            <a:ext cx="5301997" cy="5241036"/>
                          </a:xfrm>
                          <a:prstGeom prst="rect">
                            <a:avLst/>
                          </a:prstGeom>
                        </pic:spPr>
                      </pic:pic>
                      <pic:pic xmlns:pic="http://schemas.openxmlformats.org/drawingml/2006/picture">
                        <pic:nvPicPr>
                          <pic:cNvPr id="547642" name="Picture 547642"/>
                          <pic:cNvPicPr/>
                        </pic:nvPicPr>
                        <pic:blipFill>
                          <a:blip r:embed="rId142"/>
                          <a:stretch>
                            <a:fillRect/>
                          </a:stretch>
                        </pic:blipFill>
                        <pic:spPr>
                          <a:xfrm>
                            <a:off x="3937" y="1901952"/>
                            <a:ext cx="457200" cy="201168"/>
                          </a:xfrm>
                          <a:prstGeom prst="rect">
                            <a:avLst/>
                          </a:prstGeom>
                        </pic:spPr>
                      </pic:pic>
                      <wps:wsp>
                        <wps:cNvPr id="55773" name="Shape 55773"/>
                        <wps:cNvSpPr/>
                        <wps:spPr>
                          <a:xfrm>
                            <a:off x="9144" y="1895856"/>
                            <a:ext cx="461772" cy="207264"/>
                          </a:xfrm>
                          <a:custGeom>
                            <a:avLst/>
                            <a:gdLst/>
                            <a:ahLst/>
                            <a:cxnLst/>
                            <a:rect l="0" t="0" r="0" b="0"/>
                            <a:pathLst>
                              <a:path w="461772" h="207264">
                                <a:moveTo>
                                  <a:pt x="34544" y="0"/>
                                </a:moveTo>
                                <a:cubicBezTo>
                                  <a:pt x="15469" y="0"/>
                                  <a:pt x="0" y="15494"/>
                                  <a:pt x="0" y="34544"/>
                                </a:cubicBezTo>
                                <a:lnTo>
                                  <a:pt x="0" y="172720"/>
                                </a:lnTo>
                                <a:cubicBezTo>
                                  <a:pt x="0" y="191770"/>
                                  <a:pt x="15469" y="207264"/>
                                  <a:pt x="34544" y="207264"/>
                                </a:cubicBezTo>
                                <a:lnTo>
                                  <a:pt x="427228" y="207264"/>
                                </a:lnTo>
                                <a:cubicBezTo>
                                  <a:pt x="446278" y="207264"/>
                                  <a:pt x="461772" y="191770"/>
                                  <a:pt x="461772" y="172720"/>
                                </a:cubicBezTo>
                                <a:lnTo>
                                  <a:pt x="461772" y="34544"/>
                                </a:lnTo>
                                <a:cubicBezTo>
                                  <a:pt x="461772" y="15494"/>
                                  <a:pt x="446278" y="0"/>
                                  <a:pt x="4272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774" name="Rectangle 55774"/>
                        <wps:cNvSpPr/>
                        <wps:spPr>
                          <a:xfrm>
                            <a:off x="115824" y="1974977"/>
                            <a:ext cx="102749" cy="119743"/>
                          </a:xfrm>
                          <a:prstGeom prst="rect">
                            <a:avLst/>
                          </a:prstGeom>
                          <a:ln>
                            <a:noFill/>
                          </a:ln>
                        </wps:spPr>
                        <wps:txbx>
                          <w:txbxContent>
                            <w:p w:rsidR="00FF384B" w:rsidRDefault="003E3BA9">
                              <w:r>
                                <w:rPr>
                                  <w:b/>
                                  <w:sz w:val="14"/>
                                </w:rPr>
                                <w:t>M</w:t>
                              </w:r>
                            </w:p>
                          </w:txbxContent>
                        </wps:txbx>
                        <wps:bodyPr horzOverflow="overflow" vert="horz" lIns="0" tIns="0" rIns="0" bIns="0" rtlCol="0">
                          <a:noAutofit/>
                        </wps:bodyPr>
                      </wps:wsp>
                      <wps:wsp>
                        <wps:cNvPr id="55775" name="Rectangle 55775"/>
                        <wps:cNvSpPr/>
                        <wps:spPr>
                          <a:xfrm>
                            <a:off x="193853" y="1974977"/>
                            <a:ext cx="35974" cy="119743"/>
                          </a:xfrm>
                          <a:prstGeom prst="rect">
                            <a:avLst/>
                          </a:prstGeom>
                          <a:ln>
                            <a:noFill/>
                          </a:ln>
                        </wps:spPr>
                        <wps:txbx>
                          <w:txbxContent>
                            <w:p w:rsidR="00FF384B" w:rsidRDefault="003E3BA9">
                              <w:r>
                                <w:rPr>
                                  <w:b/>
                                  <w:sz w:val="14"/>
                                </w:rPr>
                                <w:t>-</w:t>
                              </w:r>
                            </w:p>
                          </w:txbxContent>
                        </wps:txbx>
                        <wps:bodyPr horzOverflow="overflow" vert="horz" lIns="0" tIns="0" rIns="0" bIns="0" rtlCol="0">
                          <a:noAutofit/>
                        </wps:bodyPr>
                      </wps:wsp>
                      <wps:wsp>
                        <wps:cNvPr id="55776" name="Rectangle 55776"/>
                        <wps:cNvSpPr/>
                        <wps:spPr>
                          <a:xfrm>
                            <a:off x="221285" y="1974977"/>
                            <a:ext cx="179046" cy="119743"/>
                          </a:xfrm>
                          <a:prstGeom prst="rect">
                            <a:avLst/>
                          </a:prstGeom>
                          <a:ln>
                            <a:noFill/>
                          </a:ln>
                        </wps:spPr>
                        <wps:txbx>
                          <w:txbxContent>
                            <w:p w:rsidR="00FF384B" w:rsidRDefault="003E3BA9">
                              <w:r>
                                <w:rPr>
                                  <w:b/>
                                  <w:sz w:val="14"/>
                                </w:rPr>
                                <w:t>233</w:t>
                              </w:r>
                            </w:p>
                          </w:txbxContent>
                        </wps:txbx>
                        <wps:bodyPr horzOverflow="overflow" vert="horz" lIns="0" tIns="0" rIns="0" bIns="0" rtlCol="0">
                          <a:noAutofit/>
                        </wps:bodyPr>
                      </wps:wsp>
                      <wps:wsp>
                        <wps:cNvPr id="55777" name="Rectangle 55777"/>
                        <wps:cNvSpPr/>
                        <wps:spPr>
                          <a:xfrm>
                            <a:off x="356921" y="1974977"/>
                            <a:ext cx="26569" cy="119743"/>
                          </a:xfrm>
                          <a:prstGeom prst="rect">
                            <a:avLst/>
                          </a:prstGeom>
                          <a:ln>
                            <a:noFill/>
                          </a:ln>
                        </wps:spPr>
                        <wps:txbx>
                          <w:txbxContent>
                            <w:p w:rsidR="00FF384B" w:rsidRDefault="003E3BA9">
                              <w:r>
                                <w:rPr>
                                  <w:b/>
                                  <w:sz w:val="14"/>
                                </w:rPr>
                                <w:t xml:space="preserve"> </w:t>
                              </w:r>
                            </w:p>
                          </w:txbxContent>
                        </wps:txbx>
                        <wps:bodyPr horzOverflow="overflow" vert="horz" lIns="0" tIns="0" rIns="0" bIns="0" rtlCol="0">
                          <a:noAutofit/>
                        </wps:bodyPr>
                      </wps:wsp>
                      <wps:wsp>
                        <wps:cNvPr id="55778" name="Shape 55778"/>
                        <wps:cNvSpPr/>
                        <wps:spPr>
                          <a:xfrm>
                            <a:off x="138798" y="1001268"/>
                            <a:ext cx="103403" cy="894080"/>
                          </a:xfrm>
                          <a:custGeom>
                            <a:avLst/>
                            <a:gdLst/>
                            <a:ahLst/>
                            <a:cxnLst/>
                            <a:rect l="0" t="0" r="0" b="0"/>
                            <a:pathLst>
                              <a:path w="103403" h="894080">
                                <a:moveTo>
                                  <a:pt x="51702" y="0"/>
                                </a:moveTo>
                                <a:lnTo>
                                  <a:pt x="101638" y="85598"/>
                                </a:lnTo>
                                <a:cubicBezTo>
                                  <a:pt x="103403" y="88646"/>
                                  <a:pt x="102387" y="92456"/>
                                  <a:pt x="99352" y="94234"/>
                                </a:cubicBezTo>
                                <a:cubicBezTo>
                                  <a:pt x="96317" y="96012"/>
                                  <a:pt x="92431" y="94996"/>
                                  <a:pt x="90665" y="91948"/>
                                </a:cubicBezTo>
                                <a:lnTo>
                                  <a:pt x="58052" y="36039"/>
                                </a:lnTo>
                                <a:lnTo>
                                  <a:pt x="58052" y="894080"/>
                                </a:lnTo>
                                <a:lnTo>
                                  <a:pt x="45352" y="894080"/>
                                </a:lnTo>
                                <a:lnTo>
                                  <a:pt x="45352" y="36039"/>
                                </a:lnTo>
                                <a:lnTo>
                                  <a:pt x="12738" y="91948"/>
                                </a:lnTo>
                                <a:cubicBezTo>
                                  <a:pt x="10973" y="94996"/>
                                  <a:pt x="7087" y="96012"/>
                                  <a:pt x="4051" y="94234"/>
                                </a:cubicBezTo>
                                <a:cubicBezTo>
                                  <a:pt x="1029" y="92456"/>
                                  <a:pt x="0" y="88646"/>
                                  <a:pt x="1765" y="85598"/>
                                </a:cubicBezTo>
                                <a:lnTo>
                                  <a:pt x="51702"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643" name="Picture 547643"/>
                          <pic:cNvPicPr/>
                        </pic:nvPicPr>
                        <pic:blipFill>
                          <a:blip r:embed="rId143"/>
                          <a:stretch>
                            <a:fillRect/>
                          </a:stretch>
                        </pic:blipFill>
                        <pic:spPr>
                          <a:xfrm>
                            <a:off x="4819777" y="5540248"/>
                            <a:ext cx="454152" cy="201168"/>
                          </a:xfrm>
                          <a:prstGeom prst="rect">
                            <a:avLst/>
                          </a:prstGeom>
                        </pic:spPr>
                      </pic:pic>
                      <wps:wsp>
                        <wps:cNvPr id="55780" name="Shape 55780"/>
                        <wps:cNvSpPr/>
                        <wps:spPr>
                          <a:xfrm>
                            <a:off x="4823460" y="5533644"/>
                            <a:ext cx="461771" cy="207264"/>
                          </a:xfrm>
                          <a:custGeom>
                            <a:avLst/>
                            <a:gdLst/>
                            <a:ahLst/>
                            <a:cxnLst/>
                            <a:rect l="0" t="0" r="0" b="0"/>
                            <a:pathLst>
                              <a:path w="461771" h="207264">
                                <a:moveTo>
                                  <a:pt x="34544" y="0"/>
                                </a:moveTo>
                                <a:cubicBezTo>
                                  <a:pt x="15494" y="0"/>
                                  <a:pt x="0" y="15469"/>
                                  <a:pt x="0" y="34544"/>
                                </a:cubicBezTo>
                                <a:lnTo>
                                  <a:pt x="0" y="172720"/>
                                </a:lnTo>
                                <a:cubicBezTo>
                                  <a:pt x="0" y="191795"/>
                                  <a:pt x="15494" y="207264"/>
                                  <a:pt x="34544" y="207264"/>
                                </a:cubicBezTo>
                                <a:lnTo>
                                  <a:pt x="427228" y="207264"/>
                                </a:lnTo>
                                <a:cubicBezTo>
                                  <a:pt x="446278" y="207264"/>
                                  <a:pt x="461771" y="191795"/>
                                  <a:pt x="461771" y="172720"/>
                                </a:cubicBezTo>
                                <a:lnTo>
                                  <a:pt x="461771" y="34544"/>
                                </a:lnTo>
                                <a:cubicBezTo>
                                  <a:pt x="461771" y="15469"/>
                                  <a:pt x="446278" y="0"/>
                                  <a:pt x="4272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781" name="Rectangle 55781"/>
                        <wps:cNvSpPr/>
                        <wps:spPr>
                          <a:xfrm>
                            <a:off x="4931029" y="5613349"/>
                            <a:ext cx="102749" cy="119743"/>
                          </a:xfrm>
                          <a:prstGeom prst="rect">
                            <a:avLst/>
                          </a:prstGeom>
                          <a:ln>
                            <a:noFill/>
                          </a:ln>
                        </wps:spPr>
                        <wps:txbx>
                          <w:txbxContent>
                            <w:p w:rsidR="00FF384B" w:rsidRDefault="003E3BA9">
                              <w:r>
                                <w:rPr>
                                  <w:b/>
                                  <w:sz w:val="14"/>
                                </w:rPr>
                                <w:t>M</w:t>
                              </w:r>
                            </w:p>
                          </w:txbxContent>
                        </wps:txbx>
                        <wps:bodyPr horzOverflow="overflow" vert="horz" lIns="0" tIns="0" rIns="0" bIns="0" rtlCol="0">
                          <a:noAutofit/>
                        </wps:bodyPr>
                      </wps:wsp>
                      <wps:wsp>
                        <wps:cNvPr id="55782" name="Rectangle 55782"/>
                        <wps:cNvSpPr/>
                        <wps:spPr>
                          <a:xfrm>
                            <a:off x="5008753" y="5613349"/>
                            <a:ext cx="35974" cy="119743"/>
                          </a:xfrm>
                          <a:prstGeom prst="rect">
                            <a:avLst/>
                          </a:prstGeom>
                          <a:ln>
                            <a:noFill/>
                          </a:ln>
                        </wps:spPr>
                        <wps:txbx>
                          <w:txbxContent>
                            <w:p w:rsidR="00FF384B" w:rsidRDefault="003E3BA9">
                              <w:r>
                                <w:rPr>
                                  <w:b/>
                                  <w:sz w:val="14"/>
                                </w:rPr>
                                <w:t>-</w:t>
                              </w:r>
                            </w:p>
                          </w:txbxContent>
                        </wps:txbx>
                        <wps:bodyPr horzOverflow="overflow" vert="horz" lIns="0" tIns="0" rIns="0" bIns="0" rtlCol="0">
                          <a:noAutofit/>
                        </wps:bodyPr>
                      </wps:wsp>
                      <wps:wsp>
                        <wps:cNvPr id="55783" name="Rectangle 55783"/>
                        <wps:cNvSpPr/>
                        <wps:spPr>
                          <a:xfrm>
                            <a:off x="5036185" y="5613349"/>
                            <a:ext cx="179046" cy="119743"/>
                          </a:xfrm>
                          <a:prstGeom prst="rect">
                            <a:avLst/>
                          </a:prstGeom>
                          <a:ln>
                            <a:noFill/>
                          </a:ln>
                        </wps:spPr>
                        <wps:txbx>
                          <w:txbxContent>
                            <w:p w:rsidR="00FF384B" w:rsidRDefault="003E3BA9">
                              <w:r>
                                <w:rPr>
                                  <w:b/>
                                  <w:sz w:val="14"/>
                                </w:rPr>
                                <w:t>242</w:t>
                              </w:r>
                            </w:p>
                          </w:txbxContent>
                        </wps:txbx>
                        <wps:bodyPr horzOverflow="overflow" vert="horz" lIns="0" tIns="0" rIns="0" bIns="0" rtlCol="0">
                          <a:noAutofit/>
                        </wps:bodyPr>
                      </wps:wsp>
                      <wps:wsp>
                        <wps:cNvPr id="55784" name="Rectangle 55784"/>
                        <wps:cNvSpPr/>
                        <wps:spPr>
                          <a:xfrm>
                            <a:off x="5171821" y="5613349"/>
                            <a:ext cx="26568" cy="119743"/>
                          </a:xfrm>
                          <a:prstGeom prst="rect">
                            <a:avLst/>
                          </a:prstGeom>
                          <a:ln>
                            <a:noFill/>
                          </a:ln>
                        </wps:spPr>
                        <wps:txbx>
                          <w:txbxContent>
                            <w:p w:rsidR="00FF384B" w:rsidRDefault="003E3BA9">
                              <w:r>
                                <w:rPr>
                                  <w:b/>
                                  <w:sz w:val="14"/>
                                </w:rPr>
                                <w:t xml:space="preserve"> </w:t>
                              </w:r>
                            </w:p>
                          </w:txbxContent>
                        </wps:txbx>
                        <wps:bodyPr horzOverflow="overflow" vert="horz" lIns="0" tIns="0" rIns="0" bIns="0" rtlCol="0">
                          <a:noAutofit/>
                        </wps:bodyPr>
                      </wps:wsp>
                      <wps:wsp>
                        <wps:cNvPr id="55785" name="Shape 55785"/>
                        <wps:cNvSpPr/>
                        <wps:spPr>
                          <a:xfrm>
                            <a:off x="5155693" y="5356835"/>
                            <a:ext cx="164592" cy="170167"/>
                          </a:xfrm>
                          <a:custGeom>
                            <a:avLst/>
                            <a:gdLst/>
                            <a:ahLst/>
                            <a:cxnLst/>
                            <a:rect l="0" t="0" r="0" b="0"/>
                            <a:pathLst>
                              <a:path w="164592" h="170167">
                                <a:moveTo>
                                  <a:pt x="164592" y="0"/>
                                </a:moveTo>
                                <a:lnTo>
                                  <a:pt x="141097" y="96266"/>
                                </a:lnTo>
                                <a:cubicBezTo>
                                  <a:pt x="140208" y="99682"/>
                                  <a:pt x="136778" y="101765"/>
                                  <a:pt x="133350" y="100927"/>
                                </a:cubicBezTo>
                                <a:cubicBezTo>
                                  <a:pt x="130048" y="100102"/>
                                  <a:pt x="127889" y="96660"/>
                                  <a:pt x="128777" y="93256"/>
                                </a:cubicBezTo>
                                <a:lnTo>
                                  <a:pt x="144176" y="30283"/>
                                </a:lnTo>
                                <a:lnTo>
                                  <a:pt x="9144" y="170167"/>
                                </a:lnTo>
                                <a:lnTo>
                                  <a:pt x="0" y="161354"/>
                                </a:lnTo>
                                <a:lnTo>
                                  <a:pt x="134937" y="21568"/>
                                </a:lnTo>
                                <a:lnTo>
                                  <a:pt x="72644" y="39129"/>
                                </a:lnTo>
                                <a:cubicBezTo>
                                  <a:pt x="69342" y="40081"/>
                                  <a:pt x="65786" y="38113"/>
                                  <a:pt x="64897" y="34734"/>
                                </a:cubicBezTo>
                                <a:cubicBezTo>
                                  <a:pt x="63881" y="31356"/>
                                  <a:pt x="65913" y="27851"/>
                                  <a:pt x="69214" y="26898"/>
                                </a:cubicBezTo>
                                <a:lnTo>
                                  <a:pt x="164592"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644" name="Picture 547644"/>
                          <pic:cNvPicPr/>
                        </pic:nvPicPr>
                        <pic:blipFill>
                          <a:blip r:embed="rId144"/>
                          <a:stretch>
                            <a:fillRect/>
                          </a:stretch>
                        </pic:blipFill>
                        <pic:spPr>
                          <a:xfrm>
                            <a:off x="1534033" y="3000248"/>
                            <a:ext cx="685800" cy="201168"/>
                          </a:xfrm>
                          <a:prstGeom prst="rect">
                            <a:avLst/>
                          </a:prstGeom>
                        </pic:spPr>
                      </pic:pic>
                      <wps:wsp>
                        <wps:cNvPr id="55787" name="Shape 55787"/>
                        <wps:cNvSpPr/>
                        <wps:spPr>
                          <a:xfrm>
                            <a:off x="1539240" y="2993136"/>
                            <a:ext cx="688848" cy="207264"/>
                          </a:xfrm>
                          <a:custGeom>
                            <a:avLst/>
                            <a:gdLst/>
                            <a:ahLst/>
                            <a:cxnLst/>
                            <a:rect l="0" t="0" r="0" b="0"/>
                            <a:pathLst>
                              <a:path w="688848" h="207264">
                                <a:moveTo>
                                  <a:pt x="34544" y="0"/>
                                </a:moveTo>
                                <a:cubicBezTo>
                                  <a:pt x="15494" y="0"/>
                                  <a:pt x="0" y="15494"/>
                                  <a:pt x="0" y="34544"/>
                                </a:cubicBezTo>
                                <a:lnTo>
                                  <a:pt x="0" y="172720"/>
                                </a:lnTo>
                                <a:cubicBezTo>
                                  <a:pt x="0" y="191770"/>
                                  <a:pt x="15494" y="207264"/>
                                  <a:pt x="34544" y="207264"/>
                                </a:cubicBezTo>
                                <a:lnTo>
                                  <a:pt x="654304" y="207264"/>
                                </a:lnTo>
                                <a:cubicBezTo>
                                  <a:pt x="673354" y="207264"/>
                                  <a:pt x="688848" y="191770"/>
                                  <a:pt x="688848" y="172720"/>
                                </a:cubicBezTo>
                                <a:lnTo>
                                  <a:pt x="688848" y="34544"/>
                                </a:lnTo>
                                <a:cubicBezTo>
                                  <a:pt x="688848" y="15494"/>
                                  <a:pt x="673354" y="0"/>
                                  <a:pt x="6543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788" name="Rectangle 55788"/>
                        <wps:cNvSpPr/>
                        <wps:spPr>
                          <a:xfrm>
                            <a:off x="1646174" y="3072511"/>
                            <a:ext cx="274035" cy="119743"/>
                          </a:xfrm>
                          <a:prstGeom prst="rect">
                            <a:avLst/>
                          </a:prstGeom>
                          <a:ln>
                            <a:noFill/>
                          </a:ln>
                        </wps:spPr>
                        <wps:txbx>
                          <w:txbxContent>
                            <w:p w:rsidR="00FF384B" w:rsidRDefault="003E3BA9">
                              <w:r>
                                <w:rPr>
                                  <w:b/>
                                  <w:sz w:val="14"/>
                                </w:rPr>
                                <w:t>Espac</w:t>
                              </w:r>
                            </w:p>
                          </w:txbxContent>
                        </wps:txbx>
                        <wps:bodyPr horzOverflow="overflow" vert="horz" lIns="0" tIns="0" rIns="0" bIns="0" rtlCol="0">
                          <a:noAutofit/>
                        </wps:bodyPr>
                      </wps:wsp>
                      <wps:wsp>
                        <wps:cNvPr id="55789" name="Rectangle 55789"/>
                        <wps:cNvSpPr/>
                        <wps:spPr>
                          <a:xfrm>
                            <a:off x="1853438" y="3072511"/>
                            <a:ext cx="117649" cy="119743"/>
                          </a:xfrm>
                          <a:prstGeom prst="rect">
                            <a:avLst/>
                          </a:prstGeom>
                          <a:ln>
                            <a:noFill/>
                          </a:ln>
                        </wps:spPr>
                        <wps:txbx>
                          <w:txbxContent>
                            <w:p w:rsidR="00FF384B" w:rsidRDefault="003E3BA9">
                              <w:r>
                                <w:rPr>
                                  <w:b/>
                                  <w:sz w:val="14"/>
                                </w:rPr>
                                <w:t xml:space="preserve">io </w:t>
                              </w:r>
                            </w:p>
                          </w:txbxContent>
                        </wps:txbx>
                        <wps:bodyPr horzOverflow="overflow" vert="horz" lIns="0" tIns="0" rIns="0" bIns="0" rtlCol="0">
                          <a:noAutofit/>
                        </wps:bodyPr>
                      </wps:wsp>
                      <wps:wsp>
                        <wps:cNvPr id="55790" name="Shape 55790"/>
                        <wps:cNvSpPr/>
                        <wps:spPr>
                          <a:xfrm>
                            <a:off x="1961007" y="2583180"/>
                            <a:ext cx="320548" cy="406527"/>
                          </a:xfrm>
                          <a:custGeom>
                            <a:avLst/>
                            <a:gdLst/>
                            <a:ahLst/>
                            <a:cxnLst/>
                            <a:rect l="0" t="0" r="0" b="0"/>
                            <a:pathLst>
                              <a:path w="320548" h="406527">
                                <a:moveTo>
                                  <a:pt x="320548" y="0"/>
                                </a:moveTo>
                                <a:lnTo>
                                  <a:pt x="307086" y="98171"/>
                                </a:lnTo>
                                <a:cubicBezTo>
                                  <a:pt x="306578" y="101600"/>
                                  <a:pt x="303403" y="104013"/>
                                  <a:pt x="299847" y="103632"/>
                                </a:cubicBezTo>
                                <a:cubicBezTo>
                                  <a:pt x="296418" y="103124"/>
                                  <a:pt x="294005" y="99949"/>
                                  <a:pt x="294513" y="96393"/>
                                </a:cubicBezTo>
                                <a:lnTo>
                                  <a:pt x="303267" y="32323"/>
                                </a:lnTo>
                                <a:lnTo>
                                  <a:pt x="9906" y="406527"/>
                                </a:lnTo>
                                <a:lnTo>
                                  <a:pt x="0" y="398653"/>
                                </a:lnTo>
                                <a:lnTo>
                                  <a:pt x="293411" y="24385"/>
                                </a:lnTo>
                                <a:lnTo>
                                  <a:pt x="233172" y="48387"/>
                                </a:lnTo>
                                <a:cubicBezTo>
                                  <a:pt x="229870" y="49657"/>
                                  <a:pt x="226187" y="48006"/>
                                  <a:pt x="224917" y="44831"/>
                                </a:cubicBezTo>
                                <a:cubicBezTo>
                                  <a:pt x="223647" y="41529"/>
                                  <a:pt x="225171" y="37846"/>
                                  <a:pt x="228473" y="36576"/>
                                </a:cubicBezTo>
                                <a:lnTo>
                                  <a:pt x="320548"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792" name="Picture 55792"/>
                          <pic:cNvPicPr/>
                        </pic:nvPicPr>
                        <pic:blipFill>
                          <a:blip r:embed="rId62"/>
                          <a:stretch>
                            <a:fillRect/>
                          </a:stretch>
                        </pic:blipFill>
                        <pic:spPr>
                          <a:xfrm rot="-5399999">
                            <a:off x="4960621" y="3947922"/>
                            <a:ext cx="3797299" cy="355600"/>
                          </a:xfrm>
                          <a:prstGeom prst="rect">
                            <a:avLst/>
                          </a:prstGeom>
                        </pic:spPr>
                      </pic:pic>
                      <wps:wsp>
                        <wps:cNvPr id="55793" name="Rectangle 55793"/>
                        <wps:cNvSpPr/>
                        <wps:spPr>
                          <a:xfrm rot="-5399999">
                            <a:off x="4732952" y="3599811"/>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794" name="Rectangle 55794"/>
                        <wps:cNvSpPr/>
                        <wps:spPr>
                          <a:xfrm rot="-5399999">
                            <a:off x="4945715" y="3736376"/>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316 de 353 </w:t>
                              </w:r>
                            </w:p>
                          </w:txbxContent>
                        </wps:txbx>
                        <wps:bodyPr horzOverflow="overflow" vert="horz" lIns="0" tIns="0" rIns="0" bIns="0" rtlCol="0">
                          <a:noAutofit/>
                        </wps:bodyPr>
                      </wps:wsp>
                    </wpg:wgp>
                  </a:graphicData>
                </a:graphic>
              </wp:inline>
            </w:drawing>
          </mc:Choice>
          <mc:Fallback xmlns:a="http://schemas.openxmlformats.org/drawingml/2006/main">
            <w:pict>
              <v:group id="Group 548048" style="width:567.372pt;height:474.36pt;mso-position-horizontal-relative:char;mso-position-vertical-relative:line" coordsize="72056,60243">
                <v:rect id="Rectangle 55769" style="position:absolute;width:506;height:2243;left:53044;top:510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5771" style="position:absolute;width:53019;height:52410;left:0;top:0;" filled="f">
                  <v:imagedata r:id="rId145"/>
                </v:shape>
                <v:shape id="Picture 547642" style="position:absolute;width:4572;height:2011;left:39;top:19019;" filled="f">
                  <v:imagedata r:id="rId146"/>
                </v:shape>
                <v:shape id="Shape 55773" style="position:absolute;width:4617;height:2072;left:91;top:18958;" coordsize="461772,207264" path="m34544,0c15469,0,0,15494,0,34544l0,172720c0,191770,15469,207264,34544,207264l427228,207264c446278,207264,461772,191770,461772,172720l461772,34544c461772,15494,446278,0,427228,0x">
                  <v:stroke weight="0.72pt" endcap="flat" joinstyle="round" on="true" color="#000000"/>
                  <v:fill on="false" color="#000000" opacity="0"/>
                </v:shape>
                <v:rect id="Rectangle 55774" style="position:absolute;width:1027;height:1197;left:1158;top:19749;" filled="f" stroked="f">
                  <v:textbox inset="0,0,0,0">
                    <w:txbxContent>
                      <w:p>
                        <w:pPr>
                          <w:spacing w:before="0" w:after="160" w:line="259" w:lineRule="auto"/>
                        </w:pPr>
                        <w:r>
                          <w:rPr>
                            <w:rFonts w:cs="Calibri" w:hAnsi="Calibri" w:eastAsia="Calibri" w:ascii="Calibri"/>
                            <w:b w:val="1"/>
                            <w:sz w:val="14"/>
                          </w:rPr>
                          <w:t xml:space="preserve">M</w:t>
                        </w:r>
                      </w:p>
                    </w:txbxContent>
                  </v:textbox>
                </v:rect>
                <v:rect id="Rectangle 55775" style="position:absolute;width:359;height:1197;left:1938;top:19749;" filled="f" stroked="f">
                  <v:textbox inset="0,0,0,0">
                    <w:txbxContent>
                      <w:p>
                        <w:pPr>
                          <w:spacing w:before="0" w:after="160" w:line="259" w:lineRule="auto"/>
                        </w:pPr>
                        <w:r>
                          <w:rPr>
                            <w:rFonts w:cs="Calibri" w:hAnsi="Calibri" w:eastAsia="Calibri" w:ascii="Calibri"/>
                            <w:b w:val="1"/>
                            <w:sz w:val="14"/>
                          </w:rPr>
                          <w:t xml:space="preserve">-</w:t>
                        </w:r>
                      </w:p>
                    </w:txbxContent>
                  </v:textbox>
                </v:rect>
                <v:rect id="Rectangle 55776" style="position:absolute;width:1790;height:1197;left:2212;top:19749;" filled="f" stroked="f">
                  <v:textbox inset="0,0,0,0">
                    <w:txbxContent>
                      <w:p>
                        <w:pPr>
                          <w:spacing w:before="0" w:after="160" w:line="259" w:lineRule="auto"/>
                        </w:pPr>
                        <w:r>
                          <w:rPr>
                            <w:rFonts w:cs="Calibri" w:hAnsi="Calibri" w:eastAsia="Calibri" w:ascii="Calibri"/>
                            <w:b w:val="1"/>
                            <w:sz w:val="14"/>
                          </w:rPr>
                          <w:t xml:space="preserve">233</w:t>
                        </w:r>
                      </w:p>
                    </w:txbxContent>
                  </v:textbox>
                </v:rect>
                <v:rect id="Rectangle 55777" style="position:absolute;width:265;height:1197;left:3569;top:19749;" filled="f" stroked="f">
                  <v:textbox inset="0,0,0,0">
                    <w:txbxContent>
                      <w:p>
                        <w:pPr>
                          <w:spacing w:before="0" w:after="160" w:line="259" w:lineRule="auto"/>
                        </w:pPr>
                        <w:r>
                          <w:rPr>
                            <w:rFonts w:cs="Calibri" w:hAnsi="Calibri" w:eastAsia="Calibri" w:ascii="Calibri"/>
                            <w:b w:val="1"/>
                            <w:sz w:val="14"/>
                          </w:rPr>
                          <w:t xml:space="preserve"> </w:t>
                        </w:r>
                      </w:p>
                    </w:txbxContent>
                  </v:textbox>
                </v:rect>
                <v:shape id="Shape 55778" style="position:absolute;width:1034;height:8940;left:1387;top:10012;" coordsize="103403,894080" path="m51702,0l101638,85598c103403,88646,102387,92456,99352,94234c96317,96012,92431,94996,90665,91948l58052,36039l58052,894080l45352,894080l45352,36039l12738,91948c10973,94996,7087,96012,4051,94234c1029,92456,0,88646,1765,85598l51702,0x">
                  <v:stroke weight="0pt" endcap="flat" joinstyle="round" on="false" color="#000000" opacity="0"/>
                  <v:fill on="true" color="#000000"/>
                </v:shape>
                <v:shape id="Picture 547643" style="position:absolute;width:4541;height:2011;left:48197;top:55402;" filled="f">
                  <v:imagedata r:id="rId147"/>
                </v:shape>
                <v:shape id="Shape 55780" style="position:absolute;width:4617;height:2072;left:48234;top:55336;" coordsize="461771,207264" path="m34544,0c15494,0,0,15469,0,34544l0,172720c0,191795,15494,207264,34544,207264l427228,207264c446278,207264,461771,191795,461771,172720l461771,34544c461771,15469,446278,0,427228,0x">
                  <v:stroke weight="0.72pt" endcap="flat" joinstyle="round" on="true" color="#000000"/>
                  <v:fill on="false" color="#000000" opacity="0"/>
                </v:shape>
                <v:rect id="Rectangle 55781" style="position:absolute;width:1027;height:1197;left:49310;top:56133;" filled="f" stroked="f">
                  <v:textbox inset="0,0,0,0">
                    <w:txbxContent>
                      <w:p>
                        <w:pPr>
                          <w:spacing w:before="0" w:after="160" w:line="259" w:lineRule="auto"/>
                        </w:pPr>
                        <w:r>
                          <w:rPr>
                            <w:rFonts w:cs="Calibri" w:hAnsi="Calibri" w:eastAsia="Calibri" w:ascii="Calibri"/>
                            <w:b w:val="1"/>
                            <w:sz w:val="14"/>
                          </w:rPr>
                          <w:t xml:space="preserve">M</w:t>
                        </w:r>
                      </w:p>
                    </w:txbxContent>
                  </v:textbox>
                </v:rect>
                <v:rect id="Rectangle 55782" style="position:absolute;width:359;height:1197;left:50087;top:56133;" filled="f" stroked="f">
                  <v:textbox inset="0,0,0,0">
                    <w:txbxContent>
                      <w:p>
                        <w:pPr>
                          <w:spacing w:before="0" w:after="160" w:line="259" w:lineRule="auto"/>
                        </w:pPr>
                        <w:r>
                          <w:rPr>
                            <w:rFonts w:cs="Calibri" w:hAnsi="Calibri" w:eastAsia="Calibri" w:ascii="Calibri"/>
                            <w:b w:val="1"/>
                            <w:sz w:val="14"/>
                          </w:rPr>
                          <w:t xml:space="preserve">-</w:t>
                        </w:r>
                      </w:p>
                    </w:txbxContent>
                  </v:textbox>
                </v:rect>
                <v:rect id="Rectangle 55783" style="position:absolute;width:1790;height:1197;left:50361;top:56133;" filled="f" stroked="f">
                  <v:textbox inset="0,0,0,0">
                    <w:txbxContent>
                      <w:p>
                        <w:pPr>
                          <w:spacing w:before="0" w:after="160" w:line="259" w:lineRule="auto"/>
                        </w:pPr>
                        <w:r>
                          <w:rPr>
                            <w:rFonts w:cs="Calibri" w:hAnsi="Calibri" w:eastAsia="Calibri" w:ascii="Calibri"/>
                            <w:b w:val="1"/>
                            <w:sz w:val="14"/>
                          </w:rPr>
                          <w:t xml:space="preserve">242</w:t>
                        </w:r>
                      </w:p>
                    </w:txbxContent>
                  </v:textbox>
                </v:rect>
                <v:rect id="Rectangle 55784" style="position:absolute;width:265;height:1197;left:51718;top:56133;" filled="f" stroked="f">
                  <v:textbox inset="0,0,0,0">
                    <w:txbxContent>
                      <w:p>
                        <w:pPr>
                          <w:spacing w:before="0" w:after="160" w:line="259" w:lineRule="auto"/>
                        </w:pPr>
                        <w:r>
                          <w:rPr>
                            <w:rFonts w:cs="Calibri" w:hAnsi="Calibri" w:eastAsia="Calibri" w:ascii="Calibri"/>
                            <w:b w:val="1"/>
                            <w:sz w:val="14"/>
                          </w:rPr>
                          <w:t xml:space="preserve"> </w:t>
                        </w:r>
                      </w:p>
                    </w:txbxContent>
                  </v:textbox>
                </v:rect>
                <v:shape id="Shape 55785" style="position:absolute;width:1645;height:1701;left:51556;top:53568;" coordsize="164592,170167" path="m164592,0l141097,96266c140208,99682,136778,101765,133350,100927c130048,100102,127889,96660,128777,93256l144176,30283l9144,170167l0,161354l134937,21568l72644,39129c69342,40081,65786,38113,64897,34734c63881,31356,65913,27851,69214,26898l164592,0x">
                  <v:stroke weight="0pt" endcap="flat" joinstyle="round" on="false" color="#000000" opacity="0"/>
                  <v:fill on="true" color="#000000"/>
                </v:shape>
                <v:shape id="Picture 547644" style="position:absolute;width:6858;height:2011;left:15340;top:30002;" filled="f">
                  <v:imagedata r:id="rId148"/>
                </v:shape>
                <v:shape id="Shape 55787" style="position:absolute;width:6888;height:2072;left:15392;top:29931;" coordsize="688848,207264" path="m34544,0c15494,0,0,15494,0,34544l0,172720c0,191770,15494,207264,34544,207264l654304,207264c673354,207264,688848,191770,688848,172720l688848,34544c688848,15494,673354,0,654304,0x">
                  <v:stroke weight="0.72pt" endcap="flat" joinstyle="round" on="true" color="#000000"/>
                  <v:fill on="false" color="#000000" opacity="0"/>
                </v:shape>
                <v:rect id="Rectangle 55788" style="position:absolute;width:2740;height:1197;left:16461;top:30725;" filled="f" stroked="f">
                  <v:textbox inset="0,0,0,0">
                    <w:txbxContent>
                      <w:p>
                        <w:pPr>
                          <w:spacing w:before="0" w:after="160" w:line="259" w:lineRule="auto"/>
                        </w:pPr>
                        <w:r>
                          <w:rPr>
                            <w:rFonts w:cs="Calibri" w:hAnsi="Calibri" w:eastAsia="Calibri" w:ascii="Calibri"/>
                            <w:b w:val="1"/>
                            <w:sz w:val="14"/>
                          </w:rPr>
                          <w:t xml:space="preserve">Espac</w:t>
                        </w:r>
                      </w:p>
                    </w:txbxContent>
                  </v:textbox>
                </v:rect>
                <v:rect id="Rectangle 55789" style="position:absolute;width:1176;height:1197;left:18534;top:30725;" filled="f" stroked="f">
                  <v:textbox inset="0,0,0,0">
                    <w:txbxContent>
                      <w:p>
                        <w:pPr>
                          <w:spacing w:before="0" w:after="160" w:line="259" w:lineRule="auto"/>
                        </w:pPr>
                        <w:r>
                          <w:rPr>
                            <w:rFonts w:cs="Calibri" w:hAnsi="Calibri" w:eastAsia="Calibri" w:ascii="Calibri"/>
                            <w:b w:val="1"/>
                            <w:sz w:val="14"/>
                          </w:rPr>
                          <w:t xml:space="preserve">io </w:t>
                        </w:r>
                      </w:p>
                    </w:txbxContent>
                  </v:textbox>
                </v:rect>
                <v:shape id="Shape 55790" style="position:absolute;width:3205;height:4065;left:19610;top:25831;" coordsize="320548,406527" path="m320548,0l307086,98171c306578,101600,303403,104013,299847,103632c296418,103124,294005,99949,294513,96393l303267,32323l9906,406527l0,398653l293411,24385l233172,48387c229870,49657,226187,48006,224917,44831c223647,41529,225171,37846,228473,36576l320548,0x">
                  <v:stroke weight="0pt" endcap="flat" joinstyle="round" on="false" color="#000000" opacity="0"/>
                  <v:fill on="true" color="#000000"/>
                </v:shape>
                <v:shape id="Picture 55792" style="position:absolute;width:37972;height:3556;left:49606;top:39479;rotation:-89;" filled="f">
                  <v:imagedata r:id="rId63"/>
                </v:shape>
                <v:rect id="Rectangle 55793" style="position:absolute;width:47358;height:1132;left:47329;top:3599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794" style="position:absolute;width:44627;height:1132;left:49457;top:3736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316 de 353 </w:t>
                        </w:r>
                      </w:p>
                    </w:txbxContent>
                  </v:textbox>
                </v:rect>
              </v:group>
            </w:pict>
          </mc:Fallback>
        </mc:AlternateConten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spacing w:after="0"/>
        <w:ind w:left="463"/>
        <w:jc w:val="center"/>
      </w:pPr>
      <w:r>
        <w:rPr>
          <w:rFonts w:ascii="Times New Roman" w:eastAsia="Times New Roman" w:hAnsi="Times New Roman" w:cs="Times New Roman"/>
          <w:i/>
          <w:sz w:val="18"/>
        </w:rPr>
        <w:t xml:space="preserve"> </w:t>
      </w:r>
    </w:p>
    <w:p w:rsidR="00FF384B" w:rsidRDefault="003E3BA9">
      <w:pPr>
        <w:spacing w:after="0"/>
        <w:ind w:left="427" w:right="6" w:hanging="10"/>
        <w:jc w:val="center"/>
      </w:pPr>
      <w:r>
        <w:rPr>
          <w:rFonts w:ascii="Times New Roman" w:eastAsia="Times New Roman" w:hAnsi="Times New Roman" w:cs="Times New Roman"/>
          <w:i/>
          <w:sz w:val="18"/>
        </w:rPr>
        <w:t>Plano 16: Ordenación Detallada Costa de Candelaria, s</w:t>
      </w:r>
      <w:r>
        <w:rPr>
          <w:rFonts w:ascii="Times New Roman" w:eastAsia="Times New Roman" w:hAnsi="Times New Roman" w:cs="Times New Roman"/>
          <w:i/>
          <w:sz w:val="18"/>
        </w:rPr>
        <w:t xml:space="preserve">egún modificación ordinaria de 2011. </w:t>
      </w:r>
    </w:p>
    <w:p w:rsidR="00FF384B" w:rsidRDefault="003E3BA9">
      <w:pPr>
        <w:spacing w:after="0"/>
        <w:ind w:left="427"/>
      </w:pPr>
      <w:r>
        <w:rPr>
          <w:rFonts w:ascii="Times New Roman" w:eastAsia="Times New Roman" w:hAnsi="Times New Roman" w:cs="Times New Roman"/>
          <w:i/>
          <w:sz w:val="18"/>
        </w:rPr>
        <w:t xml:space="preserve"> </w:t>
      </w:r>
    </w:p>
    <w:p w:rsidR="00FF384B" w:rsidRDefault="003E3BA9">
      <w:pPr>
        <w:spacing w:after="0"/>
        <w:ind w:left="427"/>
      </w:pPr>
      <w:r>
        <w:rPr>
          <w:rFonts w:ascii="Times New Roman" w:eastAsia="Times New Roman" w:hAnsi="Times New Roman" w:cs="Times New Roman"/>
          <w:i/>
          <w:sz w:val="18"/>
        </w:rPr>
        <w:t xml:space="preserve"> </w:t>
      </w:r>
    </w:p>
    <w:p w:rsidR="00FF384B" w:rsidRDefault="003E3BA9">
      <w:pPr>
        <w:spacing w:after="5562"/>
        <w:ind w:left="427"/>
      </w:pPr>
      <w:r>
        <w:rPr>
          <w:rFonts w:ascii="Times New Roman" w:eastAsia="Times New Roman" w:hAnsi="Times New Roman" w:cs="Times New Roman"/>
          <w:i/>
          <w:sz w:val="18"/>
        </w:rPr>
        <w:t xml:space="preserve"> </w:t>
      </w:r>
    </w:p>
    <w:p w:rsidR="00FF384B" w:rsidRDefault="003E3BA9">
      <w:pPr>
        <w:spacing w:after="34"/>
        <w:ind w:left="427" w:right="3161" w:hanging="10"/>
        <w:jc w:val="center"/>
      </w:pPr>
      <w:r>
        <w:rPr>
          <w:noProof/>
        </w:rPr>
        <mc:AlternateContent>
          <mc:Choice Requires="wpg">
            <w:drawing>
              <wp:anchor distT="0" distB="0" distL="114300" distR="114300" simplePos="0" relativeHeight="251980800" behindDoc="0" locked="0" layoutInCell="1" allowOverlap="1">
                <wp:simplePos x="0" y="0"/>
                <wp:positionH relativeFrom="column">
                  <wp:posOffset>271272</wp:posOffset>
                </wp:positionH>
                <wp:positionV relativeFrom="paragraph">
                  <wp:posOffset>-3545979</wp:posOffset>
                </wp:positionV>
                <wp:extent cx="5353177" cy="3575583"/>
                <wp:effectExtent l="0" t="0" r="0" b="0"/>
                <wp:wrapSquare wrapText="bothSides"/>
                <wp:docPr id="509048" name="Group 509048"/>
                <wp:cNvGraphicFramePr/>
                <a:graphic xmlns:a="http://schemas.openxmlformats.org/drawingml/2006/main">
                  <a:graphicData uri="http://schemas.microsoft.com/office/word/2010/wordprocessingGroup">
                    <wpg:wgp>
                      <wpg:cNvGrpSpPr/>
                      <wpg:grpSpPr>
                        <a:xfrm>
                          <a:off x="0" y="0"/>
                          <a:ext cx="5353177" cy="3575583"/>
                          <a:chOff x="0" y="0"/>
                          <a:chExt cx="5353177" cy="3575583"/>
                        </a:xfrm>
                      </wpg:grpSpPr>
                      <wps:wsp>
                        <wps:cNvPr id="55814" name="Rectangle 55814"/>
                        <wps:cNvSpPr/>
                        <wps:spPr>
                          <a:xfrm>
                            <a:off x="5315077" y="3406877"/>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826" name="Picture 55826"/>
                          <pic:cNvPicPr/>
                        </pic:nvPicPr>
                        <pic:blipFill>
                          <a:blip r:embed="rId149"/>
                          <a:stretch>
                            <a:fillRect/>
                          </a:stretch>
                        </pic:blipFill>
                        <pic:spPr>
                          <a:xfrm>
                            <a:off x="0" y="0"/>
                            <a:ext cx="5309616" cy="3535680"/>
                          </a:xfrm>
                          <a:prstGeom prst="rect">
                            <a:avLst/>
                          </a:prstGeom>
                        </pic:spPr>
                      </pic:pic>
                      <wps:wsp>
                        <wps:cNvPr id="55828" name="Shape 55828"/>
                        <wps:cNvSpPr/>
                        <wps:spPr>
                          <a:xfrm>
                            <a:off x="4520057" y="832612"/>
                            <a:ext cx="103378" cy="2724912"/>
                          </a:xfrm>
                          <a:custGeom>
                            <a:avLst/>
                            <a:gdLst/>
                            <a:ahLst/>
                            <a:cxnLst/>
                            <a:rect l="0" t="0" r="0" b="0"/>
                            <a:pathLst>
                              <a:path w="103378" h="2724912">
                                <a:moveTo>
                                  <a:pt x="51689" y="0"/>
                                </a:moveTo>
                                <a:lnTo>
                                  <a:pt x="101600" y="85598"/>
                                </a:lnTo>
                                <a:cubicBezTo>
                                  <a:pt x="103378" y="88646"/>
                                  <a:pt x="102362" y="92583"/>
                                  <a:pt x="99314" y="94361"/>
                                </a:cubicBezTo>
                                <a:cubicBezTo>
                                  <a:pt x="96266" y="96139"/>
                                  <a:pt x="92456" y="94996"/>
                                  <a:pt x="90678" y="92075"/>
                                </a:cubicBezTo>
                                <a:lnTo>
                                  <a:pt x="58039" y="36122"/>
                                </a:lnTo>
                                <a:lnTo>
                                  <a:pt x="58039" y="2688790"/>
                                </a:lnTo>
                                <a:lnTo>
                                  <a:pt x="90678" y="2632837"/>
                                </a:lnTo>
                                <a:cubicBezTo>
                                  <a:pt x="92456" y="2629789"/>
                                  <a:pt x="96266" y="2628773"/>
                                  <a:pt x="99314" y="2630551"/>
                                </a:cubicBezTo>
                                <a:cubicBezTo>
                                  <a:pt x="102362" y="2632329"/>
                                  <a:pt x="103378" y="2636266"/>
                                  <a:pt x="101600" y="2639314"/>
                                </a:cubicBezTo>
                                <a:lnTo>
                                  <a:pt x="51689" y="2724912"/>
                                </a:lnTo>
                                <a:lnTo>
                                  <a:pt x="1778" y="2639314"/>
                                </a:lnTo>
                                <a:cubicBezTo>
                                  <a:pt x="0" y="2636266"/>
                                  <a:pt x="1016" y="2632329"/>
                                  <a:pt x="4064" y="2630551"/>
                                </a:cubicBezTo>
                                <a:cubicBezTo>
                                  <a:pt x="7112" y="2628773"/>
                                  <a:pt x="10922" y="2629789"/>
                                  <a:pt x="12700" y="2632837"/>
                                </a:cubicBezTo>
                                <a:lnTo>
                                  <a:pt x="45339" y="2688790"/>
                                </a:lnTo>
                                <a:lnTo>
                                  <a:pt x="45339" y="36122"/>
                                </a:lnTo>
                                <a:lnTo>
                                  <a:pt x="12700" y="92075"/>
                                </a:lnTo>
                                <a:cubicBezTo>
                                  <a:pt x="10922" y="94996"/>
                                  <a:pt x="7112" y="96139"/>
                                  <a:pt x="4064" y="94361"/>
                                </a:cubicBezTo>
                                <a:cubicBezTo>
                                  <a:pt x="1016" y="92583"/>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30" name="Shape 55830"/>
                        <wps:cNvSpPr/>
                        <wps:spPr>
                          <a:xfrm>
                            <a:off x="4648200" y="815340"/>
                            <a:ext cx="512064" cy="201168"/>
                          </a:xfrm>
                          <a:custGeom>
                            <a:avLst/>
                            <a:gdLst/>
                            <a:ahLst/>
                            <a:cxnLst/>
                            <a:rect l="0" t="0" r="0" b="0"/>
                            <a:pathLst>
                              <a:path w="512064" h="201168">
                                <a:moveTo>
                                  <a:pt x="0" y="201168"/>
                                </a:moveTo>
                                <a:lnTo>
                                  <a:pt x="512064" y="201168"/>
                                </a:lnTo>
                                <a:lnTo>
                                  <a:pt x="51206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5831" name="Rectangle 55831"/>
                        <wps:cNvSpPr/>
                        <wps:spPr>
                          <a:xfrm>
                            <a:off x="4764913" y="868253"/>
                            <a:ext cx="128178" cy="150334"/>
                          </a:xfrm>
                          <a:prstGeom prst="rect">
                            <a:avLst/>
                          </a:prstGeom>
                          <a:ln>
                            <a:noFill/>
                          </a:ln>
                        </wps:spPr>
                        <wps:txbx>
                          <w:txbxContent>
                            <w:p w:rsidR="00FF384B" w:rsidRDefault="003E3BA9">
                              <w:r>
                                <w:rPr>
                                  <w:rFonts w:ascii="Times New Roman" w:eastAsia="Times New Roman" w:hAnsi="Times New Roman" w:cs="Times New Roman"/>
                                  <w:b/>
                                  <w:sz w:val="16"/>
                                </w:rPr>
                                <w:t>M</w:t>
                              </w:r>
                            </w:p>
                          </w:txbxContent>
                        </wps:txbx>
                        <wps:bodyPr horzOverflow="overflow" vert="horz" lIns="0" tIns="0" rIns="0" bIns="0" rtlCol="0">
                          <a:noAutofit/>
                        </wps:bodyPr>
                      </wps:wsp>
                      <wps:wsp>
                        <wps:cNvPr id="55832" name="Rectangle 55832"/>
                        <wps:cNvSpPr/>
                        <wps:spPr>
                          <a:xfrm>
                            <a:off x="4860925" y="868253"/>
                            <a:ext cx="45224" cy="150334"/>
                          </a:xfrm>
                          <a:prstGeom prst="rect">
                            <a:avLst/>
                          </a:prstGeom>
                          <a:ln>
                            <a:noFill/>
                          </a:ln>
                        </wps:spPr>
                        <wps:txbx>
                          <w:txbxContent>
                            <w:p w:rsidR="00FF384B" w:rsidRDefault="003E3BA9">
                              <w:r>
                                <w:rPr>
                                  <w:rFonts w:ascii="Times New Roman" w:eastAsia="Times New Roman" w:hAnsi="Times New Roman" w:cs="Times New Roman"/>
                                  <w:b/>
                                  <w:sz w:val="16"/>
                                </w:rPr>
                                <w:t>-</w:t>
                              </w:r>
                            </w:p>
                          </w:txbxContent>
                        </wps:txbx>
                        <wps:bodyPr horzOverflow="overflow" vert="horz" lIns="0" tIns="0" rIns="0" bIns="0" rtlCol="0">
                          <a:noAutofit/>
                        </wps:bodyPr>
                      </wps:wsp>
                      <wps:wsp>
                        <wps:cNvPr id="55833" name="Rectangle 55833"/>
                        <wps:cNvSpPr/>
                        <wps:spPr>
                          <a:xfrm>
                            <a:off x="4894453" y="868253"/>
                            <a:ext cx="203569" cy="150334"/>
                          </a:xfrm>
                          <a:prstGeom prst="rect">
                            <a:avLst/>
                          </a:prstGeom>
                          <a:ln>
                            <a:noFill/>
                          </a:ln>
                        </wps:spPr>
                        <wps:txbx>
                          <w:txbxContent>
                            <w:p w:rsidR="00FF384B" w:rsidRDefault="003E3BA9">
                              <w:r>
                                <w:rPr>
                                  <w:rFonts w:ascii="Times New Roman" w:eastAsia="Times New Roman" w:hAnsi="Times New Roman" w:cs="Times New Roman"/>
                                  <w:b/>
                                  <w:sz w:val="16"/>
                                </w:rPr>
                                <w:t>250</w:t>
                              </w:r>
                            </w:p>
                          </w:txbxContent>
                        </wps:txbx>
                        <wps:bodyPr horzOverflow="overflow" vert="horz" lIns="0" tIns="0" rIns="0" bIns="0" rtlCol="0">
                          <a:noAutofit/>
                        </wps:bodyPr>
                      </wps:wsp>
                      <wps:wsp>
                        <wps:cNvPr id="55834" name="Rectangle 55834"/>
                        <wps:cNvSpPr/>
                        <wps:spPr>
                          <a:xfrm>
                            <a:off x="5046853" y="868253"/>
                            <a:ext cx="33951" cy="150334"/>
                          </a:xfrm>
                          <a:prstGeom prst="rect">
                            <a:avLst/>
                          </a:prstGeom>
                          <a:ln>
                            <a:noFill/>
                          </a:ln>
                        </wps:spPr>
                        <wps:txbx>
                          <w:txbxContent>
                            <w:p w:rsidR="00FF384B" w:rsidRDefault="003E3BA9">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5836" name="Shape 55836"/>
                        <wps:cNvSpPr/>
                        <wps:spPr>
                          <a:xfrm>
                            <a:off x="4634484" y="3348228"/>
                            <a:ext cx="510540" cy="201168"/>
                          </a:xfrm>
                          <a:custGeom>
                            <a:avLst/>
                            <a:gdLst/>
                            <a:ahLst/>
                            <a:cxnLst/>
                            <a:rect l="0" t="0" r="0" b="0"/>
                            <a:pathLst>
                              <a:path w="510540" h="201168">
                                <a:moveTo>
                                  <a:pt x="0" y="201168"/>
                                </a:moveTo>
                                <a:lnTo>
                                  <a:pt x="510540" y="201168"/>
                                </a:lnTo>
                                <a:lnTo>
                                  <a:pt x="51054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5837" name="Rectangle 55837"/>
                        <wps:cNvSpPr/>
                        <wps:spPr>
                          <a:xfrm>
                            <a:off x="4749673" y="3402919"/>
                            <a:ext cx="128178" cy="150334"/>
                          </a:xfrm>
                          <a:prstGeom prst="rect">
                            <a:avLst/>
                          </a:prstGeom>
                          <a:ln>
                            <a:noFill/>
                          </a:ln>
                        </wps:spPr>
                        <wps:txbx>
                          <w:txbxContent>
                            <w:p w:rsidR="00FF384B" w:rsidRDefault="003E3BA9">
                              <w:r>
                                <w:rPr>
                                  <w:rFonts w:ascii="Times New Roman" w:eastAsia="Times New Roman" w:hAnsi="Times New Roman" w:cs="Times New Roman"/>
                                  <w:b/>
                                  <w:sz w:val="16"/>
                                </w:rPr>
                                <w:t>M</w:t>
                              </w:r>
                            </w:p>
                          </w:txbxContent>
                        </wps:txbx>
                        <wps:bodyPr horzOverflow="overflow" vert="horz" lIns="0" tIns="0" rIns="0" bIns="0" rtlCol="0">
                          <a:noAutofit/>
                        </wps:bodyPr>
                      </wps:wsp>
                      <wps:wsp>
                        <wps:cNvPr id="55838" name="Rectangle 55838"/>
                        <wps:cNvSpPr/>
                        <wps:spPr>
                          <a:xfrm>
                            <a:off x="4845685" y="3402919"/>
                            <a:ext cx="45223" cy="150334"/>
                          </a:xfrm>
                          <a:prstGeom prst="rect">
                            <a:avLst/>
                          </a:prstGeom>
                          <a:ln>
                            <a:noFill/>
                          </a:ln>
                        </wps:spPr>
                        <wps:txbx>
                          <w:txbxContent>
                            <w:p w:rsidR="00FF384B" w:rsidRDefault="003E3BA9">
                              <w:r>
                                <w:rPr>
                                  <w:rFonts w:ascii="Times New Roman" w:eastAsia="Times New Roman" w:hAnsi="Times New Roman" w:cs="Times New Roman"/>
                                  <w:b/>
                                  <w:sz w:val="16"/>
                                </w:rPr>
                                <w:t>-</w:t>
                              </w:r>
                            </w:p>
                          </w:txbxContent>
                        </wps:txbx>
                        <wps:bodyPr horzOverflow="overflow" vert="horz" lIns="0" tIns="0" rIns="0" bIns="0" rtlCol="0">
                          <a:noAutofit/>
                        </wps:bodyPr>
                      </wps:wsp>
                      <wps:wsp>
                        <wps:cNvPr id="55839" name="Rectangle 55839"/>
                        <wps:cNvSpPr/>
                        <wps:spPr>
                          <a:xfrm>
                            <a:off x="4879213" y="3402919"/>
                            <a:ext cx="203569" cy="150334"/>
                          </a:xfrm>
                          <a:prstGeom prst="rect">
                            <a:avLst/>
                          </a:prstGeom>
                          <a:ln>
                            <a:noFill/>
                          </a:ln>
                        </wps:spPr>
                        <wps:txbx>
                          <w:txbxContent>
                            <w:p w:rsidR="00FF384B" w:rsidRDefault="003E3BA9">
                              <w:r>
                                <w:rPr>
                                  <w:rFonts w:ascii="Times New Roman" w:eastAsia="Times New Roman" w:hAnsi="Times New Roman" w:cs="Times New Roman"/>
                                  <w:b/>
                                  <w:sz w:val="16"/>
                                </w:rPr>
                                <w:t>233</w:t>
                              </w:r>
                            </w:p>
                          </w:txbxContent>
                        </wps:txbx>
                        <wps:bodyPr horzOverflow="overflow" vert="horz" lIns="0" tIns="0" rIns="0" bIns="0" rtlCol="0">
                          <a:noAutofit/>
                        </wps:bodyPr>
                      </wps:wsp>
                      <wps:wsp>
                        <wps:cNvPr id="55840" name="Rectangle 55840"/>
                        <wps:cNvSpPr/>
                        <wps:spPr>
                          <a:xfrm>
                            <a:off x="5031613" y="3402919"/>
                            <a:ext cx="33951" cy="150334"/>
                          </a:xfrm>
                          <a:prstGeom prst="rect">
                            <a:avLst/>
                          </a:prstGeom>
                          <a:ln>
                            <a:noFill/>
                          </a:ln>
                        </wps:spPr>
                        <wps:txbx>
                          <w:txbxContent>
                            <w:p w:rsidR="00FF384B" w:rsidRDefault="003E3BA9">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5841" name="Shape 55841"/>
                        <wps:cNvSpPr/>
                        <wps:spPr>
                          <a:xfrm>
                            <a:off x="3852672" y="832104"/>
                            <a:ext cx="695325" cy="6985"/>
                          </a:xfrm>
                          <a:custGeom>
                            <a:avLst/>
                            <a:gdLst/>
                            <a:ahLst/>
                            <a:cxnLst/>
                            <a:rect l="0" t="0" r="0" b="0"/>
                            <a:pathLst>
                              <a:path w="695325" h="6985">
                                <a:moveTo>
                                  <a:pt x="695325" y="0"/>
                                </a:moveTo>
                                <a:lnTo>
                                  <a:pt x="0" y="698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842" name="Shape 55842"/>
                        <wps:cNvSpPr/>
                        <wps:spPr>
                          <a:xfrm>
                            <a:off x="3806952" y="3528060"/>
                            <a:ext cx="695325" cy="6985"/>
                          </a:xfrm>
                          <a:custGeom>
                            <a:avLst/>
                            <a:gdLst/>
                            <a:ahLst/>
                            <a:cxnLst/>
                            <a:rect l="0" t="0" r="0" b="0"/>
                            <a:pathLst>
                              <a:path w="695325" h="6985">
                                <a:moveTo>
                                  <a:pt x="695325" y="0"/>
                                </a:moveTo>
                                <a:lnTo>
                                  <a:pt x="0" y="698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048" style="width:421.51pt;height:281.542pt;position:absolute;mso-position-horizontal-relative:text;mso-position-horizontal:absolute;margin-left:21.36pt;mso-position-vertical-relative:text;margin-top:-279.211pt;" coordsize="53531,35755">
                <v:rect id="Rectangle 55814" style="position:absolute;width:506;height:2243;left:53150;top:340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5826" style="position:absolute;width:53096;height:35356;left:0;top:0;" filled="f">
                  <v:imagedata r:id="rId150"/>
                </v:shape>
                <v:shape id="Shape 55828" style="position:absolute;width:1033;height:27249;left:45200;top:8326;" coordsize="103378,2724912" path="m51689,0l101600,85598c103378,88646,102362,92583,99314,94361c96266,96139,92456,94996,90678,92075l58039,36122l58039,2688790l90678,2632837c92456,2629789,96266,2628773,99314,2630551c102362,2632329,103378,2636266,101600,2639314l51689,2724912l1778,2639314c0,2636266,1016,2632329,4064,2630551c7112,2628773,10922,2629789,12700,2632837l45339,2688790l45339,36122l12700,92075c10922,94996,7112,96139,4064,94361c1016,92583,0,88646,1778,85598l51689,0x">
                  <v:stroke weight="0pt" endcap="flat" joinstyle="miter" miterlimit="10" on="false" color="#000000" opacity="0"/>
                  <v:fill on="true" color="#000000"/>
                </v:shape>
                <v:shape id="Shape 55830" style="position:absolute;width:5120;height:2011;left:46482;top:8153;" coordsize="512064,201168" path="m0,201168l512064,201168l512064,0l0,0x">
                  <v:stroke weight="0.72pt" endcap="flat" joinstyle="miter" miterlimit="10" on="true" color="#000000"/>
                  <v:fill on="false" color="#000000" opacity="0"/>
                </v:shape>
                <v:rect id="Rectangle 55831" style="position:absolute;width:1281;height:1503;left:47649;top:8682;" filled="f" stroked="f">
                  <v:textbox inset="0,0,0,0">
                    <w:txbxContent>
                      <w:p>
                        <w:pPr>
                          <w:spacing w:before="0" w:after="160" w:line="259" w:lineRule="auto"/>
                        </w:pPr>
                        <w:r>
                          <w:rPr>
                            <w:rFonts w:cs="Times New Roman" w:hAnsi="Times New Roman" w:eastAsia="Times New Roman" w:ascii="Times New Roman"/>
                            <w:b w:val="1"/>
                            <w:sz w:val="16"/>
                          </w:rPr>
                          <w:t xml:space="preserve">M</w:t>
                        </w:r>
                      </w:p>
                    </w:txbxContent>
                  </v:textbox>
                </v:rect>
                <v:rect id="Rectangle 55832" style="position:absolute;width:452;height:1503;left:48609;top:8682;" filled="f" stroked="f">
                  <v:textbox inset="0,0,0,0">
                    <w:txbxContent>
                      <w:p>
                        <w:pPr>
                          <w:spacing w:before="0" w:after="160" w:line="259" w:lineRule="auto"/>
                        </w:pPr>
                        <w:r>
                          <w:rPr>
                            <w:rFonts w:cs="Times New Roman" w:hAnsi="Times New Roman" w:eastAsia="Times New Roman" w:ascii="Times New Roman"/>
                            <w:b w:val="1"/>
                            <w:sz w:val="16"/>
                          </w:rPr>
                          <w:t xml:space="preserve">-</w:t>
                        </w:r>
                      </w:p>
                    </w:txbxContent>
                  </v:textbox>
                </v:rect>
                <v:rect id="Rectangle 55833" style="position:absolute;width:2035;height:1503;left:48944;top:8682;" filled="f" stroked="f">
                  <v:textbox inset="0,0,0,0">
                    <w:txbxContent>
                      <w:p>
                        <w:pPr>
                          <w:spacing w:before="0" w:after="160" w:line="259" w:lineRule="auto"/>
                        </w:pPr>
                        <w:r>
                          <w:rPr>
                            <w:rFonts w:cs="Times New Roman" w:hAnsi="Times New Roman" w:eastAsia="Times New Roman" w:ascii="Times New Roman"/>
                            <w:b w:val="1"/>
                            <w:sz w:val="16"/>
                          </w:rPr>
                          <w:t xml:space="preserve">250</w:t>
                        </w:r>
                      </w:p>
                    </w:txbxContent>
                  </v:textbox>
                </v:rect>
                <v:rect id="Rectangle 55834" style="position:absolute;width:339;height:1503;left:50468;top:8682;"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Shape 55836" style="position:absolute;width:5105;height:2011;left:46344;top:33482;" coordsize="510540,201168" path="m0,201168l510540,201168l510540,0l0,0x">
                  <v:stroke weight="0.72pt" endcap="flat" joinstyle="miter" miterlimit="10" on="true" color="#000000"/>
                  <v:fill on="false" color="#000000" opacity="0"/>
                </v:shape>
                <v:rect id="Rectangle 55837" style="position:absolute;width:1281;height:1503;left:47496;top:34029;" filled="f" stroked="f">
                  <v:textbox inset="0,0,0,0">
                    <w:txbxContent>
                      <w:p>
                        <w:pPr>
                          <w:spacing w:before="0" w:after="160" w:line="259" w:lineRule="auto"/>
                        </w:pPr>
                        <w:r>
                          <w:rPr>
                            <w:rFonts w:cs="Times New Roman" w:hAnsi="Times New Roman" w:eastAsia="Times New Roman" w:ascii="Times New Roman"/>
                            <w:b w:val="1"/>
                            <w:sz w:val="16"/>
                          </w:rPr>
                          <w:t xml:space="preserve">M</w:t>
                        </w:r>
                      </w:p>
                    </w:txbxContent>
                  </v:textbox>
                </v:rect>
                <v:rect id="Rectangle 55838" style="position:absolute;width:452;height:1503;left:48456;top:34029;" filled="f" stroked="f">
                  <v:textbox inset="0,0,0,0">
                    <w:txbxContent>
                      <w:p>
                        <w:pPr>
                          <w:spacing w:before="0" w:after="160" w:line="259" w:lineRule="auto"/>
                        </w:pPr>
                        <w:r>
                          <w:rPr>
                            <w:rFonts w:cs="Times New Roman" w:hAnsi="Times New Roman" w:eastAsia="Times New Roman" w:ascii="Times New Roman"/>
                            <w:b w:val="1"/>
                            <w:sz w:val="16"/>
                          </w:rPr>
                          <w:t xml:space="preserve">-</w:t>
                        </w:r>
                      </w:p>
                    </w:txbxContent>
                  </v:textbox>
                </v:rect>
                <v:rect id="Rectangle 55839" style="position:absolute;width:2035;height:1503;left:48792;top:34029;" filled="f" stroked="f">
                  <v:textbox inset="0,0,0,0">
                    <w:txbxContent>
                      <w:p>
                        <w:pPr>
                          <w:spacing w:before="0" w:after="160" w:line="259" w:lineRule="auto"/>
                        </w:pPr>
                        <w:r>
                          <w:rPr>
                            <w:rFonts w:cs="Times New Roman" w:hAnsi="Times New Roman" w:eastAsia="Times New Roman" w:ascii="Times New Roman"/>
                            <w:b w:val="1"/>
                            <w:sz w:val="16"/>
                          </w:rPr>
                          <w:t xml:space="preserve">233</w:t>
                        </w:r>
                      </w:p>
                    </w:txbxContent>
                  </v:textbox>
                </v:rect>
                <v:rect id="Rectangle 55840" style="position:absolute;width:339;height:1503;left:50316;top:34029;"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Shape 55841" style="position:absolute;width:6953;height:69;left:38526;top:8321;" coordsize="695325,6985" path="m695325,0l0,6985">
                  <v:stroke weight="0.72pt" endcap="flat" joinstyle="round" on="true" color="#000000"/>
                  <v:fill on="false" color="#000000" opacity="0"/>
                </v:shape>
                <v:shape id="Shape 55842" style="position:absolute;width:6953;height:69;left:38069;top:35280;" coordsize="695325,6985" path="m695325,0l0,6985">
                  <v:stroke weight="0.72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981824" behindDoc="0" locked="0" layoutInCell="1" allowOverlap="1">
                <wp:simplePos x="0" y="0"/>
                <wp:positionH relativeFrom="column">
                  <wp:posOffset>6952743</wp:posOffset>
                </wp:positionH>
                <wp:positionV relativeFrom="paragraph">
                  <wp:posOffset>-2151011</wp:posOffset>
                </wp:positionV>
                <wp:extent cx="524148" cy="3797300"/>
                <wp:effectExtent l="0" t="0" r="0" b="0"/>
                <wp:wrapSquare wrapText="bothSides"/>
                <wp:docPr id="509049" name="Group 50904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844" name="Picture 55844"/>
                          <pic:cNvPicPr/>
                        </pic:nvPicPr>
                        <pic:blipFill>
                          <a:blip r:embed="rId62"/>
                          <a:stretch>
                            <a:fillRect/>
                          </a:stretch>
                        </pic:blipFill>
                        <pic:spPr>
                          <a:xfrm rot="-5399999">
                            <a:off x="-1720849" y="1720850"/>
                            <a:ext cx="3797299" cy="355600"/>
                          </a:xfrm>
                          <a:prstGeom prst="rect">
                            <a:avLst/>
                          </a:prstGeom>
                        </pic:spPr>
                      </pic:pic>
                      <wps:wsp>
                        <wps:cNvPr id="55845" name="Rectangle 5584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846" name="Rectangle 5584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9049" style="width:41.2715pt;height:299pt;position:absolute;mso-position-horizontal-relative:text;mso-position-horizontal:absolute;margin-left:547.46pt;mso-position-vertical-relative:text;margin-top:-169.371pt;" coordsize="5241,37973">
                <v:shape id="Picture 55844" style="position:absolute;width:37972;height:3556;left:-17208;top:17208;rotation:-89;" filled="f">
                  <v:imagedata r:id="rId63"/>
                </v:shape>
                <v:rect id="Rectangle 5584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84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317 de 353 </w:t>
                        </w:r>
                      </w:p>
                    </w:txbxContent>
                  </v:textbox>
                </v:rect>
                <w10:wrap type="square"/>
              </v:group>
            </w:pict>
          </mc:Fallback>
        </mc:AlternateContent>
      </w:r>
      <w:r>
        <w:rPr>
          <w:rFonts w:ascii="Times New Roman" w:eastAsia="Times New Roman" w:hAnsi="Times New Roman" w:cs="Times New Roman"/>
          <w:i/>
          <w:sz w:val="18"/>
        </w:rPr>
        <w:t xml:space="preserve">Plano 01: Clasificación y Categorización del Territorio </w:t>
      </w:r>
    </w:p>
    <w:p w:rsidR="00FF384B" w:rsidRDefault="003E3BA9">
      <w:pPr>
        <w:spacing w:after="0"/>
        <w:ind w:left="427" w:right="3161"/>
      </w:pPr>
      <w:r>
        <w:rPr>
          <w:rFonts w:ascii="Times New Roman" w:eastAsia="Times New Roman" w:hAnsi="Times New Roman" w:cs="Times New Roman"/>
          <w:sz w:val="24"/>
        </w:rPr>
        <w:t xml:space="preserve"> </w:t>
      </w:r>
    </w:p>
    <w:p w:rsidR="00FF384B" w:rsidRDefault="003E3BA9">
      <w:pPr>
        <w:spacing w:after="5" w:line="247" w:lineRule="auto"/>
        <w:ind w:left="437" w:hanging="10"/>
        <w:jc w:val="both"/>
      </w:pPr>
      <w:r>
        <w:rPr>
          <w:rFonts w:ascii="Arial" w:eastAsia="Arial" w:hAnsi="Arial" w:cs="Arial"/>
        </w:rPr>
        <w:t xml:space="preserve"> Se adjunta la Normativa Estructural relativa a la tipología de Suelo Rústico de Protección Costera SR</w:t>
      </w:r>
      <w:r>
        <w:rPr>
          <w:rFonts w:ascii="Arial" w:eastAsia="Arial" w:hAnsi="Arial" w:cs="Arial"/>
        </w:rPr>
        <w:t xml:space="preserve">PL recogida en el Plan General de Ordenación de Candelaria.  </w:t>
      </w:r>
    </w:p>
    <w:p w:rsidR="00FF384B" w:rsidRDefault="003E3BA9">
      <w:pPr>
        <w:spacing w:after="0"/>
        <w:ind w:left="479" w:right="3161"/>
        <w:jc w:val="center"/>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Art. 3.3.3. Régimen del Suelo Rústico de Protección Costera SRPL. Usos. </w:t>
      </w:r>
    </w:p>
    <w:p w:rsidR="00FF384B" w:rsidRDefault="003E3BA9">
      <w:pPr>
        <w:numPr>
          <w:ilvl w:val="0"/>
          <w:numId w:val="332"/>
        </w:numPr>
        <w:spacing w:after="5" w:line="247" w:lineRule="auto"/>
        <w:ind w:right="122" w:hanging="259"/>
        <w:jc w:val="both"/>
      </w:pPr>
      <w:r>
        <w:rPr>
          <w:rFonts w:ascii="Arial" w:eastAsia="Arial" w:hAnsi="Arial" w:cs="Arial"/>
          <w:b/>
        </w:rPr>
        <w:t>Uso Principal</w:t>
      </w:r>
      <w:r>
        <w:rPr>
          <w:rFonts w:ascii="Arial" w:eastAsia="Arial" w:hAnsi="Arial" w:cs="Arial"/>
        </w:rPr>
        <w:t>: Conservación Activa.</w:t>
      </w:r>
      <w:r>
        <w:rPr>
          <w:rFonts w:ascii="Times New Roman" w:eastAsia="Times New Roman" w:hAnsi="Times New Roman" w:cs="Times New Roman"/>
          <w:sz w:val="24"/>
        </w:rPr>
        <w:t xml:space="preserve"> </w:t>
      </w:r>
    </w:p>
    <w:p w:rsidR="00FF384B" w:rsidRDefault="003E3BA9">
      <w:pPr>
        <w:numPr>
          <w:ilvl w:val="0"/>
          <w:numId w:val="332"/>
        </w:numPr>
        <w:spacing w:after="15" w:line="247" w:lineRule="auto"/>
        <w:ind w:right="122" w:hanging="259"/>
        <w:jc w:val="both"/>
      </w:pPr>
      <w:r>
        <w:rPr>
          <w:rFonts w:ascii="Arial" w:eastAsia="Arial" w:hAnsi="Arial" w:cs="Arial"/>
          <w:b/>
        </w:rPr>
        <w:t xml:space="preserve">Usos Permitidos: </w:t>
      </w:r>
    </w:p>
    <w:p w:rsidR="00FF384B" w:rsidRDefault="003E3BA9">
      <w:pPr>
        <w:numPr>
          <w:ilvl w:val="1"/>
          <w:numId w:val="332"/>
        </w:numPr>
        <w:spacing w:after="15" w:line="247" w:lineRule="auto"/>
        <w:ind w:left="1405" w:right="1580" w:hanging="269"/>
        <w:jc w:val="both"/>
      </w:pPr>
      <w:r>
        <w:rPr>
          <w:rFonts w:ascii="Arial" w:eastAsia="Arial" w:hAnsi="Arial" w:cs="Arial"/>
          <w:b/>
        </w:rPr>
        <w:t xml:space="preserve">Usos Rústicos: </w:t>
      </w:r>
    </w:p>
    <w:p w:rsidR="00FF384B" w:rsidRDefault="003E3BA9">
      <w:pPr>
        <w:numPr>
          <w:ilvl w:val="2"/>
          <w:numId w:val="332"/>
        </w:numPr>
        <w:spacing w:after="15" w:line="247" w:lineRule="auto"/>
        <w:ind w:hanging="247"/>
        <w:jc w:val="both"/>
      </w:pPr>
      <w:r>
        <w:rPr>
          <w:rFonts w:ascii="Arial" w:eastAsia="Arial" w:hAnsi="Arial" w:cs="Arial"/>
          <w:b/>
        </w:rPr>
        <w:t>Usos Ambientales</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Conservación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Gestión, vigilancia y seguimiento</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Información e interpretación de la naturaleza</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Prevención y corrección de impactos negativos</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Conservación activa</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Restauración de la cubierta vegetal</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Investigación sobre los recursos naturales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Investigación sin alteraciones significativas</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Educación ambiental </w:t>
      </w:r>
    </w:p>
    <w:p w:rsidR="00FF384B" w:rsidRDefault="003E3BA9">
      <w:pPr>
        <w:spacing w:after="5" w:line="247" w:lineRule="auto"/>
        <w:ind w:left="3274" w:right="3161" w:hanging="10"/>
        <w:jc w:val="both"/>
      </w:pPr>
      <w:r>
        <w:rPr>
          <w:rFonts w:ascii="Arial" w:eastAsia="Arial" w:hAnsi="Arial" w:cs="Arial"/>
          <w:b/>
        </w:rPr>
        <w:t>·</w:t>
      </w:r>
      <w:r>
        <w:rPr>
          <w:rFonts w:ascii="Arial" w:eastAsia="Arial" w:hAnsi="Arial" w:cs="Arial"/>
        </w:rPr>
        <w:t xml:space="preserve"> Educación ambiental itinerante y/o temporales</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Esparcimiento en la naturaleza (en espacios no adaptados) </w:t>
      </w:r>
    </w:p>
    <w:p w:rsidR="00FF384B" w:rsidRDefault="003E3BA9">
      <w:pPr>
        <w:spacing w:after="5" w:line="247" w:lineRule="auto"/>
        <w:ind w:left="3274" w:right="3161" w:hanging="10"/>
        <w:jc w:val="both"/>
      </w:pPr>
      <w:r>
        <w:rPr>
          <w:rFonts w:ascii="Arial" w:eastAsia="Arial" w:hAnsi="Arial" w:cs="Arial"/>
          <w:b/>
        </w:rPr>
        <w:t>·</w:t>
      </w:r>
      <w:r>
        <w:rPr>
          <w:rFonts w:ascii="Arial" w:eastAsia="Arial" w:hAnsi="Arial" w:cs="Arial"/>
        </w:rPr>
        <w:t xml:space="preserve"> Esparcimiento elemental</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w:t>
      </w:r>
      <w:r>
        <w:rPr>
          <w:rFonts w:ascii="Arial" w:eastAsia="Arial" w:hAnsi="Arial" w:cs="Arial"/>
        </w:rPr>
        <w:t>Esparcimiento con equipo ligero</w:t>
      </w:r>
      <w:r>
        <w:rPr>
          <w:rFonts w:ascii="Times New Roman" w:eastAsia="Times New Roman" w:hAnsi="Times New Roman" w:cs="Times New Roman"/>
          <w:sz w:val="24"/>
        </w:rPr>
        <w:t xml:space="preserve"> </w:t>
      </w:r>
    </w:p>
    <w:p w:rsidR="00FF384B" w:rsidRDefault="003E3BA9">
      <w:pPr>
        <w:spacing w:after="0"/>
        <w:ind w:left="1846" w:right="3161"/>
      </w:pPr>
      <w:r>
        <w:rPr>
          <w:rFonts w:ascii="Arial" w:eastAsia="Arial" w:hAnsi="Arial" w:cs="Arial"/>
        </w:rPr>
        <w:t xml:space="preserve"> </w:t>
      </w:r>
    </w:p>
    <w:p w:rsidR="00FF384B" w:rsidRDefault="003E3BA9">
      <w:pPr>
        <w:spacing w:after="0"/>
        <w:ind w:left="1846" w:right="3161"/>
      </w:pPr>
      <w:r>
        <w:rPr>
          <w:rFonts w:ascii="Arial" w:eastAsia="Arial" w:hAnsi="Arial" w:cs="Arial"/>
        </w:rPr>
        <w:t xml:space="preserve"> </w:t>
      </w:r>
    </w:p>
    <w:p w:rsidR="00FF384B" w:rsidRDefault="003E3BA9">
      <w:pPr>
        <w:spacing w:after="0"/>
        <w:ind w:left="1846" w:right="3161"/>
      </w:pPr>
      <w:r>
        <w:rPr>
          <w:rFonts w:ascii="Arial" w:eastAsia="Arial" w:hAnsi="Arial" w:cs="Arial"/>
        </w:rPr>
        <w:t xml:space="preserve"> </w:t>
      </w:r>
    </w:p>
    <w:p w:rsidR="00FF384B" w:rsidRDefault="003E3BA9">
      <w:pPr>
        <w:numPr>
          <w:ilvl w:val="2"/>
          <w:numId w:val="332"/>
        </w:numPr>
        <w:spacing w:after="5" w:line="247" w:lineRule="auto"/>
        <w:ind w:hanging="247"/>
        <w:jc w:val="both"/>
      </w:pPr>
      <w:r>
        <w:rPr>
          <w:noProof/>
        </w:rPr>
        <mc:AlternateContent>
          <mc:Choice Requires="wpg">
            <w:drawing>
              <wp:anchor distT="0" distB="0" distL="114300" distR="114300" simplePos="0" relativeHeight="251982848" behindDoc="0" locked="0" layoutInCell="1" allowOverlap="1">
                <wp:simplePos x="0" y="0"/>
                <wp:positionH relativeFrom="column">
                  <wp:posOffset>6952743</wp:posOffset>
                </wp:positionH>
                <wp:positionV relativeFrom="paragraph">
                  <wp:posOffset>-1309059</wp:posOffset>
                </wp:positionV>
                <wp:extent cx="524148" cy="3797300"/>
                <wp:effectExtent l="0" t="0" r="0" b="0"/>
                <wp:wrapSquare wrapText="bothSides"/>
                <wp:docPr id="509265" name="Group 50926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5952" name="Picture 55952"/>
                          <pic:cNvPicPr/>
                        </pic:nvPicPr>
                        <pic:blipFill>
                          <a:blip r:embed="rId62"/>
                          <a:stretch>
                            <a:fillRect/>
                          </a:stretch>
                        </pic:blipFill>
                        <pic:spPr>
                          <a:xfrm rot="-5399999">
                            <a:off x="-1720849" y="1720850"/>
                            <a:ext cx="3797299" cy="355600"/>
                          </a:xfrm>
                          <a:prstGeom prst="rect">
                            <a:avLst/>
                          </a:prstGeom>
                        </pic:spPr>
                      </pic:pic>
                      <wps:wsp>
                        <wps:cNvPr id="55953" name="Rectangle 5595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5954" name="Rectangle 5595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318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9265" style="width:41.2715pt;height:299pt;position:absolute;mso-position-horizontal-relative:text;mso-position-horizontal:absolute;margin-left:547.46pt;mso-position-vertical-relative:text;margin-top:-103.076pt;" coordsize="5241,37973">
                <v:shape id="Picture 55952" style="position:absolute;width:37972;height:3556;left:-17208;top:17208;rotation:-89;" filled="f">
                  <v:imagedata r:id="rId63"/>
                </v:shape>
                <v:rect id="Rectangle 5595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595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318 de 353 </w:t>
                        </w:r>
                      </w:p>
                    </w:txbxContent>
                  </v:textbox>
                </v:rect>
                <w10:wrap type="square"/>
              </v:group>
            </w:pict>
          </mc:Fallback>
        </mc:AlternateContent>
      </w:r>
      <w:r>
        <w:rPr>
          <w:rFonts w:ascii="Arial" w:eastAsia="Arial" w:hAnsi="Arial" w:cs="Arial"/>
          <w:b/>
        </w:rPr>
        <w:t>Usos Pesqueros, Acuícolas y relacionados (</w:t>
      </w:r>
      <w:r>
        <w:rPr>
          <w:rFonts w:ascii="Arial" w:eastAsia="Arial" w:hAnsi="Arial" w:cs="Arial"/>
        </w:rPr>
        <w:t>De acuerdo con la r</w:t>
      </w:r>
      <w:r>
        <w:rPr>
          <w:rFonts w:ascii="Arial" w:eastAsia="Arial" w:hAnsi="Arial" w:cs="Arial"/>
        </w:rPr>
        <w:t>egulación del PTEORN Medio Marino y de los Planes Litorales).</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Recolección Litoral</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Pesca desde Embarcaciones</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Acuicultura Marina</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Acuicultura en Tierra</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 xml:space="preserve">· </w:t>
      </w:r>
      <w:r>
        <w:rPr>
          <w:rFonts w:ascii="Arial" w:eastAsia="Arial" w:hAnsi="Arial" w:cs="Arial"/>
        </w:rPr>
        <w:t>Servicios a la Pesca y Acuicultura</w:t>
      </w:r>
      <w:r>
        <w:rPr>
          <w:rFonts w:ascii="Times New Roman" w:eastAsia="Times New Roman" w:hAnsi="Times New Roman" w:cs="Times New Roman"/>
          <w:sz w:val="24"/>
        </w:rPr>
        <w:t xml:space="preserve"> </w:t>
      </w:r>
    </w:p>
    <w:p w:rsidR="00FF384B" w:rsidRDefault="003E3BA9">
      <w:pPr>
        <w:numPr>
          <w:ilvl w:val="1"/>
          <w:numId w:val="332"/>
        </w:numPr>
        <w:spacing w:after="15" w:line="247" w:lineRule="auto"/>
        <w:ind w:left="1405" w:right="1580" w:hanging="269"/>
        <w:jc w:val="both"/>
      </w:pPr>
      <w:r>
        <w:rPr>
          <w:rFonts w:ascii="Arial" w:eastAsia="Arial" w:hAnsi="Arial" w:cs="Arial"/>
          <w:b/>
        </w:rPr>
        <w:t xml:space="preserve">Infraestructuras </w:t>
      </w:r>
    </w:p>
    <w:p w:rsidR="00FF384B" w:rsidRDefault="003E3BA9">
      <w:pPr>
        <w:numPr>
          <w:ilvl w:val="2"/>
          <w:numId w:val="332"/>
        </w:numPr>
        <w:spacing w:after="15" w:line="247" w:lineRule="auto"/>
        <w:ind w:hanging="247"/>
        <w:jc w:val="both"/>
      </w:pPr>
      <w:r>
        <w:rPr>
          <w:rFonts w:ascii="Arial" w:eastAsia="Arial" w:hAnsi="Arial" w:cs="Arial"/>
          <w:b/>
        </w:rPr>
        <w:t>Infraestructuras Hidráulicas</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Infraestructuras de captación de agua (Sólo Existentes) </w:t>
      </w:r>
    </w:p>
    <w:p w:rsidR="00FF384B" w:rsidRDefault="003E3BA9">
      <w:pPr>
        <w:spacing w:after="5" w:line="247" w:lineRule="auto"/>
        <w:ind w:left="3274" w:right="3161" w:hanging="10"/>
        <w:jc w:val="both"/>
      </w:pPr>
      <w:r>
        <w:rPr>
          <w:rFonts w:ascii="Arial" w:eastAsia="Arial" w:hAnsi="Arial" w:cs="Arial"/>
          <w:b/>
        </w:rPr>
        <w:t>·</w:t>
      </w:r>
      <w:r>
        <w:rPr>
          <w:rFonts w:ascii="Arial" w:eastAsia="Arial" w:hAnsi="Arial" w:cs="Arial"/>
        </w:rPr>
        <w:t xml:space="preserve"> Infraestructuras de extracción de aguas subterráneas</w:t>
      </w:r>
      <w:r>
        <w:rPr>
          <w:rFonts w:ascii="Times New Roman" w:eastAsia="Times New Roman" w:hAnsi="Times New Roman" w:cs="Times New Roman"/>
          <w:sz w:val="24"/>
        </w:rPr>
        <w:t xml:space="preserve"> </w:t>
      </w:r>
    </w:p>
    <w:p w:rsidR="00FF384B" w:rsidRDefault="003E3BA9">
      <w:pPr>
        <w:spacing w:after="5" w:line="247" w:lineRule="auto"/>
        <w:ind w:left="3274" w:right="3161" w:hanging="10"/>
        <w:jc w:val="both"/>
      </w:pPr>
      <w:r>
        <w:rPr>
          <w:rFonts w:ascii="Arial" w:eastAsia="Arial" w:hAnsi="Arial" w:cs="Arial"/>
          <w:b/>
        </w:rPr>
        <w:t>·</w:t>
      </w:r>
      <w:r>
        <w:rPr>
          <w:rFonts w:ascii="Arial" w:eastAsia="Arial" w:hAnsi="Arial" w:cs="Arial"/>
        </w:rPr>
        <w:t xml:space="preserve"> Infraestructuras de aprovechamiento de aguas de escorrentías.</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Conducciones de Evacuación de Aguas </w:t>
      </w:r>
    </w:p>
    <w:p w:rsidR="00FF384B" w:rsidRDefault="003E3BA9">
      <w:pPr>
        <w:spacing w:after="5" w:line="247" w:lineRule="auto"/>
        <w:ind w:left="3274" w:right="6777" w:hanging="10"/>
        <w:jc w:val="both"/>
      </w:pPr>
      <w:r>
        <w:rPr>
          <w:rFonts w:ascii="Arial" w:eastAsia="Arial" w:hAnsi="Arial" w:cs="Arial"/>
          <w:b/>
        </w:rPr>
        <w:t xml:space="preserve">· </w:t>
      </w:r>
      <w:r>
        <w:rPr>
          <w:rFonts w:ascii="Arial" w:eastAsia="Arial" w:hAnsi="Arial" w:cs="Arial"/>
        </w:rPr>
        <w:t>Conducciones interiores de circulación de agua</w:t>
      </w:r>
      <w:r>
        <w:rPr>
          <w:rFonts w:ascii="Times New Roman" w:eastAsia="Times New Roman" w:hAnsi="Times New Roman" w:cs="Times New Roman"/>
          <w:sz w:val="24"/>
        </w:rPr>
        <w:t xml:space="preserve"> </w:t>
      </w:r>
      <w:r>
        <w:rPr>
          <w:rFonts w:ascii="Arial" w:eastAsia="Arial" w:hAnsi="Arial" w:cs="Arial"/>
          <w:b/>
        </w:rPr>
        <w:t xml:space="preserve">· </w:t>
      </w:r>
      <w:r>
        <w:rPr>
          <w:rFonts w:ascii="Arial" w:eastAsia="Arial" w:hAnsi="Arial" w:cs="Arial"/>
        </w:rPr>
        <w:t>Conducciones de alcantarillado.</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Colectores Generales.</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Emisario Submarino (Sólo Existentes)</w:t>
      </w:r>
      <w:r>
        <w:rPr>
          <w:rFonts w:ascii="Times New Roman" w:eastAsia="Times New Roman" w:hAnsi="Times New Roman" w:cs="Times New Roman"/>
          <w:sz w:val="24"/>
        </w:rPr>
        <w:t xml:space="preserve"> </w:t>
      </w:r>
    </w:p>
    <w:p w:rsidR="00FF384B" w:rsidRDefault="003E3BA9">
      <w:pPr>
        <w:numPr>
          <w:ilvl w:val="2"/>
          <w:numId w:val="332"/>
        </w:numPr>
        <w:spacing w:after="15" w:line="247" w:lineRule="auto"/>
        <w:ind w:hanging="247"/>
        <w:jc w:val="both"/>
      </w:pPr>
      <w:r>
        <w:rPr>
          <w:rFonts w:ascii="Arial" w:eastAsia="Arial" w:hAnsi="Arial" w:cs="Arial"/>
          <w:b/>
        </w:rPr>
        <w:t>Infraestructuras Lineales para la Movilidad</w:t>
      </w:r>
      <w:r>
        <w:rPr>
          <w:rFonts w:ascii="Times New Roman" w:eastAsia="Times New Roman" w:hAnsi="Times New Roman" w:cs="Times New Roman"/>
          <w:sz w:val="24"/>
        </w:rPr>
        <w:t xml:space="preserve"> </w:t>
      </w:r>
    </w:p>
    <w:p w:rsidR="00FF384B" w:rsidRDefault="003E3BA9">
      <w:pPr>
        <w:numPr>
          <w:ilvl w:val="3"/>
          <w:numId w:val="332"/>
        </w:numPr>
        <w:spacing w:after="5" w:line="247" w:lineRule="auto"/>
        <w:ind w:right="244" w:hanging="259"/>
        <w:jc w:val="both"/>
      </w:pPr>
      <w:r>
        <w:rPr>
          <w:rFonts w:ascii="Arial" w:eastAsia="Arial" w:hAnsi="Arial" w:cs="Arial"/>
        </w:rPr>
        <w:t xml:space="preserve">Viarios de uso restringido (Sólo Existentes) </w:t>
      </w:r>
    </w:p>
    <w:p w:rsidR="00FF384B" w:rsidRDefault="003E3BA9">
      <w:pPr>
        <w:numPr>
          <w:ilvl w:val="3"/>
          <w:numId w:val="332"/>
        </w:numPr>
        <w:spacing w:after="5" w:line="247" w:lineRule="auto"/>
        <w:ind w:right="244" w:hanging="259"/>
        <w:jc w:val="both"/>
      </w:pPr>
      <w:r>
        <w:rPr>
          <w:rFonts w:ascii="Arial" w:eastAsia="Arial" w:hAnsi="Arial" w:cs="Arial"/>
        </w:rPr>
        <w:t>Viarios vehiculare</w:t>
      </w:r>
      <w:r>
        <w:rPr>
          <w:rFonts w:ascii="Arial" w:eastAsia="Arial" w:hAnsi="Arial" w:cs="Arial"/>
        </w:rPr>
        <w:t xml:space="preserve">s (Sólo Existentes) </w:t>
      </w:r>
    </w:p>
    <w:p w:rsidR="00FF384B" w:rsidRDefault="003E3BA9">
      <w:pPr>
        <w:numPr>
          <w:ilvl w:val="2"/>
          <w:numId w:val="332"/>
        </w:numPr>
        <w:spacing w:after="15" w:line="247" w:lineRule="auto"/>
        <w:ind w:hanging="247"/>
        <w:jc w:val="both"/>
      </w:pPr>
      <w:r>
        <w:rPr>
          <w:rFonts w:ascii="Arial" w:eastAsia="Arial" w:hAnsi="Arial" w:cs="Arial"/>
          <w:b/>
        </w:rPr>
        <w:t>Infraestructuras Litorales (Según Legislación de Costas)</w:t>
      </w:r>
      <w:r>
        <w:rPr>
          <w:rFonts w:ascii="Times New Roman" w:eastAsia="Times New Roman" w:hAnsi="Times New Roman" w:cs="Times New Roman"/>
          <w:sz w:val="24"/>
        </w:rPr>
        <w:t xml:space="preserve"> </w:t>
      </w:r>
    </w:p>
    <w:p w:rsidR="00FF384B" w:rsidRDefault="003E3BA9">
      <w:pPr>
        <w:spacing w:after="5" w:line="247" w:lineRule="auto"/>
        <w:ind w:left="3274" w:right="244" w:hanging="10"/>
        <w:jc w:val="both"/>
      </w:pPr>
      <w:r>
        <w:rPr>
          <w:rFonts w:ascii="Arial" w:eastAsia="Arial" w:hAnsi="Arial" w:cs="Arial"/>
          <w:b/>
        </w:rPr>
        <w:t xml:space="preserve">· </w:t>
      </w:r>
      <w:r>
        <w:rPr>
          <w:rFonts w:ascii="Arial" w:eastAsia="Arial" w:hAnsi="Arial" w:cs="Arial"/>
        </w:rPr>
        <w:t>Acceso al mar</w:t>
      </w:r>
      <w:r>
        <w:rPr>
          <w:rFonts w:ascii="Times New Roman" w:eastAsia="Times New Roman" w:hAnsi="Times New Roman" w:cs="Times New Roman"/>
          <w:sz w:val="24"/>
        </w:rPr>
        <w:t xml:space="preserve"> </w:t>
      </w:r>
    </w:p>
    <w:p w:rsidR="00FF384B" w:rsidRDefault="003E3BA9">
      <w:pPr>
        <w:spacing w:after="1" w:line="239" w:lineRule="auto"/>
        <w:ind w:left="3274" w:right="9592" w:hanging="10"/>
      </w:pPr>
      <w:r>
        <w:rPr>
          <w:rFonts w:ascii="Arial" w:eastAsia="Arial" w:hAnsi="Arial" w:cs="Arial"/>
          <w:b/>
        </w:rPr>
        <w:t xml:space="preserve">· </w:t>
      </w:r>
      <w:r>
        <w:rPr>
          <w:rFonts w:ascii="Arial" w:eastAsia="Arial" w:hAnsi="Arial" w:cs="Arial"/>
        </w:rPr>
        <w:t>Mirador litoral</w:t>
      </w:r>
      <w:r>
        <w:rPr>
          <w:rFonts w:ascii="Times New Roman" w:eastAsia="Times New Roman" w:hAnsi="Times New Roman" w:cs="Times New Roman"/>
          <w:sz w:val="24"/>
        </w:rPr>
        <w:t xml:space="preserve"> </w:t>
      </w:r>
      <w:r>
        <w:rPr>
          <w:rFonts w:ascii="Arial" w:eastAsia="Arial" w:hAnsi="Arial" w:cs="Arial"/>
          <w:b/>
        </w:rPr>
        <w:t xml:space="preserve">· </w:t>
      </w:r>
      <w:r>
        <w:rPr>
          <w:rFonts w:ascii="Arial" w:eastAsia="Arial" w:hAnsi="Arial" w:cs="Arial"/>
        </w:rPr>
        <w:t>Senderos litorales</w:t>
      </w:r>
      <w:r>
        <w:rPr>
          <w:rFonts w:ascii="Times New Roman" w:eastAsia="Times New Roman" w:hAnsi="Times New Roman" w:cs="Times New Roman"/>
          <w:sz w:val="24"/>
        </w:rPr>
        <w:t xml:space="preserve"> </w:t>
      </w:r>
      <w:r>
        <w:rPr>
          <w:rFonts w:ascii="Arial" w:eastAsia="Arial" w:hAnsi="Arial" w:cs="Arial"/>
          <w:b/>
        </w:rPr>
        <w:t xml:space="preserve">· </w:t>
      </w:r>
      <w:r>
        <w:rPr>
          <w:rFonts w:ascii="Arial" w:eastAsia="Arial" w:hAnsi="Arial" w:cs="Arial"/>
        </w:rPr>
        <w:t>Restauración litoral.</w:t>
      </w:r>
      <w:r>
        <w:rPr>
          <w:rFonts w:ascii="Times New Roman" w:eastAsia="Times New Roman" w:hAnsi="Times New Roman" w:cs="Times New Roman"/>
          <w:sz w:val="24"/>
        </w:rPr>
        <w:t xml:space="preserve"> </w:t>
      </w:r>
    </w:p>
    <w:p w:rsidR="00FF384B" w:rsidRDefault="003E3BA9">
      <w:pPr>
        <w:spacing w:after="0"/>
        <w:ind w:left="3264"/>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b/>
        </w:rPr>
        <w:t xml:space="preserve">1. Equipamientos Comunitarios </w:t>
      </w:r>
      <w:r>
        <w:rPr>
          <w:rFonts w:ascii="Arial" w:eastAsia="Arial" w:hAnsi="Arial" w:cs="Arial"/>
        </w:rPr>
        <w:t>(Los vinculados a actividades propias de la Costa y en emplazamientos expresamente calificados)</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hanging="10"/>
        <w:jc w:val="both"/>
      </w:pPr>
      <w:r>
        <w:rPr>
          <w:noProof/>
        </w:rPr>
        <mc:AlternateContent>
          <mc:Choice Requires="wpg">
            <w:drawing>
              <wp:anchor distT="0" distB="0" distL="114300" distR="114300" simplePos="0" relativeHeight="251983872" behindDoc="1" locked="0" layoutInCell="1" allowOverlap="1">
                <wp:simplePos x="0" y="0"/>
                <wp:positionH relativeFrom="column">
                  <wp:posOffset>6952743</wp:posOffset>
                </wp:positionH>
                <wp:positionV relativeFrom="paragraph">
                  <wp:posOffset>-344154</wp:posOffset>
                </wp:positionV>
                <wp:extent cx="524148" cy="3797300"/>
                <wp:effectExtent l="0" t="0" r="0" b="0"/>
                <wp:wrapNone/>
                <wp:docPr id="509129" name="Group 50912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054" name="Picture 56054"/>
                          <pic:cNvPicPr/>
                        </pic:nvPicPr>
                        <pic:blipFill>
                          <a:blip r:embed="rId62"/>
                          <a:stretch>
                            <a:fillRect/>
                          </a:stretch>
                        </pic:blipFill>
                        <pic:spPr>
                          <a:xfrm rot="-5399999">
                            <a:off x="-1720849" y="1720850"/>
                            <a:ext cx="3797299" cy="355600"/>
                          </a:xfrm>
                          <a:prstGeom prst="rect">
                            <a:avLst/>
                          </a:prstGeom>
                        </pic:spPr>
                      </pic:pic>
                      <wps:wsp>
                        <wps:cNvPr id="56055" name="Rectangle 5605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056" name="Rectangle 5605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firmado electrónicamente desde la plataforma</w:t>
                              </w:r>
                              <w:r>
                                <w:rPr>
                                  <w:rFonts w:ascii="Arial" w:eastAsia="Arial" w:hAnsi="Arial" w:cs="Arial"/>
                                  <w:sz w:val="12"/>
                                </w:rPr>
                                <w:t xml:space="preserve"> esPublico Gestiona | Página 319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9129" style="width:41.2715pt;height:299pt;position:absolute;z-index:-2147483566;mso-position-horizontal-relative:text;mso-position-horizontal:absolute;margin-left:547.46pt;mso-position-vertical-relative:text;margin-top:-27.0988pt;" coordsize="5241,37973">
                <v:shape id="Picture 56054" style="position:absolute;width:37972;height:3556;left:-17208;top:17208;rotation:-89;" filled="f">
                  <v:imagedata r:id="rId63"/>
                </v:shape>
                <v:rect id="Rectangle 5605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05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319 de 353 </w:t>
                        </w:r>
                      </w:p>
                    </w:txbxContent>
                  </v:textbox>
                </v:rect>
              </v:group>
            </w:pict>
          </mc:Fallback>
        </mc:AlternateContent>
      </w:r>
      <w:r>
        <w:rPr>
          <w:rFonts w:ascii="Arial" w:eastAsia="Arial" w:hAnsi="Arial" w:cs="Arial"/>
          <w:b/>
        </w:rPr>
        <w:t xml:space="preserve">3) Usos Prohibidos: </w:t>
      </w:r>
      <w:r>
        <w:rPr>
          <w:rFonts w:ascii="Arial" w:eastAsia="Arial" w:hAnsi="Arial" w:cs="Arial"/>
        </w:rPr>
        <w:t>Los Restantes; y expresamente el uso de Puerto Deportivo (Salvo Existentes), y así mismo, los Usos Residenciales existentes o no.</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tabs>
          <w:tab w:val="center" w:pos="427"/>
          <w:tab w:val="right" w:pos="14935"/>
        </w:tabs>
        <w:spacing w:after="5" w:line="247" w:lineRule="auto"/>
      </w:pPr>
      <w:r>
        <w:tab/>
      </w:r>
      <w:r>
        <w:rPr>
          <w:rFonts w:ascii="Arial" w:eastAsia="Arial" w:hAnsi="Arial" w:cs="Arial"/>
        </w:rPr>
        <w:t xml:space="preserve"> </w:t>
      </w:r>
      <w:r>
        <w:rPr>
          <w:rFonts w:ascii="Arial" w:eastAsia="Arial" w:hAnsi="Arial" w:cs="Arial"/>
        </w:rPr>
        <w:tab/>
        <w:t>Se adjunta la Normativa Pormenorizada relativa a la tipolog</w:t>
      </w:r>
      <w:r>
        <w:rPr>
          <w:rFonts w:ascii="Arial" w:eastAsia="Arial" w:hAnsi="Arial" w:cs="Arial"/>
        </w:rPr>
        <w:t xml:space="preserve">ía de Espacios Libres recogida en el Plan General de Ordenación de Candelaria.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0"/>
        <w:ind w:left="427"/>
      </w:pPr>
      <w:r>
        <w:rPr>
          <w:rFonts w:ascii="Times New Roman" w:eastAsia="Times New Roman" w:hAnsi="Times New Roman" w:cs="Times New Roman"/>
          <w:b/>
          <w:sz w:val="24"/>
        </w:rPr>
        <w:t xml:space="preserve"> </w:t>
      </w:r>
    </w:p>
    <w:p w:rsidR="00FF384B" w:rsidRDefault="003E3BA9">
      <w:pPr>
        <w:spacing w:after="15" w:line="247" w:lineRule="auto"/>
        <w:ind w:left="415" w:hanging="3"/>
        <w:jc w:val="both"/>
      </w:pPr>
      <w:r>
        <w:rPr>
          <w:rFonts w:ascii="Arial" w:eastAsia="Arial" w:hAnsi="Arial" w:cs="Arial"/>
          <w:b/>
        </w:rPr>
        <w:t xml:space="preserve">CAPÍTULO 6. Usos Dotacionales o Comunitarios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Art. 6.6.4. Categorías específicas de las Zonas Verdes y Espacios Libres Públicos.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27" w:firstLine="708"/>
        <w:jc w:val="both"/>
      </w:pPr>
      <w:r>
        <w:rPr>
          <w:rFonts w:ascii="Arial" w:eastAsia="Arial" w:hAnsi="Arial" w:cs="Arial"/>
        </w:rPr>
        <w:t xml:space="preserve">El uso dotacional de los espacios libres públicos se divide, a su vez, en categorías específicas, a los efectos de establecer condiciones particulares para cada uno de los espacios de distintas características funcionales y dimensionales. Tales categorías </w:t>
      </w:r>
      <w:r>
        <w:rPr>
          <w:rFonts w:ascii="Arial" w:eastAsia="Arial" w:hAnsi="Arial" w:cs="Arial"/>
        </w:rPr>
        <w:t xml:space="preserve">específicas son las siguientes: </w:t>
      </w:r>
    </w:p>
    <w:p w:rsidR="00FF384B" w:rsidRDefault="003E3BA9">
      <w:pPr>
        <w:spacing w:after="0"/>
        <w:ind w:left="1136"/>
      </w:pPr>
      <w:r>
        <w:rPr>
          <w:rFonts w:ascii="Arial" w:eastAsia="Arial" w:hAnsi="Arial" w:cs="Arial"/>
        </w:rPr>
        <w:t xml:space="preserve"> </w:t>
      </w:r>
    </w:p>
    <w:p w:rsidR="00FF384B" w:rsidRDefault="003E3BA9">
      <w:pPr>
        <w:spacing w:after="0"/>
        <w:ind w:left="1136"/>
      </w:pPr>
      <w:r>
        <w:rPr>
          <w:rFonts w:ascii="Arial" w:eastAsia="Arial" w:hAnsi="Arial" w:cs="Arial"/>
        </w:rPr>
        <w:t xml:space="preserve"> </w:t>
      </w:r>
    </w:p>
    <w:p w:rsidR="00FF384B" w:rsidRDefault="003E3BA9">
      <w:pPr>
        <w:spacing w:after="0"/>
        <w:ind w:left="1136"/>
      </w:pPr>
      <w:r>
        <w:rPr>
          <w:rFonts w:ascii="Arial" w:eastAsia="Arial" w:hAnsi="Arial" w:cs="Arial"/>
        </w:rPr>
        <w:t xml:space="preserve"> </w:t>
      </w:r>
    </w:p>
    <w:p w:rsidR="00FF384B" w:rsidRDefault="003E3BA9">
      <w:pPr>
        <w:spacing w:after="0"/>
        <w:ind w:left="1136"/>
      </w:pPr>
      <w:r>
        <w:rPr>
          <w:rFonts w:ascii="Arial" w:eastAsia="Arial" w:hAnsi="Arial" w:cs="Arial"/>
        </w:rPr>
        <w:t xml:space="preserve"> </w:t>
      </w:r>
    </w:p>
    <w:p w:rsidR="00FF384B" w:rsidRDefault="003E3BA9">
      <w:pPr>
        <w:spacing w:after="0"/>
        <w:ind w:left="1136"/>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Parques Urbanos (PU):</w:t>
      </w:r>
      <w:r>
        <w:rPr>
          <w:rFonts w:ascii="Times New Roman" w:eastAsia="Times New Roman" w:hAnsi="Times New Roman" w:cs="Times New Roman"/>
          <w:sz w:val="24"/>
        </w:rPr>
        <w:t xml:space="preserve"> </w:t>
      </w:r>
    </w:p>
    <w:p w:rsidR="00FF384B" w:rsidRDefault="003E3BA9">
      <w:pPr>
        <w:spacing w:after="5" w:line="247" w:lineRule="auto"/>
        <w:ind w:left="427" w:firstLine="708"/>
        <w:jc w:val="both"/>
      </w:pPr>
      <w:r>
        <w:rPr>
          <w:rFonts w:ascii="Arial" w:eastAsia="Arial" w:hAnsi="Arial" w:cs="Arial"/>
        </w:rPr>
        <w:t xml:space="preserve">Espacios libres públicos de relativo tamaño destinados a la estancia de las personas y a mejorar la salubridad y calidad ambiental, relacionados con la trama urbana en la </w:t>
      </w:r>
    </w:p>
    <w:p w:rsidR="00FF384B" w:rsidRDefault="003E3BA9">
      <w:pPr>
        <w:spacing w:after="5" w:line="247" w:lineRule="auto"/>
        <w:ind w:left="437" w:right="4964" w:hanging="10"/>
        <w:jc w:val="both"/>
      </w:pPr>
      <w:r>
        <w:rPr>
          <w:rFonts w:ascii="Arial" w:eastAsia="Arial" w:hAnsi="Arial" w:cs="Arial"/>
        </w:rPr>
        <w:t xml:space="preserve">que se insertan, o localizados en el entorno de los núcleos, y en los que predomina la vegetación. Deberán poder inscribir un círculo mínimo de 30 m. </w:t>
      </w:r>
    </w:p>
    <w:p w:rsidR="00FF384B" w:rsidRDefault="003E3BA9">
      <w:pPr>
        <w:spacing w:after="0"/>
        <w:ind w:left="427"/>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Plazas (PZ):</w:t>
      </w:r>
      <w:r>
        <w:rPr>
          <w:rFonts w:ascii="Times New Roman" w:eastAsia="Times New Roman" w:hAnsi="Times New Roman" w:cs="Times New Roman"/>
          <w:sz w:val="24"/>
        </w:rPr>
        <w:t xml:space="preserve"> </w:t>
      </w:r>
    </w:p>
    <w:p w:rsidR="00FF384B" w:rsidRDefault="003E3BA9">
      <w:pPr>
        <w:spacing w:after="5" w:line="247" w:lineRule="auto"/>
        <w:ind w:left="427" w:right="11" w:firstLine="708"/>
        <w:jc w:val="both"/>
      </w:pPr>
      <w:r>
        <w:rPr>
          <w:rFonts w:ascii="Arial" w:eastAsia="Arial" w:hAnsi="Arial" w:cs="Arial"/>
        </w:rPr>
        <w:t>Espacios libres públicos de pequeño o mediano tamaño ajardinados y urbanizados en parte d</w:t>
      </w:r>
      <w:r>
        <w:rPr>
          <w:rFonts w:ascii="Arial" w:eastAsia="Arial" w:hAnsi="Arial" w:cs="Arial"/>
        </w:rPr>
        <w:t xml:space="preserve">e su superficie, destinados a la estancia y al esparcimiento de la población, así como al ornato y mejora de la calidad estética y ambiental del medio urbano. Deberán poder inscribir un círculo mínimo de 12 m. </w:t>
      </w:r>
    </w:p>
    <w:p w:rsidR="00FF384B" w:rsidRDefault="003E3BA9">
      <w:pPr>
        <w:spacing w:after="0"/>
        <w:ind w:left="427"/>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Jardines (J):</w:t>
      </w:r>
      <w:r>
        <w:rPr>
          <w:rFonts w:ascii="Times New Roman" w:eastAsia="Times New Roman" w:hAnsi="Times New Roman" w:cs="Times New Roman"/>
          <w:sz w:val="24"/>
        </w:rPr>
        <w:t xml:space="preserve"> </w:t>
      </w:r>
    </w:p>
    <w:p w:rsidR="00FF384B" w:rsidRDefault="003E3BA9">
      <w:pPr>
        <w:spacing w:after="5" w:line="247" w:lineRule="auto"/>
        <w:ind w:left="437" w:hanging="10"/>
        <w:jc w:val="both"/>
      </w:pPr>
      <w:r>
        <w:rPr>
          <w:rFonts w:ascii="Arial" w:eastAsia="Arial" w:hAnsi="Arial" w:cs="Arial"/>
        </w:rPr>
        <w:t>Espacios libres públicos aja</w:t>
      </w:r>
      <w:r>
        <w:rPr>
          <w:rFonts w:ascii="Arial" w:eastAsia="Arial" w:hAnsi="Arial" w:cs="Arial"/>
        </w:rPr>
        <w:t xml:space="preserve">rdinados en su mayor parte y destinados principalmente al a mejora ambiental del medio urbano o, en su caso, servir de protección del viario colindante o como suelo de reserva para el tratamiento funcional del mismo. </w:t>
      </w:r>
    </w:p>
    <w:p w:rsidR="00FF384B" w:rsidRDefault="003E3BA9">
      <w:pPr>
        <w:spacing w:after="0"/>
        <w:ind w:left="427"/>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Espacios Libres (EL):</w:t>
      </w:r>
      <w:r>
        <w:rPr>
          <w:rFonts w:ascii="Times New Roman" w:eastAsia="Times New Roman" w:hAnsi="Times New Roman" w:cs="Times New Roman"/>
          <w:sz w:val="24"/>
        </w:rPr>
        <w:t xml:space="preserve"> </w:t>
      </w:r>
    </w:p>
    <w:p w:rsidR="00FF384B" w:rsidRDefault="003E3BA9">
      <w:pPr>
        <w:spacing w:after="5" w:line="247" w:lineRule="auto"/>
        <w:ind w:left="427" w:firstLine="708"/>
        <w:jc w:val="both"/>
      </w:pPr>
      <w:r>
        <w:rPr>
          <w:noProof/>
        </w:rPr>
        <mc:AlternateContent>
          <mc:Choice Requires="wpg">
            <w:drawing>
              <wp:anchor distT="0" distB="0" distL="114300" distR="114300" simplePos="0" relativeHeight="251984896" behindDoc="1" locked="0" layoutInCell="1" allowOverlap="1">
                <wp:simplePos x="0" y="0"/>
                <wp:positionH relativeFrom="column">
                  <wp:posOffset>6952743</wp:posOffset>
                </wp:positionH>
                <wp:positionV relativeFrom="paragraph">
                  <wp:posOffset>-507222</wp:posOffset>
                </wp:positionV>
                <wp:extent cx="524148" cy="3797300"/>
                <wp:effectExtent l="0" t="0" r="0" b="0"/>
                <wp:wrapNone/>
                <wp:docPr id="509570" name="Group 50957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165" name="Picture 56165"/>
                          <pic:cNvPicPr/>
                        </pic:nvPicPr>
                        <pic:blipFill>
                          <a:blip r:embed="rId62"/>
                          <a:stretch>
                            <a:fillRect/>
                          </a:stretch>
                        </pic:blipFill>
                        <pic:spPr>
                          <a:xfrm rot="-5399999">
                            <a:off x="-1720849" y="1720850"/>
                            <a:ext cx="3797299" cy="355600"/>
                          </a:xfrm>
                          <a:prstGeom prst="rect">
                            <a:avLst/>
                          </a:prstGeom>
                        </pic:spPr>
                      </pic:pic>
                      <wps:wsp>
                        <wps:cNvPr id="56166" name="Rectangle 5616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167" name="Rectangle 5616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9570" style="width:41.2715pt;height:299pt;position:absolute;z-index:-2147483555;mso-position-horizontal-relative:text;mso-position-horizontal:absolute;margin-left:547.46pt;mso-position-vertical-relative:text;margin-top:-39.9388pt;" coordsize="5241,37973">
                <v:shape id="Picture 56165" style="position:absolute;width:37972;height:3556;left:-17208;top:17208;rotation:-89;" filled="f">
                  <v:imagedata r:id="rId63"/>
                </v:shape>
                <v:rect id="Rectangle 5616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16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320 de 353 </w:t>
                        </w:r>
                      </w:p>
                    </w:txbxContent>
                  </v:textbox>
                </v:rect>
              </v:group>
            </w:pict>
          </mc:Fallback>
        </mc:AlternateContent>
      </w:r>
      <w:r>
        <w:rPr>
          <w:rFonts w:ascii="Arial" w:eastAsia="Arial" w:hAnsi="Arial" w:cs="Arial"/>
        </w:rPr>
        <w:t>Espacios libres públicos que deben mantenerse en su estado na</w:t>
      </w:r>
      <w:r>
        <w:rPr>
          <w:rFonts w:ascii="Arial" w:eastAsia="Arial" w:hAnsi="Arial" w:cs="Arial"/>
        </w:rPr>
        <w:t xml:space="preserve">tural, dado su valor ambiental y el grado de conservación del mismo, sirviendo como elementos de mejora del ambiente y del paisaje urbano. Pueden coincidir con zonas de barranco, cantil costero o playa. </w:t>
      </w:r>
    </w:p>
    <w:p w:rsidR="00FF384B" w:rsidRDefault="003E3BA9">
      <w:pPr>
        <w:spacing w:after="5" w:line="247" w:lineRule="auto"/>
        <w:ind w:left="1146" w:right="244" w:hanging="10"/>
        <w:jc w:val="both"/>
      </w:pPr>
      <w:r>
        <w:rPr>
          <w:rFonts w:ascii="Arial" w:eastAsia="Arial" w:hAnsi="Arial" w:cs="Arial"/>
        </w:rPr>
        <w:t>También se incluyen en esta categoría los espacios l</w:t>
      </w:r>
      <w:r>
        <w:rPr>
          <w:rFonts w:ascii="Arial" w:eastAsia="Arial" w:hAnsi="Arial" w:cs="Arial"/>
        </w:rPr>
        <w:t xml:space="preserve">ibres de protección de la red viaria, que deben ser arbolados con pantallas vegetales. </w:t>
      </w:r>
    </w:p>
    <w:p w:rsidR="00FF384B" w:rsidRDefault="003E3BA9">
      <w:pPr>
        <w:spacing w:after="0"/>
        <w:ind w:left="427"/>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Ramblas-Peatonal (R-P):</w:t>
      </w:r>
      <w:r>
        <w:rPr>
          <w:rFonts w:ascii="Times New Roman" w:eastAsia="Times New Roman" w:hAnsi="Times New Roman" w:cs="Times New Roman"/>
          <w:sz w:val="24"/>
        </w:rPr>
        <w:t xml:space="preserve"> </w:t>
      </w:r>
    </w:p>
    <w:p w:rsidR="00FF384B" w:rsidRDefault="003E3BA9">
      <w:pPr>
        <w:spacing w:after="5" w:line="247" w:lineRule="auto"/>
        <w:ind w:left="427" w:firstLine="708"/>
        <w:jc w:val="both"/>
      </w:pPr>
      <w:r>
        <w:rPr>
          <w:rFonts w:ascii="Arial" w:eastAsia="Arial" w:hAnsi="Arial" w:cs="Arial"/>
        </w:rPr>
        <w:t>Espacios libres públicos con arbolado de porte ligados al viario, que contabilizan a efecto de cesiones a partir de los 6m de ancho las rambl</w:t>
      </w:r>
      <w:r>
        <w:rPr>
          <w:rFonts w:ascii="Arial" w:eastAsia="Arial" w:hAnsi="Arial" w:cs="Arial"/>
        </w:rPr>
        <w:t xml:space="preserve">as y 9 m los peatonales. </w:t>
      </w:r>
    </w:p>
    <w:p w:rsidR="00FF384B" w:rsidRDefault="003E3BA9">
      <w:pPr>
        <w:spacing w:after="0"/>
        <w:ind w:left="427"/>
      </w:pPr>
      <w:r>
        <w:rPr>
          <w:rFonts w:ascii="Arial" w:eastAsia="Arial" w:hAnsi="Arial" w:cs="Arial"/>
        </w:rPr>
        <w:t xml:space="preserve"> </w:t>
      </w:r>
    </w:p>
    <w:p w:rsidR="00FF384B" w:rsidRDefault="003E3BA9">
      <w:pPr>
        <w:numPr>
          <w:ilvl w:val="0"/>
          <w:numId w:val="333"/>
        </w:numPr>
        <w:spacing w:after="15" w:line="247" w:lineRule="auto"/>
        <w:ind w:hanging="139"/>
        <w:jc w:val="both"/>
      </w:pPr>
      <w:r>
        <w:rPr>
          <w:rFonts w:ascii="Arial" w:eastAsia="Arial" w:hAnsi="Arial" w:cs="Arial"/>
          <w:b/>
        </w:rPr>
        <w:t>Aparcamiento (AP):</w:t>
      </w:r>
      <w:r>
        <w:rPr>
          <w:rFonts w:ascii="Times New Roman" w:eastAsia="Times New Roman" w:hAnsi="Times New Roman" w:cs="Times New Roman"/>
          <w:sz w:val="24"/>
        </w:rPr>
        <w:t xml:space="preserve"> </w:t>
      </w:r>
    </w:p>
    <w:p w:rsidR="00FF384B" w:rsidRDefault="003E3BA9">
      <w:pPr>
        <w:spacing w:after="5" w:line="247" w:lineRule="auto"/>
        <w:ind w:left="427" w:right="4255" w:firstLine="708"/>
        <w:jc w:val="both"/>
      </w:pPr>
      <w:r>
        <w:rPr>
          <w:rFonts w:ascii="Arial" w:eastAsia="Arial" w:hAnsi="Arial" w:cs="Arial"/>
        </w:rPr>
        <w:t xml:space="preserve">Espacios libres públicos donde se integran vegetación y/o arbolado de porte, con el aparcamiento de vehículos en superficie.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numPr>
          <w:ilvl w:val="0"/>
          <w:numId w:val="333"/>
        </w:numPr>
        <w:spacing w:after="15" w:line="247" w:lineRule="auto"/>
        <w:ind w:hanging="139"/>
        <w:jc w:val="both"/>
      </w:pPr>
      <w:r>
        <w:rPr>
          <w:rFonts w:ascii="Arial" w:eastAsia="Arial" w:hAnsi="Arial" w:cs="Arial"/>
          <w:b/>
        </w:rPr>
        <w:t>Mirador (Mi):</w:t>
      </w:r>
      <w:r>
        <w:rPr>
          <w:rFonts w:ascii="Times New Roman" w:eastAsia="Times New Roman" w:hAnsi="Times New Roman" w:cs="Times New Roman"/>
          <w:sz w:val="24"/>
        </w:rPr>
        <w:t xml:space="preserve"> </w:t>
      </w:r>
    </w:p>
    <w:p w:rsidR="00FF384B" w:rsidRDefault="003E3BA9">
      <w:pPr>
        <w:spacing w:after="5" w:line="247" w:lineRule="auto"/>
        <w:ind w:left="1146" w:right="244" w:hanging="10"/>
        <w:jc w:val="both"/>
      </w:pPr>
      <w:r>
        <w:rPr>
          <w:rFonts w:ascii="Arial" w:eastAsia="Arial" w:hAnsi="Arial" w:cs="Arial"/>
        </w:rPr>
        <w:t xml:space="preserve">Espacios libres públicos específicos de puntos de esparcimiento con vistas singulares. </w:t>
      </w:r>
    </w:p>
    <w:p w:rsidR="00FF384B" w:rsidRDefault="003E3BA9">
      <w:pPr>
        <w:spacing w:after="19"/>
        <w:ind w:left="1136"/>
      </w:pPr>
      <w:r>
        <w:rPr>
          <w:rFonts w:ascii="Arial" w:eastAsia="Arial" w:hAnsi="Arial" w:cs="Arial"/>
        </w:rPr>
        <w:t xml:space="preserve"> </w:t>
      </w:r>
    </w:p>
    <w:p w:rsidR="00FF384B" w:rsidRDefault="003E3BA9">
      <w:pPr>
        <w:spacing w:after="5" w:line="247" w:lineRule="auto"/>
        <w:ind w:left="1146" w:right="244" w:hanging="10"/>
        <w:jc w:val="both"/>
      </w:pPr>
      <w:r>
        <w:rPr>
          <w:rFonts w:ascii="Arial" w:eastAsia="Arial" w:hAnsi="Arial" w:cs="Arial"/>
        </w:rPr>
        <w:t xml:space="preserve">Es cuanto se tiene que informar al respecto para los efectos que se estimen oportunos.” </w:t>
      </w:r>
    </w:p>
    <w:p w:rsidR="00FF384B" w:rsidRDefault="003E3BA9">
      <w:pPr>
        <w:spacing w:after="0"/>
        <w:ind w:left="1136"/>
      </w:pPr>
      <w:r>
        <w:rPr>
          <w:rFonts w:ascii="Arial" w:eastAsia="Arial" w:hAnsi="Arial" w:cs="Arial"/>
        </w:rPr>
        <w:t xml:space="preserve"> </w:t>
      </w:r>
    </w:p>
    <w:p w:rsidR="00FF384B" w:rsidRDefault="003E3BA9">
      <w:pPr>
        <w:spacing w:after="100"/>
        <w:ind w:left="427"/>
      </w:pPr>
      <w:r>
        <w:rPr>
          <w:rFonts w:ascii="Arial" w:eastAsia="Arial" w:hAnsi="Arial" w:cs="Arial"/>
        </w:rPr>
        <w:t xml:space="preserve"> </w:t>
      </w:r>
    </w:p>
    <w:p w:rsidR="00FF384B" w:rsidRDefault="003E3BA9">
      <w:pPr>
        <w:spacing w:after="95"/>
        <w:ind w:left="427"/>
      </w:pPr>
      <w:r>
        <w:rPr>
          <w:rFonts w:ascii="Arial" w:eastAsia="Arial" w:hAnsi="Arial" w:cs="Arial"/>
        </w:rPr>
        <w:t xml:space="preserve"> </w:t>
      </w:r>
    </w:p>
    <w:p w:rsidR="00FF384B" w:rsidRDefault="003E3BA9">
      <w:pPr>
        <w:spacing w:after="47" w:line="339" w:lineRule="auto"/>
        <w:ind w:left="415" w:hanging="3"/>
        <w:jc w:val="both"/>
      </w:pPr>
      <w:r>
        <w:rPr>
          <w:rFonts w:ascii="Arial" w:eastAsia="Arial" w:hAnsi="Arial" w:cs="Arial"/>
          <w:b/>
        </w:rPr>
        <w:t xml:space="preserve">Consta en el Informe Técnico de fecha 27 de abril de 2021 emitido </w:t>
      </w:r>
      <w:r>
        <w:rPr>
          <w:rFonts w:ascii="Arial" w:eastAsia="Arial" w:hAnsi="Arial" w:cs="Arial"/>
          <w:b/>
        </w:rPr>
        <w:t>por D. Joaquín Martínez Feo. Ingeniero de Caminos Canales y Puertos.Colegiado nº: 18.335 que transcrito literalmente dice:</w:t>
      </w:r>
      <w:r>
        <w:rPr>
          <w:rFonts w:ascii="Times New Roman" w:eastAsia="Times New Roman" w:hAnsi="Times New Roman" w:cs="Times New Roman"/>
          <w:sz w:val="24"/>
        </w:rPr>
        <w:t xml:space="preserve"> </w:t>
      </w:r>
    </w:p>
    <w:p w:rsidR="00FF384B" w:rsidRDefault="003E3BA9">
      <w:pPr>
        <w:spacing w:after="108"/>
        <w:ind w:left="422" w:right="3161" w:hanging="10"/>
      </w:pP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spacing w:after="0"/>
        <w:ind w:left="427" w:right="3161"/>
      </w:pPr>
      <w:r>
        <w:rPr>
          <w:rFonts w:ascii="Times New Roman" w:eastAsia="Times New Roman" w:hAnsi="Times New Roman" w:cs="Times New Roman"/>
          <w:sz w:val="24"/>
        </w:rPr>
        <w:t xml:space="preserve"> </w:t>
      </w:r>
    </w:p>
    <w:p w:rsidR="00FF384B" w:rsidRDefault="003E3BA9">
      <w:pPr>
        <w:spacing w:after="86"/>
        <w:ind w:left="426" w:right="3161" w:hanging="10"/>
        <w:jc w:val="center"/>
      </w:pPr>
      <w:r>
        <w:rPr>
          <w:noProof/>
        </w:rPr>
        <mc:AlternateContent>
          <mc:Choice Requires="wpg">
            <w:drawing>
              <wp:anchor distT="0" distB="0" distL="114300" distR="114300" simplePos="0" relativeHeight="251985920" behindDoc="0" locked="0" layoutInCell="1" allowOverlap="1">
                <wp:simplePos x="0" y="0"/>
                <wp:positionH relativeFrom="column">
                  <wp:posOffset>6952743</wp:posOffset>
                </wp:positionH>
                <wp:positionV relativeFrom="paragraph">
                  <wp:posOffset>-29548</wp:posOffset>
                </wp:positionV>
                <wp:extent cx="524148" cy="3797300"/>
                <wp:effectExtent l="0" t="0" r="0" b="0"/>
                <wp:wrapSquare wrapText="bothSides"/>
                <wp:docPr id="509907" name="Group 50990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232" name="Picture 56232"/>
                          <pic:cNvPicPr/>
                        </pic:nvPicPr>
                        <pic:blipFill>
                          <a:blip r:embed="rId62"/>
                          <a:stretch>
                            <a:fillRect/>
                          </a:stretch>
                        </pic:blipFill>
                        <pic:spPr>
                          <a:xfrm rot="-5399999">
                            <a:off x="-1720849" y="1720850"/>
                            <a:ext cx="3797299" cy="355600"/>
                          </a:xfrm>
                          <a:prstGeom prst="rect">
                            <a:avLst/>
                          </a:prstGeom>
                        </pic:spPr>
                      </pic:pic>
                      <wps:wsp>
                        <wps:cNvPr id="56233" name="Rectangle 5623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234" name="Rectangle 5623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09907" style="width:41.2715pt;height:299pt;position:absolute;mso-position-horizontal-relative:text;mso-position-horizontal:absolute;margin-left:547.46pt;mso-position-vertical-relative:text;margin-top:-2.32666pt;" coordsize="5241,37973">
                <v:shape id="Picture 56232" style="position:absolute;width:37972;height:3556;left:-17208;top:17208;rotation:-89;" filled="f">
                  <v:imagedata r:id="rId63"/>
                </v:shape>
                <v:rect id="Rectangle 5623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23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321 de 353 </w:t>
                        </w:r>
                      </w:p>
                    </w:txbxContent>
                  </v:textbox>
                </v:rect>
                <w10:wrap type="square"/>
              </v:group>
            </w:pict>
          </mc:Fallback>
        </mc:AlternateContent>
      </w:r>
      <w:r>
        <w:rPr>
          <w:rFonts w:ascii="Arial" w:eastAsia="Arial" w:hAnsi="Arial" w:cs="Arial"/>
          <w:b/>
          <w:u w:val="single" w:color="000000"/>
        </w:rPr>
        <w:t>ÍNDICE</w:t>
      </w:r>
      <w:r>
        <w:rPr>
          <w:rFonts w:ascii="Times New Roman" w:eastAsia="Times New Roman" w:hAnsi="Times New Roman" w:cs="Times New Roman"/>
          <w:sz w:val="24"/>
        </w:rPr>
        <w:t xml:space="preserve"> </w:t>
      </w:r>
    </w:p>
    <w:p w:rsidR="00FF384B" w:rsidRDefault="003E3BA9">
      <w:pPr>
        <w:spacing w:after="105"/>
        <w:ind w:left="427" w:right="3161"/>
      </w:pPr>
      <w:r>
        <w:rPr>
          <w:rFonts w:ascii="Arial" w:eastAsia="Arial" w:hAnsi="Arial" w:cs="Arial"/>
        </w:rPr>
        <w:t xml:space="preserve"> </w:t>
      </w:r>
    </w:p>
    <w:p w:rsidR="00FF384B" w:rsidRDefault="003E3BA9">
      <w:pPr>
        <w:spacing w:after="103"/>
        <w:ind w:left="427" w:right="3161"/>
      </w:pPr>
      <w:r>
        <w:rPr>
          <w:rFonts w:ascii="Arial" w:eastAsia="Arial" w:hAnsi="Arial" w:cs="Arial"/>
        </w:rPr>
        <w:t xml:space="preserve"> </w:t>
      </w:r>
    </w:p>
    <w:p w:rsidR="00FF384B" w:rsidRDefault="003E3BA9">
      <w:pPr>
        <w:numPr>
          <w:ilvl w:val="1"/>
          <w:numId w:val="333"/>
        </w:numPr>
        <w:spacing w:after="116" w:line="247" w:lineRule="auto"/>
        <w:ind w:left="1506" w:right="3161" w:hanging="358"/>
        <w:jc w:val="both"/>
      </w:pPr>
      <w:r>
        <w:rPr>
          <w:rFonts w:ascii="Arial" w:eastAsia="Arial" w:hAnsi="Arial" w:cs="Arial"/>
          <w:b/>
        </w:rPr>
        <w:t xml:space="preserve">ANTECEDENTES Y OBJETO </w:t>
      </w:r>
    </w:p>
    <w:p w:rsidR="00FF384B" w:rsidRDefault="003E3BA9">
      <w:pPr>
        <w:numPr>
          <w:ilvl w:val="1"/>
          <w:numId w:val="333"/>
        </w:numPr>
        <w:spacing w:after="116" w:line="247" w:lineRule="auto"/>
        <w:ind w:left="1506" w:right="3161" w:hanging="358"/>
        <w:jc w:val="both"/>
      </w:pPr>
      <w:r>
        <w:rPr>
          <w:rFonts w:ascii="Arial" w:eastAsia="Arial" w:hAnsi="Arial" w:cs="Arial"/>
          <w:b/>
        </w:rPr>
        <w:t xml:space="preserve">OBJETO </w:t>
      </w:r>
    </w:p>
    <w:p w:rsidR="00FF384B" w:rsidRDefault="003E3BA9">
      <w:pPr>
        <w:numPr>
          <w:ilvl w:val="1"/>
          <w:numId w:val="333"/>
        </w:numPr>
        <w:spacing w:after="116" w:line="247" w:lineRule="auto"/>
        <w:ind w:left="1506" w:right="3161" w:hanging="358"/>
        <w:jc w:val="both"/>
      </w:pPr>
      <w:r>
        <w:rPr>
          <w:rFonts w:ascii="Arial" w:eastAsia="Arial" w:hAnsi="Arial" w:cs="Arial"/>
          <w:b/>
        </w:rPr>
        <w:t xml:space="preserve">DATOS DE PARTIDA </w:t>
      </w:r>
    </w:p>
    <w:p w:rsidR="00FF384B" w:rsidRDefault="003E3BA9">
      <w:pPr>
        <w:numPr>
          <w:ilvl w:val="1"/>
          <w:numId w:val="333"/>
        </w:numPr>
        <w:spacing w:after="118" w:line="247" w:lineRule="auto"/>
        <w:ind w:left="1506" w:right="3161" w:hanging="358"/>
        <w:jc w:val="both"/>
      </w:pPr>
      <w:r>
        <w:rPr>
          <w:rFonts w:ascii="Arial" w:eastAsia="Arial" w:hAnsi="Arial" w:cs="Arial"/>
          <w:b/>
        </w:rPr>
        <w:t xml:space="preserve">DESCRIPCIÓN URBANÍSTICA DEL ÁMBITO DE COSTA OBJETO DEL INFORME </w:t>
      </w:r>
    </w:p>
    <w:p w:rsidR="00FF384B" w:rsidRDefault="003E3BA9">
      <w:pPr>
        <w:numPr>
          <w:ilvl w:val="1"/>
          <w:numId w:val="333"/>
        </w:numPr>
        <w:spacing w:after="116" w:line="247" w:lineRule="auto"/>
        <w:ind w:left="1506" w:right="3161" w:hanging="358"/>
        <w:jc w:val="both"/>
      </w:pPr>
      <w:r>
        <w:rPr>
          <w:rFonts w:ascii="Arial" w:eastAsia="Arial" w:hAnsi="Arial" w:cs="Arial"/>
          <w:b/>
        </w:rPr>
        <w:t xml:space="preserve">INNECESARIEDAD DE LOS TERRENOS PARA </w:t>
      </w:r>
      <w:r>
        <w:rPr>
          <w:rFonts w:ascii="Arial" w:eastAsia="Arial" w:hAnsi="Arial" w:cs="Arial"/>
          <w:b/>
        </w:rPr>
        <w:t xml:space="preserve">LA PROTECCIÓN DEL DPMT </w:t>
      </w:r>
    </w:p>
    <w:p w:rsidR="00FF384B" w:rsidRDefault="003E3BA9">
      <w:pPr>
        <w:numPr>
          <w:ilvl w:val="1"/>
          <w:numId w:val="333"/>
        </w:numPr>
        <w:spacing w:after="15" w:line="247" w:lineRule="auto"/>
        <w:ind w:left="1506" w:right="3161" w:hanging="358"/>
        <w:jc w:val="both"/>
      </w:pPr>
      <w:r>
        <w:rPr>
          <w:rFonts w:ascii="Arial" w:eastAsia="Arial" w:hAnsi="Arial" w:cs="Arial"/>
          <w:b/>
        </w:rPr>
        <w:t xml:space="preserve">CONCLUSIONES </w:t>
      </w:r>
    </w:p>
    <w:p w:rsidR="00FF384B" w:rsidRDefault="003E3BA9">
      <w:pPr>
        <w:tabs>
          <w:tab w:val="center" w:pos="518"/>
          <w:tab w:val="center" w:pos="2585"/>
        </w:tabs>
        <w:spacing w:after="99" w:line="247" w:lineRule="auto"/>
      </w:pPr>
      <w:r>
        <w:tab/>
      </w:r>
      <w:r>
        <w:rPr>
          <w:rFonts w:ascii="Arial" w:eastAsia="Arial" w:hAnsi="Arial" w:cs="Arial"/>
          <w:b/>
        </w:rPr>
        <w:t xml:space="preserve">1.  </w:t>
      </w:r>
      <w:r>
        <w:rPr>
          <w:rFonts w:ascii="Arial" w:eastAsia="Arial" w:hAnsi="Arial" w:cs="Arial"/>
          <w:b/>
        </w:rPr>
        <w:tab/>
        <w:t>ANTECEDENTES Y OBJETO</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3" w:line="336" w:lineRule="auto"/>
        <w:ind w:left="437" w:hanging="10"/>
      </w:pPr>
      <w:r>
        <w:rPr>
          <w:rFonts w:ascii="Arial" w:eastAsia="Arial" w:hAnsi="Arial" w:cs="Arial"/>
        </w:rPr>
        <w:t xml:space="preserve">En </w:t>
      </w:r>
      <w:r>
        <w:rPr>
          <w:rFonts w:ascii="Arial" w:eastAsia="Arial" w:hAnsi="Arial" w:cs="Arial"/>
          <w:b/>
        </w:rPr>
        <w:t>marzo de 2020</w:t>
      </w:r>
      <w:r>
        <w:rPr>
          <w:rFonts w:ascii="Arial" w:eastAsia="Arial" w:hAnsi="Arial" w:cs="Arial"/>
        </w:rPr>
        <w:t xml:space="preserve">, mediante </w:t>
      </w:r>
      <w:r>
        <w:rPr>
          <w:rFonts w:ascii="Arial" w:eastAsia="Arial" w:hAnsi="Arial" w:cs="Arial"/>
          <w:b/>
        </w:rPr>
        <w:t>registro 2020-E-RC-4460</w:t>
      </w:r>
      <w:r>
        <w:rPr>
          <w:rFonts w:ascii="Arial" w:eastAsia="Arial" w:hAnsi="Arial" w:cs="Arial"/>
        </w:rPr>
        <w:t xml:space="preserve"> se presenta </w:t>
      </w:r>
      <w:r>
        <w:rPr>
          <w:rFonts w:ascii="Arial" w:eastAsia="Arial" w:hAnsi="Arial" w:cs="Arial"/>
          <w:b/>
        </w:rPr>
        <w:t>Moción</w:t>
      </w:r>
      <w:r>
        <w:rPr>
          <w:rFonts w:ascii="Arial" w:eastAsia="Arial" w:hAnsi="Arial" w:cs="Arial"/>
        </w:rPr>
        <w:t xml:space="preserve"> por parte de la agrupación </w:t>
      </w:r>
      <w:r>
        <w:rPr>
          <w:rFonts w:ascii="Arial" w:eastAsia="Arial" w:hAnsi="Arial" w:cs="Arial"/>
          <w:b/>
        </w:rPr>
        <w:t>VecinosxCandelaria</w:t>
      </w:r>
      <w:r>
        <w:rPr>
          <w:rFonts w:ascii="Arial" w:eastAsia="Arial" w:hAnsi="Arial" w:cs="Arial"/>
        </w:rPr>
        <w:t xml:space="preserve">, para </w:t>
      </w:r>
      <w:r>
        <w:rPr>
          <w:rFonts w:ascii="Arial" w:eastAsia="Arial" w:hAnsi="Arial" w:cs="Arial"/>
          <w:b/>
        </w:rPr>
        <w:t>iniciar el expediente</w:t>
      </w:r>
      <w:r>
        <w:rPr>
          <w:rFonts w:ascii="Arial" w:eastAsia="Arial" w:hAnsi="Arial" w:cs="Arial"/>
        </w:rPr>
        <w:t xml:space="preserve"> de </w:t>
      </w:r>
      <w:r>
        <w:rPr>
          <w:rFonts w:ascii="Arial" w:eastAsia="Arial" w:hAnsi="Arial" w:cs="Arial"/>
          <w:b/>
        </w:rPr>
        <w:t>desafectación de terrenos innecesarios</w:t>
      </w:r>
      <w:r>
        <w:rPr>
          <w:rFonts w:ascii="Arial" w:eastAsia="Arial" w:hAnsi="Arial" w:cs="Arial"/>
        </w:rPr>
        <w:t xml:space="preserve"> </w:t>
      </w:r>
      <w:r>
        <w:rPr>
          <w:rFonts w:ascii="Arial" w:eastAsia="Arial" w:hAnsi="Arial" w:cs="Arial"/>
        </w:rPr>
        <w:t xml:space="preserve">para el </w:t>
      </w:r>
      <w:r>
        <w:rPr>
          <w:rFonts w:ascii="Arial" w:eastAsia="Arial" w:hAnsi="Arial" w:cs="Arial"/>
          <w:b/>
        </w:rPr>
        <w:t xml:space="preserve">Dominio Público Marítimo terrestre </w:t>
      </w:r>
      <w:r>
        <w:rPr>
          <w:rFonts w:ascii="Arial" w:eastAsia="Arial" w:hAnsi="Arial" w:cs="Arial"/>
        </w:rPr>
        <w:t xml:space="preserve">en el Litoral de Candelaria, con número de expediente 2642/2020. </w:t>
      </w:r>
      <w:r>
        <w:rPr>
          <w:rFonts w:ascii="Verdana" w:eastAsia="Verdana" w:hAnsi="Verdana" w:cs="Verdana"/>
          <w:sz w:val="24"/>
        </w:rPr>
        <w:t xml:space="preserve"> </w:t>
      </w:r>
    </w:p>
    <w:p w:rsidR="00FF384B" w:rsidRDefault="003E3BA9">
      <w:pPr>
        <w:spacing w:after="118"/>
        <w:ind w:left="427"/>
      </w:pPr>
      <w:r>
        <w:rPr>
          <w:rFonts w:ascii="Arial" w:eastAsia="Arial" w:hAnsi="Arial" w:cs="Arial"/>
        </w:rPr>
        <w:t xml:space="preserve"> </w:t>
      </w:r>
    </w:p>
    <w:p w:rsidR="00FF384B" w:rsidRDefault="003E3BA9">
      <w:pPr>
        <w:spacing w:after="15" w:line="330" w:lineRule="auto"/>
        <w:ind w:left="415" w:hanging="3"/>
        <w:jc w:val="both"/>
      </w:pPr>
      <w:r>
        <w:rPr>
          <w:rFonts w:ascii="Arial" w:eastAsia="Arial" w:hAnsi="Arial" w:cs="Arial"/>
        </w:rPr>
        <w:t xml:space="preserve">Posteriormente, en octubre de 2020, y con </w:t>
      </w:r>
      <w:r>
        <w:rPr>
          <w:rFonts w:ascii="Arial" w:eastAsia="Arial" w:hAnsi="Arial" w:cs="Arial"/>
          <w:b/>
        </w:rPr>
        <w:t xml:space="preserve">registro 2020-E-RC-2104, </w:t>
      </w:r>
      <w:r>
        <w:rPr>
          <w:rFonts w:ascii="Arial" w:eastAsia="Arial" w:hAnsi="Arial" w:cs="Arial"/>
        </w:rPr>
        <w:t>se incorpora</w:t>
      </w:r>
      <w:r>
        <w:rPr>
          <w:rFonts w:ascii="Arial" w:eastAsia="Arial" w:hAnsi="Arial" w:cs="Arial"/>
          <w:b/>
        </w:rPr>
        <w:t xml:space="preserve"> al expediente el “Informe Técnico en relación con el grado de de</w:t>
      </w:r>
      <w:r>
        <w:rPr>
          <w:rFonts w:ascii="Arial" w:eastAsia="Arial" w:hAnsi="Arial" w:cs="Arial"/>
          <w:b/>
        </w:rPr>
        <w:t>snaturalización del borde costero del área de “Bajo La Cuesta”, en el Término Municipal de Candelaria.</w:t>
      </w:r>
      <w:r>
        <w:rPr>
          <w:rFonts w:ascii="Verdana" w:eastAsia="Verdana" w:hAnsi="Verdana" w:cs="Verdana"/>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43" w:lineRule="auto"/>
        <w:ind w:left="415" w:hanging="3"/>
        <w:jc w:val="both"/>
      </w:pPr>
      <w:r>
        <w:rPr>
          <w:noProof/>
        </w:rPr>
        <mc:AlternateContent>
          <mc:Choice Requires="wpg">
            <w:drawing>
              <wp:anchor distT="0" distB="0" distL="114300" distR="114300" simplePos="0" relativeHeight="251986944" behindDoc="1" locked="0" layoutInCell="1" allowOverlap="1">
                <wp:simplePos x="0" y="0"/>
                <wp:positionH relativeFrom="column">
                  <wp:posOffset>6952743</wp:posOffset>
                </wp:positionH>
                <wp:positionV relativeFrom="paragraph">
                  <wp:posOffset>56657</wp:posOffset>
                </wp:positionV>
                <wp:extent cx="524148" cy="3797300"/>
                <wp:effectExtent l="0" t="0" r="0" b="0"/>
                <wp:wrapNone/>
                <wp:docPr id="510120" name="Group 51012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367" name="Picture 56367"/>
                          <pic:cNvPicPr/>
                        </pic:nvPicPr>
                        <pic:blipFill>
                          <a:blip r:embed="rId62"/>
                          <a:stretch>
                            <a:fillRect/>
                          </a:stretch>
                        </pic:blipFill>
                        <pic:spPr>
                          <a:xfrm rot="-5399999">
                            <a:off x="-1720849" y="1720850"/>
                            <a:ext cx="3797299" cy="355600"/>
                          </a:xfrm>
                          <a:prstGeom prst="rect">
                            <a:avLst/>
                          </a:prstGeom>
                        </pic:spPr>
                      </pic:pic>
                      <wps:wsp>
                        <wps:cNvPr id="56368" name="Rectangle 5636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369" name="Rectangle 5636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firmado electrónicamente desde la pla</w:t>
                              </w:r>
                              <w:r>
                                <w:rPr>
                                  <w:rFonts w:ascii="Arial" w:eastAsia="Arial" w:hAnsi="Arial" w:cs="Arial"/>
                                  <w:sz w:val="12"/>
                                </w:rPr>
                                <w:t xml:space="preserve">taforma esPublico Gestiona | Página 322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0120" style="width:41.2715pt;height:299pt;position:absolute;z-index:-2147483520;mso-position-horizontal-relative:text;mso-position-horizontal:absolute;margin-left:547.46pt;mso-position-vertical-relative:text;margin-top:4.46121pt;" coordsize="5241,37973">
                <v:shape id="Picture 56367" style="position:absolute;width:37972;height:3556;left:-17208;top:17208;rotation:-89;" filled="f">
                  <v:imagedata r:id="rId63"/>
                </v:shape>
                <v:rect id="Rectangle 5636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36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322 de 353 </w:t>
                        </w:r>
                      </w:p>
                    </w:txbxContent>
                  </v:textbox>
                </v:rect>
              </v:group>
            </w:pict>
          </mc:Fallback>
        </mc:AlternateContent>
      </w:r>
      <w:r>
        <w:rPr>
          <w:rFonts w:ascii="Arial" w:eastAsia="Arial" w:hAnsi="Arial" w:cs="Arial"/>
        </w:rPr>
        <w:t xml:space="preserve">Finalmente, en abril de 2021, el Ayuntamiento de Candelaria contrata a </w:t>
      </w:r>
      <w:r>
        <w:rPr>
          <w:rFonts w:ascii="Arial" w:eastAsia="Arial" w:hAnsi="Arial" w:cs="Arial"/>
          <w:b/>
          <w:i/>
          <w:color w:val="0000FF"/>
        </w:rPr>
        <w:t>ADRIALE INGENIERÍA, S.L.</w:t>
      </w:r>
      <w:r>
        <w:rPr>
          <w:rFonts w:ascii="Arial" w:eastAsia="Arial" w:hAnsi="Arial" w:cs="Arial"/>
        </w:rPr>
        <w:t xml:space="preserve"> el presente Informe con el </w:t>
      </w:r>
      <w:r>
        <w:rPr>
          <w:rFonts w:ascii="Arial" w:eastAsia="Arial" w:hAnsi="Arial" w:cs="Arial"/>
          <w:b/>
        </w:rPr>
        <w:t xml:space="preserve">objeto </w:t>
      </w:r>
      <w:r>
        <w:rPr>
          <w:rFonts w:ascii="Arial" w:eastAsia="Arial" w:hAnsi="Arial" w:cs="Arial"/>
        </w:rPr>
        <w:t xml:space="preserve">de establecer la </w:t>
      </w:r>
      <w:r>
        <w:rPr>
          <w:rFonts w:ascii="Arial" w:eastAsia="Arial" w:hAnsi="Arial" w:cs="Arial"/>
          <w:b/>
        </w:rPr>
        <w:t>posible Innecesariedad</w:t>
      </w:r>
      <w:r>
        <w:rPr>
          <w:rFonts w:ascii="Arial" w:eastAsia="Arial" w:hAnsi="Arial" w:cs="Arial"/>
        </w:rPr>
        <w:t xml:space="preserve"> de los terrenos </w:t>
      </w:r>
      <w:r>
        <w:rPr>
          <w:rFonts w:ascii="Arial" w:eastAsia="Arial" w:hAnsi="Arial" w:cs="Arial"/>
          <w:b/>
        </w:rPr>
        <w:t>dentro del Dominio Púb</w:t>
      </w:r>
      <w:r>
        <w:rPr>
          <w:rFonts w:ascii="Arial" w:eastAsia="Arial" w:hAnsi="Arial" w:cs="Arial"/>
          <w:b/>
        </w:rPr>
        <w:t>lico Marítimo Terrestre</w:t>
      </w:r>
      <w:r>
        <w:rPr>
          <w:rFonts w:ascii="Arial" w:eastAsia="Arial" w:hAnsi="Arial" w:cs="Arial"/>
        </w:rPr>
        <w:t xml:space="preserve"> (DPMT) que han </w:t>
      </w:r>
      <w:r>
        <w:rPr>
          <w:rFonts w:ascii="Arial" w:eastAsia="Arial" w:hAnsi="Arial" w:cs="Arial"/>
          <w:b/>
        </w:rPr>
        <w:t>perdido sus características naturale</w:t>
      </w:r>
      <w:r>
        <w:rPr>
          <w:rFonts w:ascii="Arial" w:eastAsia="Arial" w:hAnsi="Arial" w:cs="Arial"/>
        </w:rPr>
        <w:t xml:space="preserve">s de </w:t>
      </w:r>
      <w:r>
        <w:rPr>
          <w:rFonts w:ascii="Arial" w:eastAsia="Arial" w:hAnsi="Arial" w:cs="Arial"/>
          <w:b/>
        </w:rPr>
        <w:t>Zona Marítimo Terrestre</w:t>
      </w:r>
      <w:r>
        <w:rPr>
          <w:rFonts w:ascii="Arial" w:eastAsia="Arial" w:hAnsi="Arial" w:cs="Arial"/>
        </w:rPr>
        <w:t xml:space="preserve"> en el litoral de Candelaria </w:t>
      </w:r>
      <w:r>
        <w:rPr>
          <w:rFonts w:ascii="Arial" w:eastAsia="Arial" w:hAnsi="Arial" w:cs="Arial"/>
          <w:b/>
        </w:rPr>
        <w:t>entre los mojones M-233 y M-250</w:t>
      </w:r>
      <w:r>
        <w:rPr>
          <w:rFonts w:ascii="Arial" w:eastAsia="Arial" w:hAnsi="Arial" w:cs="Arial"/>
        </w:rPr>
        <w:t xml:space="preserve"> del </w:t>
      </w:r>
      <w:r>
        <w:rPr>
          <w:rFonts w:ascii="Arial" w:eastAsia="Arial" w:hAnsi="Arial" w:cs="Arial"/>
          <w:b/>
        </w:rPr>
        <w:t>deslinde con referencia DL-107-TF</w:t>
      </w:r>
      <w:r>
        <w:rPr>
          <w:rFonts w:ascii="Arial" w:eastAsia="Arial" w:hAnsi="Arial" w:cs="Arial"/>
        </w:rPr>
        <w:t xml:space="preserve">, al </w:t>
      </w:r>
      <w:r>
        <w:rPr>
          <w:rFonts w:ascii="Arial" w:eastAsia="Arial" w:hAnsi="Arial" w:cs="Arial"/>
          <w:b/>
        </w:rPr>
        <w:t>efecto de poder solicitar su desafección.</w:t>
      </w:r>
      <w:r>
        <w:rPr>
          <w:rFonts w:ascii="Verdana" w:eastAsia="Verdana" w:hAnsi="Verdana" w:cs="Verdana"/>
          <w:sz w:val="24"/>
        </w:rPr>
        <w:t xml:space="preserve"> </w:t>
      </w:r>
    </w:p>
    <w:p w:rsidR="00FF384B" w:rsidRDefault="003E3BA9">
      <w:pPr>
        <w:spacing w:after="105"/>
        <w:ind w:left="427"/>
      </w:pPr>
      <w:r>
        <w:rPr>
          <w:rFonts w:ascii="Arial" w:eastAsia="Arial" w:hAnsi="Arial" w:cs="Arial"/>
        </w:rPr>
        <w:t xml:space="preserve"> </w:t>
      </w:r>
    </w:p>
    <w:p w:rsidR="00FF384B" w:rsidRDefault="003E3BA9">
      <w:pPr>
        <w:spacing w:after="105"/>
        <w:ind w:left="427"/>
      </w:pPr>
      <w:r>
        <w:rPr>
          <w:rFonts w:ascii="Arial" w:eastAsia="Arial" w:hAnsi="Arial" w:cs="Arial"/>
        </w:rPr>
        <w:t xml:space="preserve"> </w:t>
      </w:r>
    </w:p>
    <w:p w:rsidR="00FF384B" w:rsidRDefault="003E3BA9">
      <w:pPr>
        <w:numPr>
          <w:ilvl w:val="0"/>
          <w:numId w:val="334"/>
        </w:numPr>
        <w:spacing w:after="118" w:line="247" w:lineRule="auto"/>
        <w:ind w:hanging="238"/>
        <w:jc w:val="both"/>
      </w:pPr>
      <w:r>
        <w:rPr>
          <w:rFonts w:ascii="Arial" w:eastAsia="Arial" w:hAnsi="Arial" w:cs="Arial"/>
          <w:b/>
        </w:rPr>
        <w:t>DAT</w:t>
      </w:r>
      <w:r>
        <w:rPr>
          <w:rFonts w:ascii="Arial" w:eastAsia="Arial" w:hAnsi="Arial" w:cs="Arial"/>
          <w:b/>
        </w:rPr>
        <w:t xml:space="preserve">OS DE PARTIDA </w:t>
      </w:r>
    </w:p>
    <w:p w:rsidR="00FF384B" w:rsidRDefault="003E3BA9">
      <w:pPr>
        <w:spacing w:after="103"/>
        <w:ind w:left="427"/>
      </w:pPr>
      <w:r>
        <w:rPr>
          <w:rFonts w:ascii="Arial" w:eastAsia="Arial" w:hAnsi="Arial" w:cs="Arial"/>
        </w:rPr>
        <w:t xml:space="preserve"> </w:t>
      </w:r>
    </w:p>
    <w:p w:rsidR="00FF384B" w:rsidRDefault="003E3BA9">
      <w:pPr>
        <w:spacing w:after="5" w:line="349" w:lineRule="auto"/>
        <w:ind w:left="437" w:right="8" w:hanging="10"/>
        <w:jc w:val="both"/>
      </w:pPr>
      <w:r>
        <w:rPr>
          <w:rFonts w:ascii="Arial" w:eastAsia="Arial" w:hAnsi="Arial" w:cs="Arial"/>
        </w:rPr>
        <w:t xml:space="preserve">Para la redacción del presente Documento se han mantenido </w:t>
      </w:r>
      <w:r>
        <w:rPr>
          <w:rFonts w:ascii="Arial" w:eastAsia="Arial" w:hAnsi="Arial" w:cs="Arial"/>
          <w:b/>
        </w:rPr>
        <w:t>reuniones</w:t>
      </w:r>
      <w:r>
        <w:rPr>
          <w:rFonts w:ascii="Arial" w:eastAsia="Arial" w:hAnsi="Arial" w:cs="Arial"/>
        </w:rPr>
        <w:t xml:space="preserve"> tanto con el </w:t>
      </w:r>
      <w:r>
        <w:rPr>
          <w:rFonts w:ascii="Arial" w:eastAsia="Arial" w:hAnsi="Arial" w:cs="Arial"/>
          <w:b/>
        </w:rPr>
        <w:t>Ayuntamiento de Candelaria</w:t>
      </w:r>
      <w:r>
        <w:rPr>
          <w:rFonts w:ascii="Arial" w:eastAsia="Arial" w:hAnsi="Arial" w:cs="Arial"/>
        </w:rPr>
        <w:t xml:space="preserve">, como con la </w:t>
      </w:r>
      <w:r>
        <w:rPr>
          <w:rFonts w:ascii="Arial" w:eastAsia="Arial" w:hAnsi="Arial" w:cs="Arial"/>
          <w:b/>
        </w:rPr>
        <w:t>Demarcación de Costas de la Provincia de Tenerife</w:t>
      </w:r>
      <w:r>
        <w:rPr>
          <w:rFonts w:ascii="Arial" w:eastAsia="Arial" w:hAnsi="Arial" w:cs="Arial"/>
        </w:rPr>
        <w:t xml:space="preserve">, al objeto de </w:t>
      </w:r>
      <w:r>
        <w:rPr>
          <w:rFonts w:ascii="Arial" w:eastAsia="Arial" w:hAnsi="Arial" w:cs="Arial"/>
          <w:b/>
        </w:rPr>
        <w:t xml:space="preserve">recabar </w:t>
      </w:r>
      <w:r>
        <w:rPr>
          <w:rFonts w:ascii="Arial" w:eastAsia="Arial" w:hAnsi="Arial" w:cs="Arial"/>
        </w:rPr>
        <w:t xml:space="preserve">cuanta </w:t>
      </w:r>
      <w:r>
        <w:rPr>
          <w:rFonts w:ascii="Arial" w:eastAsia="Arial" w:hAnsi="Arial" w:cs="Arial"/>
          <w:b/>
        </w:rPr>
        <w:t>información</w:t>
      </w:r>
      <w:r>
        <w:rPr>
          <w:rFonts w:ascii="Arial" w:eastAsia="Arial" w:hAnsi="Arial" w:cs="Arial"/>
        </w:rPr>
        <w:t xml:space="preserve">  </w:t>
      </w:r>
      <w:r>
        <w:rPr>
          <w:rFonts w:ascii="Arial" w:eastAsia="Arial" w:hAnsi="Arial" w:cs="Arial"/>
        </w:rPr>
        <w:t xml:space="preserve">dispusiesen acerca de las actuaciones llevadas a cabo en </w:t>
      </w:r>
      <w:r>
        <w:rPr>
          <w:rFonts w:ascii="Arial" w:eastAsia="Arial" w:hAnsi="Arial" w:cs="Arial"/>
          <w:b/>
        </w:rPr>
        <w:t>Bajo La Cuesta</w:t>
      </w:r>
      <w:r>
        <w:rPr>
          <w:rFonts w:ascii="Arial" w:eastAsia="Arial" w:hAnsi="Arial" w:cs="Arial"/>
        </w:rPr>
        <w:t xml:space="preserve">. Las </w:t>
      </w:r>
      <w:r>
        <w:rPr>
          <w:rFonts w:ascii="Arial" w:eastAsia="Arial" w:hAnsi="Arial" w:cs="Arial"/>
          <w:b/>
        </w:rPr>
        <w:t>conclusiones</w:t>
      </w:r>
      <w:r>
        <w:rPr>
          <w:rFonts w:ascii="Arial" w:eastAsia="Arial" w:hAnsi="Arial" w:cs="Arial"/>
        </w:rPr>
        <w:t xml:space="preserve"> a las que se llegan en este Documento son </w:t>
      </w:r>
      <w:r>
        <w:rPr>
          <w:rFonts w:ascii="Arial" w:eastAsia="Arial" w:hAnsi="Arial" w:cs="Arial"/>
          <w:b/>
        </w:rPr>
        <w:t>resultado en parte de dicha información recabada</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5" w:line="359" w:lineRule="auto"/>
        <w:ind w:left="437" w:right="4" w:hanging="10"/>
        <w:jc w:val="both"/>
      </w:pPr>
      <w:r>
        <w:rPr>
          <w:rFonts w:ascii="Arial" w:eastAsia="Arial" w:hAnsi="Arial" w:cs="Arial"/>
        </w:rPr>
        <w:t xml:space="preserve">Así, referente a la ejecución de la </w:t>
      </w:r>
      <w:r>
        <w:rPr>
          <w:rFonts w:ascii="Arial" w:eastAsia="Arial" w:hAnsi="Arial" w:cs="Arial"/>
          <w:b/>
        </w:rPr>
        <w:t>explanada</w:t>
      </w:r>
      <w:r>
        <w:rPr>
          <w:rFonts w:ascii="Arial" w:eastAsia="Arial" w:hAnsi="Arial" w:cs="Arial"/>
        </w:rPr>
        <w:t xml:space="preserve"> que sirve de base a la </w:t>
      </w:r>
      <w:r>
        <w:rPr>
          <w:rFonts w:ascii="Arial" w:eastAsia="Arial" w:hAnsi="Arial" w:cs="Arial"/>
          <w:b/>
        </w:rPr>
        <w:t>Calle Manuel Oliva Martín</w:t>
      </w:r>
      <w:r>
        <w:rPr>
          <w:rFonts w:ascii="Arial" w:eastAsia="Arial" w:hAnsi="Arial" w:cs="Arial"/>
        </w:rPr>
        <w:t xml:space="preserve">, </w:t>
      </w:r>
      <w:r>
        <w:rPr>
          <w:rFonts w:ascii="Arial" w:eastAsia="Arial" w:hAnsi="Arial" w:cs="Arial"/>
          <w:b/>
        </w:rPr>
        <w:t>no se tiene constancia de haber Autorizado</w:t>
      </w:r>
      <w:r>
        <w:rPr>
          <w:rFonts w:ascii="Arial" w:eastAsia="Arial" w:hAnsi="Arial" w:cs="Arial"/>
        </w:rPr>
        <w:t xml:space="preserve"> su ejecución ni desde el </w:t>
      </w:r>
      <w:r>
        <w:rPr>
          <w:rFonts w:ascii="Arial" w:eastAsia="Arial" w:hAnsi="Arial" w:cs="Arial"/>
          <w:b/>
        </w:rPr>
        <w:t>Ayuntamiento</w:t>
      </w:r>
      <w:r>
        <w:rPr>
          <w:rFonts w:ascii="Arial" w:eastAsia="Arial" w:hAnsi="Arial" w:cs="Arial"/>
        </w:rPr>
        <w:t xml:space="preserve"> ni desde</w:t>
      </w:r>
      <w:r>
        <w:rPr>
          <w:rFonts w:ascii="Arial" w:eastAsia="Arial" w:hAnsi="Arial" w:cs="Arial"/>
          <w:sz w:val="24"/>
        </w:rPr>
        <w:t xml:space="preserve"> l</w:t>
      </w:r>
      <w:r>
        <w:rPr>
          <w:rFonts w:ascii="Arial" w:eastAsia="Arial" w:hAnsi="Arial" w:cs="Arial"/>
        </w:rPr>
        <w:t xml:space="preserve">a </w:t>
      </w:r>
      <w:r>
        <w:rPr>
          <w:rFonts w:ascii="Arial" w:eastAsia="Arial" w:hAnsi="Arial" w:cs="Arial"/>
          <w:b/>
        </w:rPr>
        <w:t>Demarcación de Costas de Tenerife</w:t>
      </w:r>
      <w:r>
        <w:rPr>
          <w:rFonts w:ascii="Arial" w:eastAsia="Arial" w:hAnsi="Arial" w:cs="Arial"/>
        </w:rPr>
        <w:t xml:space="preserve">. Únicamente se cuenta en el Ayuntamiento de una serie de expedientes de </w:t>
      </w:r>
      <w:r>
        <w:rPr>
          <w:rFonts w:ascii="Arial" w:eastAsia="Arial" w:hAnsi="Arial" w:cs="Arial"/>
          <w:b/>
        </w:rPr>
        <w:t>obras para la urbanización</w:t>
      </w:r>
      <w:r>
        <w:rPr>
          <w:rFonts w:ascii="Arial" w:eastAsia="Arial" w:hAnsi="Arial" w:cs="Arial"/>
        </w:rPr>
        <w:t xml:space="preserve"> de </w:t>
      </w:r>
      <w:r>
        <w:rPr>
          <w:rFonts w:ascii="Arial" w:eastAsia="Arial" w:hAnsi="Arial" w:cs="Arial"/>
        </w:rPr>
        <w:t>la misma.</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41" w:lineRule="auto"/>
        <w:ind w:left="415" w:hanging="3"/>
        <w:jc w:val="both"/>
      </w:pPr>
      <w:r>
        <w:rPr>
          <w:rFonts w:ascii="Arial" w:eastAsia="Arial" w:hAnsi="Arial" w:cs="Arial"/>
        </w:rPr>
        <w:t xml:space="preserve">En cuanto a las </w:t>
      </w:r>
      <w:r>
        <w:rPr>
          <w:rFonts w:ascii="Arial" w:eastAsia="Arial" w:hAnsi="Arial" w:cs="Arial"/>
          <w:b/>
        </w:rPr>
        <w:t>viviendas que se encuentran dentro del DPMT</w:t>
      </w:r>
      <w:r>
        <w:rPr>
          <w:rFonts w:ascii="Arial" w:eastAsia="Arial" w:hAnsi="Arial" w:cs="Arial"/>
        </w:rPr>
        <w:t xml:space="preserve">, </w:t>
      </w:r>
      <w:r>
        <w:rPr>
          <w:rFonts w:ascii="Arial" w:eastAsia="Arial" w:hAnsi="Arial" w:cs="Arial"/>
          <w:b/>
        </w:rPr>
        <w:t>no se ha podido constatar la existencia de títulos de propiedad</w:t>
      </w:r>
      <w:r>
        <w:rPr>
          <w:rFonts w:ascii="Arial" w:eastAsia="Arial" w:hAnsi="Arial" w:cs="Arial"/>
        </w:rPr>
        <w:t xml:space="preserve"> ni por parte del Ayuntamiento ni por parte de la Demarcación de Costas.</w:t>
      </w:r>
      <w:r>
        <w:rPr>
          <w:rFonts w:ascii="Times New Roman" w:eastAsia="Times New Roman" w:hAnsi="Times New Roman" w:cs="Times New Roman"/>
          <w:sz w:val="24"/>
        </w:rPr>
        <w:t xml:space="preserve"> </w:t>
      </w:r>
    </w:p>
    <w:p w:rsidR="00FF384B" w:rsidRDefault="003E3BA9">
      <w:pPr>
        <w:spacing w:after="105"/>
        <w:ind w:left="427"/>
      </w:pPr>
      <w:r>
        <w:rPr>
          <w:rFonts w:ascii="Arial" w:eastAsia="Arial" w:hAnsi="Arial" w:cs="Arial"/>
        </w:rPr>
        <w:t xml:space="preserve"> </w:t>
      </w:r>
    </w:p>
    <w:p w:rsidR="00FF384B" w:rsidRDefault="003E3BA9">
      <w:pPr>
        <w:spacing w:after="103"/>
        <w:ind w:left="427"/>
      </w:pPr>
      <w:r>
        <w:rPr>
          <w:rFonts w:ascii="Arial" w:eastAsia="Arial" w:hAnsi="Arial" w:cs="Arial"/>
        </w:rPr>
        <w:t xml:space="preserve"> </w:t>
      </w:r>
    </w:p>
    <w:p w:rsidR="00FF384B" w:rsidRDefault="003E3BA9">
      <w:pPr>
        <w:numPr>
          <w:ilvl w:val="0"/>
          <w:numId w:val="334"/>
        </w:numPr>
        <w:spacing w:after="118" w:line="247" w:lineRule="auto"/>
        <w:ind w:hanging="238"/>
        <w:jc w:val="both"/>
      </w:pPr>
      <w:r>
        <w:rPr>
          <w:rFonts w:ascii="Arial" w:eastAsia="Arial" w:hAnsi="Arial" w:cs="Arial"/>
          <w:b/>
        </w:rPr>
        <w:t>DESCRIPCIÓN URBANÍSTICA DEL ÁMBITO DE COS</w:t>
      </w:r>
      <w:r>
        <w:rPr>
          <w:rFonts w:ascii="Arial" w:eastAsia="Arial" w:hAnsi="Arial" w:cs="Arial"/>
          <w:b/>
        </w:rPr>
        <w:t xml:space="preserve">TA OBJETO DE INFORME </w:t>
      </w:r>
    </w:p>
    <w:p w:rsidR="00FF384B" w:rsidRDefault="003E3BA9">
      <w:pPr>
        <w:spacing w:after="105"/>
        <w:ind w:left="427"/>
      </w:pPr>
      <w:r>
        <w:rPr>
          <w:rFonts w:ascii="Arial" w:eastAsia="Arial" w:hAnsi="Arial" w:cs="Arial"/>
        </w:rPr>
        <w:t xml:space="preserve"> </w:t>
      </w:r>
    </w:p>
    <w:p w:rsidR="00FF384B" w:rsidRDefault="003E3BA9">
      <w:pPr>
        <w:spacing w:after="5" w:line="354" w:lineRule="auto"/>
        <w:ind w:left="437" w:right="5" w:hanging="10"/>
        <w:jc w:val="both"/>
      </w:pPr>
      <w:r>
        <w:rPr>
          <w:noProof/>
        </w:rPr>
        <mc:AlternateContent>
          <mc:Choice Requires="wpg">
            <w:drawing>
              <wp:anchor distT="0" distB="0" distL="114300" distR="114300" simplePos="0" relativeHeight="251987968" behindDoc="1" locked="0" layoutInCell="1" allowOverlap="1">
                <wp:simplePos x="0" y="0"/>
                <wp:positionH relativeFrom="column">
                  <wp:posOffset>6952743</wp:posOffset>
                </wp:positionH>
                <wp:positionV relativeFrom="paragraph">
                  <wp:posOffset>-206993</wp:posOffset>
                </wp:positionV>
                <wp:extent cx="524148" cy="3797300"/>
                <wp:effectExtent l="0" t="0" r="0" b="0"/>
                <wp:wrapNone/>
                <wp:docPr id="510213" name="Group 51021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491" name="Picture 56491"/>
                          <pic:cNvPicPr/>
                        </pic:nvPicPr>
                        <pic:blipFill>
                          <a:blip r:embed="rId62"/>
                          <a:stretch>
                            <a:fillRect/>
                          </a:stretch>
                        </pic:blipFill>
                        <pic:spPr>
                          <a:xfrm rot="-5399999">
                            <a:off x="-1720849" y="1720850"/>
                            <a:ext cx="3797299" cy="355600"/>
                          </a:xfrm>
                          <a:prstGeom prst="rect">
                            <a:avLst/>
                          </a:prstGeom>
                        </pic:spPr>
                      </pic:pic>
                      <wps:wsp>
                        <wps:cNvPr id="56492" name="Rectangle 5649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493" name="Rectangle 5649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0213" style="width:41.2715pt;height:299pt;position:absolute;z-index:-2147483541;mso-position-horizontal-relative:text;mso-position-horizontal:absolute;margin-left:547.46pt;mso-position-vertical-relative:text;margin-top:-16.2988pt;" coordsize="5241,37973">
                <v:shape id="Picture 56491" style="position:absolute;width:37972;height:3556;left:-17208;top:17208;rotation:-89;" filled="f">
                  <v:imagedata r:id="rId63"/>
                </v:shape>
                <v:rect id="Rectangle 5649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49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323 de 353 </w:t>
                        </w:r>
                      </w:p>
                    </w:txbxContent>
                  </v:textbox>
                </v:rect>
              </v:group>
            </w:pict>
          </mc:Fallback>
        </mc:AlternateContent>
      </w:r>
      <w:r>
        <w:rPr>
          <w:rFonts w:ascii="Arial" w:eastAsia="Arial" w:hAnsi="Arial" w:cs="Arial"/>
        </w:rPr>
        <w:t xml:space="preserve">El tramo de costa sobre el que se </w:t>
      </w:r>
      <w:r>
        <w:rPr>
          <w:rFonts w:ascii="Arial" w:eastAsia="Arial" w:hAnsi="Arial" w:cs="Arial"/>
        </w:rPr>
        <w:t xml:space="preserve">pretende solicitar la innecesariedad de los terrenos que se encuentran dentro del Dominio Público Marítimo Terrestre (DPMT), se encuentra entre la Central de UNELCO y el Círculo de Amistad XII de Enero. Se corresponde con el </w:t>
      </w:r>
      <w:r>
        <w:rPr>
          <w:rFonts w:ascii="Arial" w:eastAsia="Arial" w:hAnsi="Arial" w:cs="Arial"/>
          <w:b/>
        </w:rPr>
        <w:t>núcleo costero de Bajo La Cuest</w:t>
      </w:r>
      <w:r>
        <w:rPr>
          <w:rFonts w:ascii="Arial" w:eastAsia="Arial" w:hAnsi="Arial" w:cs="Arial"/>
          <w:b/>
        </w:rPr>
        <w:t>a</w:t>
      </w:r>
      <w:r>
        <w:rPr>
          <w:rFonts w:ascii="Arial" w:eastAsia="Arial" w:hAnsi="Arial" w:cs="Arial"/>
        </w:rPr>
        <w:t>, el cual s</w:t>
      </w:r>
      <w:r>
        <w:rPr>
          <w:rFonts w:ascii="Arial" w:eastAsia="Arial" w:hAnsi="Arial" w:cs="Arial"/>
          <w:b/>
        </w:rPr>
        <w:t>e desarrolló en el inicio de la década de los años 70 del siglo XX,</w:t>
      </w:r>
      <w:r>
        <w:rPr>
          <w:rFonts w:ascii="Arial" w:eastAsia="Arial" w:hAnsi="Arial" w:cs="Arial"/>
        </w:rPr>
        <w:t xml:space="preserve"> estando </w:t>
      </w:r>
      <w:r>
        <w:rPr>
          <w:rFonts w:ascii="Arial" w:eastAsia="Arial" w:hAnsi="Arial" w:cs="Arial"/>
          <w:b/>
        </w:rPr>
        <w:t xml:space="preserve">constituido en la actualidad por unas 42 parcelas catastrales (hasta el Paso de La Soga) que se encuentran en su mayor parte edificadas, </w:t>
      </w:r>
      <w:r>
        <w:rPr>
          <w:rFonts w:ascii="Arial" w:eastAsia="Arial" w:hAnsi="Arial" w:cs="Arial"/>
        </w:rPr>
        <w:t xml:space="preserve">mientras que al </w:t>
      </w:r>
      <w:r>
        <w:rPr>
          <w:rFonts w:ascii="Arial" w:eastAsia="Arial" w:hAnsi="Arial" w:cs="Arial"/>
          <w:b/>
        </w:rPr>
        <w:t xml:space="preserve">Norte del Paso </w:t>
      </w:r>
      <w:r>
        <w:rPr>
          <w:rFonts w:ascii="Arial" w:eastAsia="Arial" w:hAnsi="Arial" w:cs="Arial"/>
          <w:b/>
        </w:rPr>
        <w:t>de La Soga</w:t>
      </w:r>
      <w:r>
        <w:rPr>
          <w:rFonts w:ascii="Arial" w:eastAsia="Arial" w:hAnsi="Arial" w:cs="Arial"/>
        </w:rPr>
        <w:t xml:space="preserve"> se encuentra </w:t>
      </w:r>
      <w:r>
        <w:rPr>
          <w:rFonts w:ascii="Arial" w:eastAsia="Arial" w:hAnsi="Arial" w:cs="Arial"/>
          <w:b/>
        </w:rPr>
        <w:t>una única referencia catastral</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49" w:lineRule="auto"/>
        <w:ind w:left="415" w:hanging="3"/>
        <w:jc w:val="both"/>
      </w:pPr>
      <w:r>
        <w:rPr>
          <w:rFonts w:ascii="Arial" w:eastAsia="Arial" w:hAnsi="Arial" w:cs="Arial"/>
        </w:rPr>
        <w:t xml:space="preserve">Las </w:t>
      </w:r>
      <w:r>
        <w:rPr>
          <w:rFonts w:ascii="Arial" w:eastAsia="Arial" w:hAnsi="Arial" w:cs="Arial"/>
          <w:b/>
        </w:rPr>
        <w:t>Normas Subsidiarias de Planeamiento Urbano</w:t>
      </w:r>
      <w:r>
        <w:rPr>
          <w:rFonts w:ascii="Arial" w:eastAsia="Arial" w:hAnsi="Arial" w:cs="Arial"/>
        </w:rPr>
        <w:t xml:space="preserve"> de Candelaria, fueron </w:t>
      </w:r>
      <w:r>
        <w:rPr>
          <w:rFonts w:ascii="Arial" w:eastAsia="Arial" w:hAnsi="Arial" w:cs="Arial"/>
          <w:b/>
        </w:rPr>
        <w:t>aprobadas por el Ayuntamiento Pleno</w:t>
      </w:r>
      <w:r>
        <w:rPr>
          <w:rFonts w:ascii="Arial" w:eastAsia="Arial" w:hAnsi="Arial" w:cs="Arial"/>
        </w:rPr>
        <w:t xml:space="preserve"> en Sesión Ordinaria de </w:t>
      </w:r>
      <w:r>
        <w:rPr>
          <w:rFonts w:ascii="Arial" w:eastAsia="Arial" w:hAnsi="Arial" w:cs="Arial"/>
          <w:b/>
        </w:rPr>
        <w:t>fecha 30 de septiembre de 1.988</w:t>
      </w:r>
      <w:r>
        <w:rPr>
          <w:rFonts w:ascii="Arial" w:eastAsia="Arial" w:hAnsi="Arial" w:cs="Arial"/>
        </w:rPr>
        <w:t xml:space="preserve">, a efectos de </w:t>
      </w:r>
      <w:r>
        <w:rPr>
          <w:rFonts w:ascii="Arial" w:eastAsia="Arial" w:hAnsi="Arial" w:cs="Arial"/>
          <w:b/>
        </w:rPr>
        <w:t>dar cumplimiento</w:t>
      </w:r>
      <w:r>
        <w:rPr>
          <w:rFonts w:ascii="Arial" w:eastAsia="Arial" w:hAnsi="Arial" w:cs="Arial"/>
        </w:rPr>
        <w:t xml:space="preserve"> a la </w:t>
      </w:r>
      <w:r>
        <w:rPr>
          <w:rFonts w:ascii="Arial" w:eastAsia="Arial" w:hAnsi="Arial" w:cs="Arial"/>
          <w:b/>
        </w:rPr>
        <w:t>condición fijada</w:t>
      </w:r>
      <w:r>
        <w:rPr>
          <w:rFonts w:ascii="Arial" w:eastAsia="Arial" w:hAnsi="Arial" w:cs="Arial"/>
        </w:rPr>
        <w:t xml:space="preserve"> en el acuerdo </w:t>
      </w:r>
      <w:r>
        <w:rPr>
          <w:rFonts w:ascii="Arial" w:eastAsia="Arial" w:hAnsi="Arial" w:cs="Arial"/>
          <w:b/>
        </w:rPr>
        <w:t>de fecha 17 de noviembre de 1.987 de la Comisión de Urbanismo y Medio Ambiente de Canarias.</w:t>
      </w:r>
      <w:r>
        <w:rPr>
          <w:rFonts w:ascii="Times New Roman" w:eastAsia="Times New Roman" w:hAnsi="Times New Roman" w:cs="Times New Roman"/>
          <w:sz w:val="24"/>
        </w:rPr>
        <w:t xml:space="preserve"> </w:t>
      </w:r>
    </w:p>
    <w:p w:rsidR="00FF384B" w:rsidRDefault="003E3BA9">
      <w:pPr>
        <w:spacing w:after="109"/>
        <w:ind w:left="427"/>
      </w:pPr>
      <w:r>
        <w:rPr>
          <w:rFonts w:ascii="Arial" w:eastAsia="Arial" w:hAnsi="Arial" w:cs="Arial"/>
        </w:rPr>
        <w:t xml:space="preserve"> </w:t>
      </w:r>
    </w:p>
    <w:p w:rsidR="00FF384B" w:rsidRDefault="003E3BA9">
      <w:pPr>
        <w:spacing w:after="15" w:line="340" w:lineRule="auto"/>
        <w:ind w:left="415" w:hanging="3"/>
        <w:jc w:val="both"/>
      </w:pPr>
      <w:r>
        <w:rPr>
          <w:rFonts w:ascii="Arial" w:eastAsia="Arial" w:hAnsi="Arial" w:cs="Arial"/>
        </w:rPr>
        <w:t>Las mismas otorgaron la calificación de “</w:t>
      </w:r>
      <w:r>
        <w:rPr>
          <w:rFonts w:ascii="Arial" w:eastAsia="Arial" w:hAnsi="Arial" w:cs="Arial"/>
          <w:b/>
        </w:rPr>
        <w:t>Suelo Urbano en Núcleo Contínuo (Z2)</w:t>
      </w:r>
      <w:r>
        <w:rPr>
          <w:rFonts w:ascii="Arial" w:eastAsia="Arial" w:hAnsi="Arial" w:cs="Arial"/>
        </w:rPr>
        <w:t xml:space="preserve">” al tramo </w:t>
      </w:r>
      <w:r>
        <w:rPr>
          <w:rFonts w:ascii="Arial" w:eastAsia="Arial" w:hAnsi="Arial" w:cs="Arial"/>
          <w:b/>
        </w:rPr>
        <w:t>entre la Central de Unelco y el Acantilado</w:t>
      </w:r>
      <w:r>
        <w:rPr>
          <w:rFonts w:ascii="Arial" w:eastAsia="Arial" w:hAnsi="Arial" w:cs="Arial"/>
          <w:b/>
        </w:rPr>
        <w:t xml:space="preserve"> del Morro (Paso de La Soga</w:t>
      </w:r>
      <w:r>
        <w:rPr>
          <w:rFonts w:ascii="Arial" w:eastAsia="Arial" w:hAnsi="Arial" w:cs="Arial"/>
        </w:rPr>
        <w:t xml:space="preserve">), y como </w:t>
      </w:r>
      <w:r>
        <w:rPr>
          <w:rFonts w:ascii="Arial" w:eastAsia="Arial" w:hAnsi="Arial" w:cs="Arial"/>
          <w:b/>
        </w:rPr>
        <w:t>Suelo No Urbanizable</w:t>
      </w:r>
      <w:r>
        <w:rPr>
          <w:rFonts w:ascii="Arial" w:eastAsia="Arial" w:hAnsi="Arial" w:cs="Arial"/>
        </w:rPr>
        <w:t xml:space="preserve"> al tramo </w:t>
      </w:r>
      <w:r>
        <w:rPr>
          <w:rFonts w:ascii="Arial" w:eastAsia="Arial" w:hAnsi="Arial" w:cs="Arial"/>
          <w:b/>
        </w:rPr>
        <w:t>entre el Paso de Soga y el Círculo de Amistad XII de Enero</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0"/>
        <w:ind w:left="427"/>
      </w:pPr>
      <w:r>
        <w:rPr>
          <w:noProof/>
        </w:rPr>
        <mc:AlternateContent>
          <mc:Choice Requires="wpg">
            <w:drawing>
              <wp:inline distT="0" distB="0" distL="0" distR="0">
                <wp:extent cx="7555738" cy="6024372"/>
                <wp:effectExtent l="0" t="0" r="0" b="0"/>
                <wp:docPr id="509969" name="Group 509969"/>
                <wp:cNvGraphicFramePr/>
                <a:graphic xmlns:a="http://schemas.openxmlformats.org/drawingml/2006/main">
                  <a:graphicData uri="http://schemas.microsoft.com/office/word/2010/wordprocessingGroup">
                    <wpg:wgp>
                      <wpg:cNvGrpSpPr/>
                      <wpg:grpSpPr>
                        <a:xfrm>
                          <a:off x="0" y="0"/>
                          <a:ext cx="7555738" cy="6024372"/>
                          <a:chOff x="0" y="0"/>
                          <a:chExt cx="7555738" cy="6024372"/>
                        </a:xfrm>
                      </wpg:grpSpPr>
                      <wps:wsp>
                        <wps:cNvPr id="56512" name="Rectangle 56512"/>
                        <wps:cNvSpPr/>
                        <wps:spPr>
                          <a:xfrm>
                            <a:off x="7517638" y="4917542"/>
                            <a:ext cx="50673" cy="224381"/>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513" name="Rectangle 56513"/>
                        <wps:cNvSpPr/>
                        <wps:spPr>
                          <a:xfrm>
                            <a:off x="0" y="5143957"/>
                            <a:ext cx="56314" cy="226002"/>
                          </a:xfrm>
                          <a:prstGeom prst="rect">
                            <a:avLst/>
                          </a:prstGeom>
                          <a:ln>
                            <a:noFill/>
                          </a:ln>
                        </wps:spPr>
                        <wps:txbx>
                          <w:txbxContent>
                            <w:p w:rsidR="00FF384B" w:rsidRDefault="003E3BA9">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56515" name="Picture 56515"/>
                          <pic:cNvPicPr/>
                        </pic:nvPicPr>
                        <pic:blipFill>
                          <a:blip r:embed="rId151"/>
                          <a:stretch>
                            <a:fillRect/>
                          </a:stretch>
                        </pic:blipFill>
                        <pic:spPr>
                          <a:xfrm>
                            <a:off x="1687068" y="0"/>
                            <a:ext cx="5821680" cy="5050536"/>
                          </a:xfrm>
                          <a:prstGeom prst="rect">
                            <a:avLst/>
                          </a:prstGeom>
                        </pic:spPr>
                      </pic:pic>
                      <wps:wsp>
                        <wps:cNvPr id="56516" name="Shape 56516"/>
                        <wps:cNvSpPr/>
                        <wps:spPr>
                          <a:xfrm>
                            <a:off x="3259074" y="890778"/>
                            <a:ext cx="1321308" cy="1066800"/>
                          </a:xfrm>
                          <a:custGeom>
                            <a:avLst/>
                            <a:gdLst/>
                            <a:ahLst/>
                            <a:cxnLst/>
                            <a:rect l="0" t="0" r="0" b="0"/>
                            <a:pathLst>
                              <a:path w="1321308" h="1066800">
                                <a:moveTo>
                                  <a:pt x="0" y="533400"/>
                                </a:moveTo>
                                <a:cubicBezTo>
                                  <a:pt x="0" y="238760"/>
                                  <a:pt x="295783" y="0"/>
                                  <a:pt x="660654" y="0"/>
                                </a:cubicBezTo>
                                <a:cubicBezTo>
                                  <a:pt x="1025525" y="0"/>
                                  <a:pt x="1321308" y="238760"/>
                                  <a:pt x="1321308" y="533400"/>
                                </a:cubicBezTo>
                                <a:cubicBezTo>
                                  <a:pt x="1321308" y="828040"/>
                                  <a:pt x="1025525" y="1066800"/>
                                  <a:pt x="660654" y="1066800"/>
                                </a:cubicBezTo>
                                <a:cubicBezTo>
                                  <a:pt x="295783" y="1066800"/>
                                  <a:pt x="0" y="828040"/>
                                  <a:pt x="0" y="533400"/>
                                </a:cubicBezTo>
                                <a:close/>
                              </a:path>
                            </a:pathLst>
                          </a:custGeom>
                          <a:ln w="28956"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6518" name="Picture 56518"/>
                          <pic:cNvPicPr/>
                        </pic:nvPicPr>
                        <pic:blipFill>
                          <a:blip r:embed="rId62"/>
                          <a:stretch>
                            <a:fillRect/>
                          </a:stretch>
                        </pic:blipFill>
                        <pic:spPr>
                          <a:xfrm rot="-5399999">
                            <a:off x="4960621" y="3947922"/>
                            <a:ext cx="3797299" cy="355600"/>
                          </a:xfrm>
                          <a:prstGeom prst="rect">
                            <a:avLst/>
                          </a:prstGeom>
                        </pic:spPr>
                      </pic:pic>
                      <wps:wsp>
                        <wps:cNvPr id="56519" name="Rectangle 56519"/>
                        <wps:cNvSpPr/>
                        <wps:spPr>
                          <a:xfrm rot="-5399999">
                            <a:off x="4732952" y="3599811"/>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520" name="Rectangle 56520"/>
                        <wps:cNvSpPr/>
                        <wps:spPr>
                          <a:xfrm rot="-5399999">
                            <a:off x="4945715" y="3736376"/>
                            <a:ext cx="4462771" cy="113222"/>
                          </a:xfrm>
                          <a:prstGeom prst="rect">
                            <a:avLst/>
                          </a:prstGeom>
                          <a:ln>
                            <a:noFill/>
                          </a:ln>
                        </wps:spPr>
                        <wps:txbx>
                          <w:txbxContent>
                            <w:p w:rsidR="00FF384B" w:rsidRDefault="003E3BA9">
                              <w:r>
                                <w:rPr>
                                  <w:rFonts w:ascii="Arial" w:eastAsia="Arial" w:hAnsi="Arial" w:cs="Arial"/>
                                  <w:sz w:val="12"/>
                                </w:rPr>
                                <w:t>Documento firmado</w:t>
                              </w:r>
                              <w:r>
                                <w:rPr>
                                  <w:rFonts w:ascii="Arial" w:eastAsia="Arial" w:hAnsi="Arial" w:cs="Arial"/>
                                  <w:sz w:val="12"/>
                                </w:rPr>
                                <w:t xml:space="preserve"> electrónicamente desde la plataforma esPublico Gestiona | Página 324 de 353 </w:t>
                              </w:r>
                            </w:p>
                          </w:txbxContent>
                        </wps:txbx>
                        <wps:bodyPr horzOverflow="overflow" vert="horz" lIns="0" tIns="0" rIns="0" bIns="0" rtlCol="0">
                          <a:noAutofit/>
                        </wps:bodyPr>
                      </wps:wsp>
                    </wpg:wgp>
                  </a:graphicData>
                </a:graphic>
              </wp:inline>
            </w:drawing>
          </mc:Choice>
          <mc:Fallback xmlns:a="http://schemas.openxmlformats.org/drawingml/2006/main">
            <w:pict>
              <v:group id="Group 509969" style="width:594.94pt;height:474.36pt;mso-position-horizontal-relative:char;mso-position-vertical-relative:line" coordsize="75557,60243">
                <v:rect id="Rectangle 56512" style="position:absolute;width:506;height:2243;left:75176;top:4917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6513" style="position:absolute;width:563;height:2260;left:0;top:51439;" filled="f" stroked="f">
                  <v:textbox inset="0,0,0,0">
                    <w:txbxContent>
                      <w:p>
                        <w:pPr>
                          <w:spacing w:before="0" w:after="160" w:line="259" w:lineRule="auto"/>
                        </w:pPr>
                        <w:r>
                          <w:rPr>
                            <w:rFonts w:cs="Arial" w:hAnsi="Arial" w:eastAsia="Arial" w:ascii="Arial"/>
                            <w:sz w:val="24"/>
                          </w:rPr>
                          <w:t xml:space="preserve"> </w:t>
                        </w:r>
                      </w:p>
                    </w:txbxContent>
                  </v:textbox>
                </v:rect>
                <v:shape id="Picture 56515" style="position:absolute;width:58216;height:50505;left:16870;top:0;" filled="f">
                  <v:imagedata r:id="rId152"/>
                </v:shape>
                <v:shape id="Shape 56516" style="position:absolute;width:13213;height:10668;left:32590;top:8907;" coordsize="1321308,1066800" path="m0,533400c0,238760,295783,0,660654,0c1025525,0,1321308,238760,1321308,533400c1321308,828040,1025525,1066800,660654,1066800c295783,1066800,0,828040,0,533400x">
                  <v:stroke weight="2.28pt" endcap="flat" joinstyle="round" on="true" color="#ff0000"/>
                  <v:fill on="false" color="#000000" opacity="0"/>
                </v:shape>
                <v:shape id="Picture 56518" style="position:absolute;width:37972;height:3556;left:49606;top:39479;rotation:-89;" filled="f">
                  <v:imagedata r:id="rId63"/>
                </v:shape>
                <v:rect id="Rectangle 56519" style="position:absolute;width:47358;height:1132;left:47329;top:3599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520" style="position:absolute;width:44627;height:1132;left:49457;top:3736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324 de 353 </w:t>
                        </w:r>
                      </w:p>
                    </w:txbxContent>
                  </v:textbox>
                </v:rect>
              </v:group>
            </w:pict>
          </mc:Fallback>
        </mc:AlternateContent>
      </w:r>
    </w:p>
    <w:p w:rsidR="00FF384B" w:rsidRDefault="003E3BA9">
      <w:pPr>
        <w:spacing w:after="5" w:line="339" w:lineRule="auto"/>
        <w:ind w:left="437" w:hanging="10"/>
        <w:jc w:val="both"/>
      </w:pPr>
      <w:r>
        <w:rPr>
          <w:rFonts w:ascii="Arial" w:eastAsia="Arial" w:hAnsi="Arial" w:cs="Arial"/>
        </w:rPr>
        <w:t xml:space="preserve">Mediante </w:t>
      </w:r>
      <w:r>
        <w:rPr>
          <w:rFonts w:ascii="Arial" w:eastAsia="Arial" w:hAnsi="Arial" w:cs="Arial"/>
          <w:b/>
        </w:rPr>
        <w:t>Orden Ministerial de fecha 22 de mayo de 2006</w:t>
      </w:r>
      <w:r>
        <w:rPr>
          <w:rFonts w:ascii="Arial" w:eastAsia="Arial" w:hAnsi="Arial" w:cs="Arial"/>
        </w:rPr>
        <w:t xml:space="preserve">, se procedió por parte de la Dirección General de Costas a </w:t>
      </w:r>
      <w:r>
        <w:rPr>
          <w:rFonts w:ascii="Arial" w:eastAsia="Arial" w:hAnsi="Arial" w:cs="Arial"/>
          <w:b/>
        </w:rPr>
        <w:t>aprobar el Deslinde del Dominio Público Marítimo Terrestre</w:t>
      </w:r>
      <w:r>
        <w:rPr>
          <w:rFonts w:ascii="Arial" w:eastAsia="Arial" w:hAnsi="Arial" w:cs="Arial"/>
        </w:rPr>
        <w:t>, por</w:t>
      </w:r>
      <w:r>
        <w:rPr>
          <w:rFonts w:ascii="Arial" w:eastAsia="Arial" w:hAnsi="Arial" w:cs="Arial"/>
        </w:rPr>
        <w:t xml:space="preserve"> el cual las viviendas y la vía pasaban a estar incluidas </w:t>
      </w:r>
      <w:r>
        <w:rPr>
          <w:rFonts w:ascii="Arial" w:eastAsia="Arial" w:hAnsi="Arial" w:cs="Arial"/>
          <w:b/>
        </w:rPr>
        <w:t xml:space="preserve">dentro del DPMT. </w:t>
      </w:r>
      <w:r>
        <w:rPr>
          <w:rFonts w:ascii="Times New Roman" w:eastAsia="Times New Roman" w:hAnsi="Times New Roman" w:cs="Times New Roman"/>
          <w:sz w:val="24"/>
        </w:rPr>
        <w:t xml:space="preserve"> </w:t>
      </w:r>
    </w:p>
    <w:p w:rsidR="00FF384B" w:rsidRDefault="003E3BA9">
      <w:pPr>
        <w:spacing w:after="107"/>
        <w:ind w:left="427"/>
      </w:pPr>
      <w:r>
        <w:rPr>
          <w:rFonts w:ascii="Arial" w:eastAsia="Arial" w:hAnsi="Arial" w:cs="Arial"/>
          <w:b/>
        </w:rPr>
        <w:t xml:space="preserve"> </w:t>
      </w:r>
    </w:p>
    <w:p w:rsidR="00FF384B" w:rsidRDefault="003E3BA9">
      <w:pPr>
        <w:spacing w:after="5" w:line="344" w:lineRule="auto"/>
        <w:ind w:left="437" w:right="7" w:hanging="10"/>
        <w:jc w:val="both"/>
      </w:pPr>
      <w:r>
        <w:rPr>
          <w:rFonts w:ascii="Arial" w:eastAsia="Arial" w:hAnsi="Arial" w:cs="Arial"/>
        </w:rPr>
        <w:t>El tramo de costa sobre el que se pretende solicitar la innecesariedad de los terrenos que se encuentran dentro del Dominio Público Marítimo Terrestre (DPMT), se encuentra entre los mojones del deslinde M-233 y M-250 en el litoral de Candelaria (entre el m</w:t>
      </w:r>
      <w:r>
        <w:rPr>
          <w:rFonts w:ascii="Arial" w:eastAsia="Arial" w:hAnsi="Arial" w:cs="Arial"/>
        </w:rPr>
        <w:t>ojón M-233 y el</w:t>
      </w:r>
      <w:r>
        <w:rPr>
          <w:rFonts w:ascii="Arial" w:eastAsia="Arial" w:hAnsi="Arial" w:cs="Arial"/>
          <w:sz w:val="24"/>
        </w:rPr>
        <w:t xml:space="preserve"> </w:t>
      </w:r>
      <w:r>
        <w:rPr>
          <w:rFonts w:ascii="Arial" w:eastAsia="Arial" w:hAnsi="Arial" w:cs="Arial"/>
        </w:rPr>
        <w:t>mojón M-242 el núcleo costero de Bajo La Cuesta, y entre el mojón M-242 y el mojón M-250, se encuentra la zona del Acantilado del Morro).</w:t>
      </w:r>
      <w:r>
        <w:rPr>
          <w:rFonts w:ascii="Times New Roman" w:eastAsia="Times New Roman" w:hAnsi="Times New Roman" w:cs="Times New Roman"/>
          <w:sz w:val="24"/>
        </w:rPr>
        <w:t xml:space="preserve"> </w:t>
      </w:r>
    </w:p>
    <w:p w:rsidR="00FF384B" w:rsidRDefault="003E3BA9">
      <w:pPr>
        <w:spacing w:after="90"/>
        <w:ind w:left="427"/>
      </w:pPr>
      <w:r>
        <w:rPr>
          <w:rFonts w:ascii="Arial" w:eastAsia="Arial" w:hAnsi="Arial" w:cs="Arial"/>
          <w:b/>
          <w:sz w:val="24"/>
        </w:rPr>
        <w:t xml:space="preserve"> </w:t>
      </w:r>
    </w:p>
    <w:p w:rsidR="00FF384B" w:rsidRDefault="003E3BA9">
      <w:pPr>
        <w:tabs>
          <w:tab w:val="center" w:pos="427"/>
          <w:tab w:val="center" w:pos="7201"/>
        </w:tabs>
        <w:spacing w:after="0"/>
      </w:pPr>
      <w:r>
        <w:tab/>
      </w:r>
      <w:r>
        <w:rPr>
          <w:rFonts w:ascii="Arial" w:eastAsia="Arial" w:hAnsi="Arial" w:cs="Arial"/>
        </w:rPr>
        <w:t xml:space="preserve"> </w:t>
      </w:r>
      <w:r>
        <w:rPr>
          <w:rFonts w:ascii="Arial" w:eastAsia="Arial" w:hAnsi="Arial" w:cs="Arial"/>
        </w:rPr>
        <w:tab/>
      </w:r>
      <w:r>
        <w:rPr>
          <w:noProof/>
        </w:rPr>
        <mc:AlternateContent>
          <mc:Choice Requires="wpg">
            <w:drawing>
              <wp:inline distT="0" distB="0" distL="0" distR="0">
                <wp:extent cx="5808110" cy="4315969"/>
                <wp:effectExtent l="0" t="0" r="0" b="0"/>
                <wp:docPr id="510497" name="Group 510497"/>
                <wp:cNvGraphicFramePr/>
                <a:graphic xmlns:a="http://schemas.openxmlformats.org/drawingml/2006/main">
                  <a:graphicData uri="http://schemas.microsoft.com/office/word/2010/wordprocessingGroup">
                    <wpg:wgp>
                      <wpg:cNvGrpSpPr/>
                      <wpg:grpSpPr>
                        <a:xfrm>
                          <a:off x="0" y="0"/>
                          <a:ext cx="5808110" cy="4315969"/>
                          <a:chOff x="0" y="0"/>
                          <a:chExt cx="5808110" cy="4315969"/>
                        </a:xfrm>
                      </wpg:grpSpPr>
                      <wps:wsp>
                        <wps:cNvPr id="56566" name="Rectangle 56566"/>
                        <wps:cNvSpPr/>
                        <wps:spPr>
                          <a:xfrm>
                            <a:off x="5414518" y="304607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6569" name="Picture 56569"/>
                          <pic:cNvPicPr/>
                        </pic:nvPicPr>
                        <pic:blipFill>
                          <a:blip r:embed="rId153"/>
                          <a:stretch>
                            <a:fillRect/>
                          </a:stretch>
                        </pic:blipFill>
                        <pic:spPr>
                          <a:xfrm>
                            <a:off x="995172" y="0"/>
                            <a:ext cx="4410457" cy="3177540"/>
                          </a:xfrm>
                          <a:prstGeom prst="rect">
                            <a:avLst/>
                          </a:prstGeom>
                        </pic:spPr>
                      </pic:pic>
                      <pic:pic xmlns:pic="http://schemas.openxmlformats.org/drawingml/2006/picture">
                        <pic:nvPicPr>
                          <pic:cNvPr id="56571" name="Picture 56571"/>
                          <pic:cNvPicPr/>
                        </pic:nvPicPr>
                        <pic:blipFill>
                          <a:blip r:embed="rId154"/>
                          <a:stretch>
                            <a:fillRect/>
                          </a:stretch>
                        </pic:blipFill>
                        <pic:spPr>
                          <a:xfrm>
                            <a:off x="2862072" y="775716"/>
                            <a:ext cx="819912" cy="245364"/>
                          </a:xfrm>
                          <a:prstGeom prst="rect">
                            <a:avLst/>
                          </a:prstGeom>
                        </pic:spPr>
                      </pic:pic>
                      <wps:wsp>
                        <wps:cNvPr id="56572" name="Rectangle 56572"/>
                        <wps:cNvSpPr/>
                        <wps:spPr>
                          <a:xfrm>
                            <a:off x="2954401" y="783209"/>
                            <a:ext cx="168844" cy="226001"/>
                          </a:xfrm>
                          <a:prstGeom prst="rect">
                            <a:avLst/>
                          </a:prstGeom>
                          <a:ln>
                            <a:noFill/>
                          </a:ln>
                        </wps:spPr>
                        <wps:txbx>
                          <w:txbxContent>
                            <w:p w:rsidR="00FF384B" w:rsidRDefault="003E3BA9">
                              <w:r>
                                <w:rPr>
                                  <w:rFonts w:ascii="Arial" w:eastAsia="Arial" w:hAnsi="Arial" w:cs="Arial"/>
                                  <w:b/>
                                  <w:color w:val="FFFFFF"/>
                                  <w:sz w:val="24"/>
                                </w:rPr>
                                <w:t>M</w:t>
                              </w:r>
                            </w:p>
                          </w:txbxContent>
                        </wps:txbx>
                        <wps:bodyPr horzOverflow="overflow" vert="horz" lIns="0" tIns="0" rIns="0" bIns="0" rtlCol="0">
                          <a:noAutofit/>
                        </wps:bodyPr>
                      </wps:wsp>
                      <wps:wsp>
                        <wps:cNvPr id="56573" name="Rectangle 56573"/>
                        <wps:cNvSpPr/>
                        <wps:spPr>
                          <a:xfrm>
                            <a:off x="3079369" y="783209"/>
                            <a:ext cx="67498" cy="226001"/>
                          </a:xfrm>
                          <a:prstGeom prst="rect">
                            <a:avLst/>
                          </a:prstGeom>
                          <a:ln>
                            <a:noFill/>
                          </a:ln>
                        </wps:spPr>
                        <wps:txbx>
                          <w:txbxContent>
                            <w:p w:rsidR="00FF384B" w:rsidRDefault="003E3BA9">
                              <w:r>
                                <w:rPr>
                                  <w:rFonts w:ascii="Arial" w:eastAsia="Arial" w:hAnsi="Arial" w:cs="Arial"/>
                                  <w:b/>
                                  <w:color w:val="FFFFFF"/>
                                  <w:sz w:val="24"/>
                                </w:rPr>
                                <w:t>-</w:t>
                              </w:r>
                            </w:p>
                          </w:txbxContent>
                        </wps:txbx>
                        <wps:bodyPr horzOverflow="overflow" vert="horz" lIns="0" tIns="0" rIns="0" bIns="0" rtlCol="0">
                          <a:noAutofit/>
                        </wps:bodyPr>
                      </wps:wsp>
                      <wps:wsp>
                        <wps:cNvPr id="56574" name="Rectangle 56574"/>
                        <wps:cNvSpPr/>
                        <wps:spPr>
                          <a:xfrm>
                            <a:off x="3128137" y="783209"/>
                            <a:ext cx="333662" cy="226001"/>
                          </a:xfrm>
                          <a:prstGeom prst="rect">
                            <a:avLst/>
                          </a:prstGeom>
                          <a:ln>
                            <a:noFill/>
                          </a:ln>
                        </wps:spPr>
                        <wps:txbx>
                          <w:txbxContent>
                            <w:p w:rsidR="00FF384B" w:rsidRDefault="003E3BA9">
                              <w:r>
                                <w:rPr>
                                  <w:rFonts w:ascii="Arial" w:eastAsia="Arial" w:hAnsi="Arial" w:cs="Arial"/>
                                  <w:b/>
                                  <w:color w:val="FFFFFF"/>
                                  <w:sz w:val="24"/>
                                </w:rPr>
                                <w:t>250</w:t>
                              </w:r>
                            </w:p>
                          </w:txbxContent>
                        </wps:txbx>
                        <wps:bodyPr horzOverflow="overflow" vert="horz" lIns="0" tIns="0" rIns="0" bIns="0" rtlCol="0">
                          <a:noAutofit/>
                        </wps:bodyPr>
                      </wps:wsp>
                      <wps:wsp>
                        <wps:cNvPr id="56575" name="Rectangle 56575"/>
                        <wps:cNvSpPr/>
                        <wps:spPr>
                          <a:xfrm>
                            <a:off x="3376549" y="783209"/>
                            <a:ext cx="56314" cy="226001"/>
                          </a:xfrm>
                          <a:prstGeom prst="rect">
                            <a:avLst/>
                          </a:prstGeom>
                          <a:ln>
                            <a:noFill/>
                          </a:ln>
                        </wps:spPr>
                        <wps:txbx>
                          <w:txbxContent>
                            <w:p w:rsidR="00FF384B" w:rsidRDefault="003E3BA9">
                              <w:r>
                                <w:rPr>
                                  <w:rFonts w:ascii="Arial" w:eastAsia="Arial" w:hAnsi="Arial" w:cs="Arial"/>
                                  <w:b/>
                                  <w:color w:val="FFFFFF"/>
                                  <w:sz w:val="24"/>
                                </w:rPr>
                                <w:t xml:space="preserve"> </w:t>
                              </w:r>
                            </w:p>
                          </w:txbxContent>
                        </wps:txbx>
                        <wps:bodyPr horzOverflow="overflow" vert="horz" lIns="0" tIns="0" rIns="0" bIns="0" rtlCol="0">
                          <a:noAutofit/>
                        </wps:bodyPr>
                      </wps:wsp>
                      <pic:pic xmlns:pic="http://schemas.openxmlformats.org/drawingml/2006/picture">
                        <pic:nvPicPr>
                          <pic:cNvPr id="56578" name="Picture 56578"/>
                          <pic:cNvPicPr/>
                        </pic:nvPicPr>
                        <pic:blipFill>
                          <a:blip r:embed="rId155"/>
                          <a:stretch>
                            <a:fillRect/>
                          </a:stretch>
                        </pic:blipFill>
                        <pic:spPr>
                          <a:xfrm>
                            <a:off x="0" y="2459736"/>
                            <a:ext cx="818388" cy="243840"/>
                          </a:xfrm>
                          <a:prstGeom prst="rect">
                            <a:avLst/>
                          </a:prstGeom>
                        </pic:spPr>
                      </pic:pic>
                      <wps:wsp>
                        <wps:cNvPr id="56579" name="Rectangle 56579"/>
                        <wps:cNvSpPr/>
                        <wps:spPr>
                          <a:xfrm>
                            <a:off x="91694" y="2469007"/>
                            <a:ext cx="168844" cy="226002"/>
                          </a:xfrm>
                          <a:prstGeom prst="rect">
                            <a:avLst/>
                          </a:prstGeom>
                          <a:ln>
                            <a:noFill/>
                          </a:ln>
                        </wps:spPr>
                        <wps:txbx>
                          <w:txbxContent>
                            <w:p w:rsidR="00FF384B" w:rsidRDefault="003E3BA9">
                              <w:r>
                                <w:rPr>
                                  <w:rFonts w:ascii="Arial" w:eastAsia="Arial" w:hAnsi="Arial" w:cs="Arial"/>
                                  <w:b/>
                                  <w:color w:val="FFFFFF"/>
                                  <w:sz w:val="24"/>
                                </w:rPr>
                                <w:t>M</w:t>
                              </w:r>
                            </w:p>
                          </w:txbxContent>
                        </wps:txbx>
                        <wps:bodyPr horzOverflow="overflow" vert="horz" lIns="0" tIns="0" rIns="0" bIns="0" rtlCol="0">
                          <a:noAutofit/>
                        </wps:bodyPr>
                      </wps:wsp>
                      <wps:wsp>
                        <wps:cNvPr id="56580" name="Rectangle 56580"/>
                        <wps:cNvSpPr/>
                        <wps:spPr>
                          <a:xfrm>
                            <a:off x="216662" y="2469007"/>
                            <a:ext cx="67498" cy="226002"/>
                          </a:xfrm>
                          <a:prstGeom prst="rect">
                            <a:avLst/>
                          </a:prstGeom>
                          <a:ln>
                            <a:noFill/>
                          </a:ln>
                        </wps:spPr>
                        <wps:txbx>
                          <w:txbxContent>
                            <w:p w:rsidR="00FF384B" w:rsidRDefault="003E3BA9">
                              <w:r>
                                <w:rPr>
                                  <w:rFonts w:ascii="Arial" w:eastAsia="Arial" w:hAnsi="Arial" w:cs="Arial"/>
                                  <w:b/>
                                  <w:color w:val="FFFFFF"/>
                                  <w:sz w:val="24"/>
                                </w:rPr>
                                <w:t>-</w:t>
                              </w:r>
                            </w:p>
                          </w:txbxContent>
                        </wps:txbx>
                        <wps:bodyPr horzOverflow="overflow" vert="horz" lIns="0" tIns="0" rIns="0" bIns="0" rtlCol="0">
                          <a:noAutofit/>
                        </wps:bodyPr>
                      </wps:wsp>
                      <wps:wsp>
                        <wps:cNvPr id="56581" name="Rectangle 56581"/>
                        <wps:cNvSpPr/>
                        <wps:spPr>
                          <a:xfrm>
                            <a:off x="265430" y="2469007"/>
                            <a:ext cx="333662" cy="226002"/>
                          </a:xfrm>
                          <a:prstGeom prst="rect">
                            <a:avLst/>
                          </a:prstGeom>
                          <a:ln>
                            <a:noFill/>
                          </a:ln>
                        </wps:spPr>
                        <wps:txbx>
                          <w:txbxContent>
                            <w:p w:rsidR="00FF384B" w:rsidRDefault="003E3BA9">
                              <w:r>
                                <w:rPr>
                                  <w:rFonts w:ascii="Arial" w:eastAsia="Arial" w:hAnsi="Arial" w:cs="Arial"/>
                                  <w:b/>
                                  <w:color w:val="FFFFFF"/>
                                  <w:sz w:val="24"/>
                                </w:rPr>
                                <w:t>233</w:t>
                              </w:r>
                            </w:p>
                          </w:txbxContent>
                        </wps:txbx>
                        <wps:bodyPr horzOverflow="overflow" vert="horz" lIns="0" tIns="0" rIns="0" bIns="0" rtlCol="0">
                          <a:noAutofit/>
                        </wps:bodyPr>
                      </wps:wsp>
                      <wps:wsp>
                        <wps:cNvPr id="56582" name="Rectangle 56582"/>
                        <wps:cNvSpPr/>
                        <wps:spPr>
                          <a:xfrm>
                            <a:off x="513842" y="2469007"/>
                            <a:ext cx="56314" cy="226002"/>
                          </a:xfrm>
                          <a:prstGeom prst="rect">
                            <a:avLst/>
                          </a:prstGeom>
                          <a:ln>
                            <a:noFill/>
                          </a:ln>
                        </wps:spPr>
                        <wps:txbx>
                          <w:txbxContent>
                            <w:p w:rsidR="00FF384B" w:rsidRDefault="003E3BA9">
                              <w:r>
                                <w:rPr>
                                  <w:rFonts w:ascii="Arial" w:eastAsia="Arial" w:hAnsi="Arial" w:cs="Arial"/>
                                  <w:b/>
                                  <w:color w:val="FFFFFF"/>
                                  <w:sz w:val="24"/>
                                </w:rPr>
                                <w:t xml:space="preserve"> </w:t>
                              </w:r>
                            </w:p>
                          </w:txbxContent>
                        </wps:txbx>
                        <wps:bodyPr horzOverflow="overflow" vert="horz" lIns="0" tIns="0" rIns="0" bIns="0" rtlCol="0">
                          <a:noAutofit/>
                        </wps:bodyPr>
                      </wps:wsp>
                      <pic:pic xmlns:pic="http://schemas.openxmlformats.org/drawingml/2006/picture">
                        <pic:nvPicPr>
                          <pic:cNvPr id="56585" name="Picture 56585"/>
                          <pic:cNvPicPr/>
                        </pic:nvPicPr>
                        <pic:blipFill>
                          <a:blip r:embed="rId155"/>
                          <a:stretch>
                            <a:fillRect/>
                          </a:stretch>
                        </pic:blipFill>
                        <pic:spPr>
                          <a:xfrm>
                            <a:off x="2049780" y="1232916"/>
                            <a:ext cx="818388" cy="245364"/>
                          </a:xfrm>
                          <a:prstGeom prst="rect">
                            <a:avLst/>
                          </a:prstGeom>
                        </pic:spPr>
                      </pic:pic>
                      <wps:wsp>
                        <wps:cNvPr id="56586" name="Rectangle 56586"/>
                        <wps:cNvSpPr/>
                        <wps:spPr>
                          <a:xfrm>
                            <a:off x="2141855" y="1240663"/>
                            <a:ext cx="168844" cy="226001"/>
                          </a:xfrm>
                          <a:prstGeom prst="rect">
                            <a:avLst/>
                          </a:prstGeom>
                          <a:ln>
                            <a:noFill/>
                          </a:ln>
                        </wps:spPr>
                        <wps:txbx>
                          <w:txbxContent>
                            <w:p w:rsidR="00FF384B" w:rsidRDefault="003E3BA9">
                              <w:r>
                                <w:rPr>
                                  <w:rFonts w:ascii="Arial" w:eastAsia="Arial" w:hAnsi="Arial" w:cs="Arial"/>
                                  <w:b/>
                                  <w:color w:val="FFFFFF"/>
                                  <w:sz w:val="24"/>
                                </w:rPr>
                                <w:t>M</w:t>
                              </w:r>
                            </w:p>
                          </w:txbxContent>
                        </wps:txbx>
                        <wps:bodyPr horzOverflow="overflow" vert="horz" lIns="0" tIns="0" rIns="0" bIns="0" rtlCol="0">
                          <a:noAutofit/>
                        </wps:bodyPr>
                      </wps:wsp>
                      <wps:wsp>
                        <wps:cNvPr id="56587" name="Rectangle 56587"/>
                        <wps:cNvSpPr/>
                        <wps:spPr>
                          <a:xfrm>
                            <a:off x="2266823" y="1240663"/>
                            <a:ext cx="67498" cy="226001"/>
                          </a:xfrm>
                          <a:prstGeom prst="rect">
                            <a:avLst/>
                          </a:prstGeom>
                          <a:ln>
                            <a:noFill/>
                          </a:ln>
                        </wps:spPr>
                        <wps:txbx>
                          <w:txbxContent>
                            <w:p w:rsidR="00FF384B" w:rsidRDefault="003E3BA9">
                              <w:r>
                                <w:rPr>
                                  <w:rFonts w:ascii="Arial" w:eastAsia="Arial" w:hAnsi="Arial" w:cs="Arial"/>
                                  <w:b/>
                                  <w:color w:val="FFFFFF"/>
                                  <w:sz w:val="24"/>
                                </w:rPr>
                                <w:t>-</w:t>
                              </w:r>
                            </w:p>
                          </w:txbxContent>
                        </wps:txbx>
                        <wps:bodyPr horzOverflow="overflow" vert="horz" lIns="0" tIns="0" rIns="0" bIns="0" rtlCol="0">
                          <a:noAutofit/>
                        </wps:bodyPr>
                      </wps:wsp>
                      <wps:wsp>
                        <wps:cNvPr id="56588" name="Rectangle 56588"/>
                        <wps:cNvSpPr/>
                        <wps:spPr>
                          <a:xfrm>
                            <a:off x="2315591" y="1240663"/>
                            <a:ext cx="333662" cy="226001"/>
                          </a:xfrm>
                          <a:prstGeom prst="rect">
                            <a:avLst/>
                          </a:prstGeom>
                          <a:ln>
                            <a:noFill/>
                          </a:ln>
                        </wps:spPr>
                        <wps:txbx>
                          <w:txbxContent>
                            <w:p w:rsidR="00FF384B" w:rsidRDefault="003E3BA9">
                              <w:r>
                                <w:rPr>
                                  <w:rFonts w:ascii="Arial" w:eastAsia="Arial" w:hAnsi="Arial" w:cs="Arial"/>
                                  <w:b/>
                                  <w:color w:val="FFFFFF"/>
                                  <w:sz w:val="24"/>
                                </w:rPr>
                                <w:t>242</w:t>
                              </w:r>
                            </w:p>
                          </w:txbxContent>
                        </wps:txbx>
                        <wps:bodyPr horzOverflow="overflow" vert="horz" lIns="0" tIns="0" rIns="0" bIns="0" rtlCol="0">
                          <a:noAutofit/>
                        </wps:bodyPr>
                      </wps:wsp>
                      <wps:wsp>
                        <wps:cNvPr id="56589" name="Rectangle 56589"/>
                        <wps:cNvSpPr/>
                        <wps:spPr>
                          <a:xfrm>
                            <a:off x="2564003" y="1240663"/>
                            <a:ext cx="56314" cy="226001"/>
                          </a:xfrm>
                          <a:prstGeom prst="rect">
                            <a:avLst/>
                          </a:prstGeom>
                          <a:ln>
                            <a:noFill/>
                          </a:ln>
                        </wps:spPr>
                        <wps:txbx>
                          <w:txbxContent>
                            <w:p w:rsidR="00FF384B" w:rsidRDefault="003E3BA9">
                              <w:r>
                                <w:rPr>
                                  <w:rFonts w:ascii="Arial" w:eastAsia="Arial" w:hAnsi="Arial" w:cs="Arial"/>
                                  <w:b/>
                                  <w:color w:val="FFFFFF"/>
                                  <w:sz w:val="24"/>
                                </w:rPr>
                                <w:t xml:space="preserve"> </w:t>
                              </w:r>
                            </w:p>
                          </w:txbxContent>
                        </wps:txbx>
                        <wps:bodyPr horzOverflow="overflow" vert="horz" lIns="0" tIns="0" rIns="0" bIns="0" rtlCol="0">
                          <a:noAutofit/>
                        </wps:bodyPr>
                      </wps:wsp>
                      <pic:pic xmlns:pic="http://schemas.openxmlformats.org/drawingml/2006/picture">
                        <pic:nvPicPr>
                          <pic:cNvPr id="56592" name="Picture 56592"/>
                          <pic:cNvPicPr/>
                        </pic:nvPicPr>
                        <pic:blipFill>
                          <a:blip r:embed="rId62"/>
                          <a:stretch>
                            <a:fillRect/>
                          </a:stretch>
                        </pic:blipFill>
                        <pic:spPr>
                          <a:xfrm rot="-5399999">
                            <a:off x="3563112" y="2239518"/>
                            <a:ext cx="3797299" cy="355600"/>
                          </a:xfrm>
                          <a:prstGeom prst="rect">
                            <a:avLst/>
                          </a:prstGeom>
                        </pic:spPr>
                      </pic:pic>
                      <wps:wsp>
                        <wps:cNvPr id="56593" name="Rectangle 56593"/>
                        <wps:cNvSpPr/>
                        <wps:spPr>
                          <a:xfrm rot="-5399999">
                            <a:off x="3335443" y="1891408"/>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594" name="Rectangle 56594"/>
                        <wps:cNvSpPr/>
                        <wps:spPr>
                          <a:xfrm rot="-5399999">
                            <a:off x="3548206" y="2027972"/>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325 de 353 </w:t>
                              </w:r>
                            </w:p>
                          </w:txbxContent>
                        </wps:txbx>
                        <wps:bodyPr horzOverflow="overflow" vert="horz" lIns="0" tIns="0" rIns="0" bIns="0" rtlCol="0">
                          <a:noAutofit/>
                        </wps:bodyPr>
                      </wps:wsp>
                    </wpg:wgp>
                  </a:graphicData>
                </a:graphic>
              </wp:inline>
            </w:drawing>
          </mc:Choice>
          <mc:Fallback xmlns:a="http://schemas.openxmlformats.org/drawingml/2006/main">
            <w:pict>
              <v:group id="Group 510497" style="width:457.331pt;height:339.84pt;mso-position-horizontal-relative:char;mso-position-vertical-relative:line" coordsize="58081,43159">
                <v:rect id="Rectangle 56566" style="position:absolute;width:506;height:2243;left:54145;top:304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6569" style="position:absolute;width:44104;height:31775;left:9951;top:0;" filled="f">
                  <v:imagedata r:id="rId156"/>
                </v:shape>
                <v:shape id="Picture 56571" style="position:absolute;width:8199;height:2453;left:28620;top:7757;" filled="f">
                  <v:imagedata r:id="rId157"/>
                </v:shape>
                <v:rect id="Rectangle 56572" style="position:absolute;width:1688;height:2260;left:29544;top:7832;" filled="f" stroked="f">
                  <v:textbox inset="0,0,0,0">
                    <w:txbxContent>
                      <w:p>
                        <w:pPr>
                          <w:spacing w:before="0" w:after="160" w:line="259" w:lineRule="auto"/>
                        </w:pPr>
                        <w:r>
                          <w:rPr>
                            <w:rFonts w:cs="Arial" w:hAnsi="Arial" w:eastAsia="Arial" w:ascii="Arial"/>
                            <w:b w:val="1"/>
                            <w:color w:val="ffffff"/>
                            <w:sz w:val="24"/>
                          </w:rPr>
                          <w:t xml:space="preserve">M</w:t>
                        </w:r>
                      </w:p>
                    </w:txbxContent>
                  </v:textbox>
                </v:rect>
                <v:rect id="Rectangle 56573" style="position:absolute;width:674;height:2260;left:30793;top:7832;" filled="f" stroked="f">
                  <v:textbox inset="0,0,0,0">
                    <w:txbxContent>
                      <w:p>
                        <w:pPr>
                          <w:spacing w:before="0" w:after="160" w:line="259" w:lineRule="auto"/>
                        </w:pPr>
                        <w:r>
                          <w:rPr>
                            <w:rFonts w:cs="Arial" w:hAnsi="Arial" w:eastAsia="Arial" w:ascii="Arial"/>
                            <w:b w:val="1"/>
                            <w:color w:val="ffffff"/>
                            <w:sz w:val="24"/>
                          </w:rPr>
                          <w:t xml:space="preserve">-</w:t>
                        </w:r>
                      </w:p>
                    </w:txbxContent>
                  </v:textbox>
                </v:rect>
                <v:rect id="Rectangle 56574" style="position:absolute;width:3336;height:2260;left:31281;top:7832;" filled="f" stroked="f">
                  <v:textbox inset="0,0,0,0">
                    <w:txbxContent>
                      <w:p>
                        <w:pPr>
                          <w:spacing w:before="0" w:after="160" w:line="259" w:lineRule="auto"/>
                        </w:pPr>
                        <w:r>
                          <w:rPr>
                            <w:rFonts w:cs="Arial" w:hAnsi="Arial" w:eastAsia="Arial" w:ascii="Arial"/>
                            <w:b w:val="1"/>
                            <w:color w:val="ffffff"/>
                            <w:sz w:val="24"/>
                          </w:rPr>
                          <w:t xml:space="preserve">250</w:t>
                        </w:r>
                      </w:p>
                    </w:txbxContent>
                  </v:textbox>
                </v:rect>
                <v:rect id="Rectangle 56575" style="position:absolute;width:563;height:2260;left:33765;top:7832;" filled="f" stroked="f">
                  <v:textbox inset="0,0,0,0">
                    <w:txbxContent>
                      <w:p>
                        <w:pPr>
                          <w:spacing w:before="0" w:after="160" w:line="259" w:lineRule="auto"/>
                        </w:pPr>
                        <w:r>
                          <w:rPr>
                            <w:rFonts w:cs="Arial" w:hAnsi="Arial" w:eastAsia="Arial" w:ascii="Arial"/>
                            <w:b w:val="1"/>
                            <w:color w:val="ffffff"/>
                            <w:sz w:val="24"/>
                          </w:rPr>
                          <w:t xml:space="preserve"> </w:t>
                        </w:r>
                      </w:p>
                    </w:txbxContent>
                  </v:textbox>
                </v:rect>
                <v:shape id="Picture 56578" style="position:absolute;width:8183;height:2438;left:0;top:24597;" filled="f">
                  <v:imagedata r:id="rId158"/>
                </v:shape>
                <v:rect id="Rectangle 56579" style="position:absolute;width:1688;height:2260;left:916;top:24690;" filled="f" stroked="f">
                  <v:textbox inset="0,0,0,0">
                    <w:txbxContent>
                      <w:p>
                        <w:pPr>
                          <w:spacing w:before="0" w:after="160" w:line="259" w:lineRule="auto"/>
                        </w:pPr>
                        <w:r>
                          <w:rPr>
                            <w:rFonts w:cs="Arial" w:hAnsi="Arial" w:eastAsia="Arial" w:ascii="Arial"/>
                            <w:b w:val="1"/>
                            <w:color w:val="ffffff"/>
                            <w:sz w:val="24"/>
                          </w:rPr>
                          <w:t xml:space="preserve">M</w:t>
                        </w:r>
                      </w:p>
                    </w:txbxContent>
                  </v:textbox>
                </v:rect>
                <v:rect id="Rectangle 56580" style="position:absolute;width:674;height:2260;left:2166;top:24690;" filled="f" stroked="f">
                  <v:textbox inset="0,0,0,0">
                    <w:txbxContent>
                      <w:p>
                        <w:pPr>
                          <w:spacing w:before="0" w:after="160" w:line="259" w:lineRule="auto"/>
                        </w:pPr>
                        <w:r>
                          <w:rPr>
                            <w:rFonts w:cs="Arial" w:hAnsi="Arial" w:eastAsia="Arial" w:ascii="Arial"/>
                            <w:b w:val="1"/>
                            <w:color w:val="ffffff"/>
                            <w:sz w:val="24"/>
                          </w:rPr>
                          <w:t xml:space="preserve">-</w:t>
                        </w:r>
                      </w:p>
                    </w:txbxContent>
                  </v:textbox>
                </v:rect>
                <v:rect id="Rectangle 56581" style="position:absolute;width:3336;height:2260;left:2654;top:24690;" filled="f" stroked="f">
                  <v:textbox inset="0,0,0,0">
                    <w:txbxContent>
                      <w:p>
                        <w:pPr>
                          <w:spacing w:before="0" w:after="160" w:line="259" w:lineRule="auto"/>
                        </w:pPr>
                        <w:r>
                          <w:rPr>
                            <w:rFonts w:cs="Arial" w:hAnsi="Arial" w:eastAsia="Arial" w:ascii="Arial"/>
                            <w:b w:val="1"/>
                            <w:color w:val="ffffff"/>
                            <w:sz w:val="24"/>
                          </w:rPr>
                          <w:t xml:space="preserve">233</w:t>
                        </w:r>
                      </w:p>
                    </w:txbxContent>
                  </v:textbox>
                </v:rect>
                <v:rect id="Rectangle 56582" style="position:absolute;width:563;height:2260;left:5138;top:24690;" filled="f" stroked="f">
                  <v:textbox inset="0,0,0,0">
                    <w:txbxContent>
                      <w:p>
                        <w:pPr>
                          <w:spacing w:before="0" w:after="160" w:line="259" w:lineRule="auto"/>
                        </w:pPr>
                        <w:r>
                          <w:rPr>
                            <w:rFonts w:cs="Arial" w:hAnsi="Arial" w:eastAsia="Arial" w:ascii="Arial"/>
                            <w:b w:val="1"/>
                            <w:color w:val="ffffff"/>
                            <w:sz w:val="24"/>
                          </w:rPr>
                          <w:t xml:space="preserve"> </w:t>
                        </w:r>
                      </w:p>
                    </w:txbxContent>
                  </v:textbox>
                </v:rect>
                <v:shape id="Picture 56585" style="position:absolute;width:8183;height:2453;left:20497;top:12329;" filled="f">
                  <v:imagedata r:id="rId158"/>
                </v:shape>
                <v:rect id="Rectangle 56586" style="position:absolute;width:1688;height:2260;left:21418;top:12406;" filled="f" stroked="f">
                  <v:textbox inset="0,0,0,0">
                    <w:txbxContent>
                      <w:p>
                        <w:pPr>
                          <w:spacing w:before="0" w:after="160" w:line="259" w:lineRule="auto"/>
                        </w:pPr>
                        <w:r>
                          <w:rPr>
                            <w:rFonts w:cs="Arial" w:hAnsi="Arial" w:eastAsia="Arial" w:ascii="Arial"/>
                            <w:b w:val="1"/>
                            <w:color w:val="ffffff"/>
                            <w:sz w:val="24"/>
                          </w:rPr>
                          <w:t xml:space="preserve">M</w:t>
                        </w:r>
                      </w:p>
                    </w:txbxContent>
                  </v:textbox>
                </v:rect>
                <v:rect id="Rectangle 56587" style="position:absolute;width:674;height:2260;left:22668;top:12406;" filled="f" stroked="f">
                  <v:textbox inset="0,0,0,0">
                    <w:txbxContent>
                      <w:p>
                        <w:pPr>
                          <w:spacing w:before="0" w:after="160" w:line="259" w:lineRule="auto"/>
                        </w:pPr>
                        <w:r>
                          <w:rPr>
                            <w:rFonts w:cs="Arial" w:hAnsi="Arial" w:eastAsia="Arial" w:ascii="Arial"/>
                            <w:b w:val="1"/>
                            <w:color w:val="ffffff"/>
                            <w:sz w:val="24"/>
                          </w:rPr>
                          <w:t xml:space="preserve">-</w:t>
                        </w:r>
                      </w:p>
                    </w:txbxContent>
                  </v:textbox>
                </v:rect>
                <v:rect id="Rectangle 56588" style="position:absolute;width:3336;height:2260;left:23155;top:12406;" filled="f" stroked="f">
                  <v:textbox inset="0,0,0,0">
                    <w:txbxContent>
                      <w:p>
                        <w:pPr>
                          <w:spacing w:before="0" w:after="160" w:line="259" w:lineRule="auto"/>
                        </w:pPr>
                        <w:r>
                          <w:rPr>
                            <w:rFonts w:cs="Arial" w:hAnsi="Arial" w:eastAsia="Arial" w:ascii="Arial"/>
                            <w:b w:val="1"/>
                            <w:color w:val="ffffff"/>
                            <w:sz w:val="24"/>
                          </w:rPr>
                          <w:t xml:space="preserve">242</w:t>
                        </w:r>
                      </w:p>
                    </w:txbxContent>
                  </v:textbox>
                </v:rect>
                <v:rect id="Rectangle 56589" style="position:absolute;width:563;height:2260;left:25640;top:12406;" filled="f" stroked="f">
                  <v:textbox inset="0,0,0,0">
                    <w:txbxContent>
                      <w:p>
                        <w:pPr>
                          <w:spacing w:before="0" w:after="160" w:line="259" w:lineRule="auto"/>
                        </w:pPr>
                        <w:r>
                          <w:rPr>
                            <w:rFonts w:cs="Arial" w:hAnsi="Arial" w:eastAsia="Arial" w:ascii="Arial"/>
                            <w:b w:val="1"/>
                            <w:color w:val="ffffff"/>
                            <w:sz w:val="24"/>
                          </w:rPr>
                          <w:t xml:space="preserve"> </w:t>
                        </w:r>
                      </w:p>
                    </w:txbxContent>
                  </v:textbox>
                </v:rect>
                <v:shape id="Picture 56592" style="position:absolute;width:37972;height:3556;left:35631;top:22395;rotation:-89;" filled="f">
                  <v:imagedata r:id="rId63"/>
                </v:shape>
                <v:rect id="Rectangle 56593" style="position:absolute;width:47358;height:1132;left:33354;top:1891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594" style="position:absolute;width:44627;height:1132;left:35482;top:2027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325 de 353 </w:t>
                        </w:r>
                      </w:p>
                    </w:txbxContent>
                  </v:textbox>
                </v:rect>
              </v:group>
            </w:pict>
          </mc:Fallback>
        </mc:AlternateContent>
      </w:r>
    </w:p>
    <w:p w:rsidR="00FF384B" w:rsidRDefault="003E3BA9">
      <w:pPr>
        <w:spacing w:after="15" w:line="349" w:lineRule="auto"/>
        <w:ind w:left="415" w:hanging="3"/>
        <w:jc w:val="both"/>
      </w:pPr>
      <w:r>
        <w:rPr>
          <w:rFonts w:ascii="Arial" w:eastAsia="Arial" w:hAnsi="Arial" w:cs="Arial"/>
        </w:rPr>
        <w:t xml:space="preserve">Con la </w:t>
      </w:r>
      <w:r>
        <w:rPr>
          <w:rFonts w:ascii="Arial" w:eastAsia="Arial" w:hAnsi="Arial" w:cs="Arial"/>
          <w:b/>
        </w:rPr>
        <w:t>aprobación</w:t>
      </w:r>
      <w:r>
        <w:rPr>
          <w:rFonts w:ascii="Arial" w:eastAsia="Arial" w:hAnsi="Arial" w:cs="Arial"/>
        </w:rPr>
        <w:t xml:space="preserve"> del actual </w:t>
      </w:r>
      <w:r>
        <w:rPr>
          <w:rFonts w:ascii="Arial" w:eastAsia="Arial" w:hAnsi="Arial" w:cs="Arial"/>
          <w:b/>
        </w:rPr>
        <w:t>Plan General de Ordenación Urba</w:t>
      </w:r>
      <w:r>
        <w:rPr>
          <w:rFonts w:ascii="Arial" w:eastAsia="Arial" w:hAnsi="Arial" w:cs="Arial"/>
          <w:b/>
        </w:rPr>
        <w:t>na</w:t>
      </w:r>
      <w:r>
        <w:rPr>
          <w:rFonts w:ascii="Arial" w:eastAsia="Arial" w:hAnsi="Arial" w:cs="Arial"/>
        </w:rPr>
        <w:t xml:space="preserve"> aprobado definitivamente en </w:t>
      </w:r>
      <w:r>
        <w:rPr>
          <w:rFonts w:ascii="Arial" w:eastAsia="Arial" w:hAnsi="Arial" w:cs="Arial"/>
          <w:b/>
        </w:rPr>
        <w:t>abril de 2007</w:t>
      </w:r>
      <w:r>
        <w:rPr>
          <w:rFonts w:ascii="Arial" w:eastAsia="Arial" w:hAnsi="Arial" w:cs="Arial"/>
        </w:rPr>
        <w:t xml:space="preserve">, se </w:t>
      </w:r>
      <w:r>
        <w:rPr>
          <w:rFonts w:ascii="Arial" w:eastAsia="Arial" w:hAnsi="Arial" w:cs="Arial"/>
          <w:b/>
        </w:rPr>
        <w:t>califica el núcleo de Bajo La Cuesta</w:t>
      </w:r>
      <w:r>
        <w:rPr>
          <w:rFonts w:ascii="Arial" w:eastAsia="Arial" w:hAnsi="Arial" w:cs="Arial"/>
        </w:rPr>
        <w:t xml:space="preserve"> como </w:t>
      </w:r>
      <w:r>
        <w:rPr>
          <w:rFonts w:ascii="Arial" w:eastAsia="Arial" w:hAnsi="Arial" w:cs="Arial"/>
          <w:b/>
        </w:rPr>
        <w:t>Rústico de Protección del Litoral</w:t>
      </w:r>
      <w:r>
        <w:rPr>
          <w:rFonts w:ascii="Arial" w:eastAsia="Arial" w:hAnsi="Arial" w:cs="Arial"/>
        </w:rPr>
        <w:t xml:space="preserve">, dándose la circunstancia de que nos encontramos con un </w:t>
      </w:r>
      <w:r>
        <w:rPr>
          <w:rFonts w:ascii="Arial" w:eastAsia="Arial" w:hAnsi="Arial" w:cs="Arial"/>
          <w:b/>
        </w:rPr>
        <w:t>núcleo costero</w:t>
      </w:r>
      <w:r>
        <w:rPr>
          <w:rFonts w:ascii="Arial" w:eastAsia="Arial" w:hAnsi="Arial" w:cs="Arial"/>
        </w:rPr>
        <w:t xml:space="preserve"> dotado de una </w:t>
      </w:r>
      <w:r>
        <w:rPr>
          <w:rFonts w:ascii="Arial" w:eastAsia="Arial" w:hAnsi="Arial" w:cs="Arial"/>
          <w:b/>
        </w:rPr>
        <w:t>vía de acceso</w:t>
      </w:r>
      <w:r>
        <w:rPr>
          <w:rFonts w:ascii="Arial" w:eastAsia="Arial" w:hAnsi="Arial" w:cs="Arial"/>
        </w:rPr>
        <w:t xml:space="preserve"> al mismo </w:t>
      </w:r>
      <w:r>
        <w:rPr>
          <w:rFonts w:ascii="Arial" w:eastAsia="Arial" w:hAnsi="Arial" w:cs="Arial"/>
          <w:b/>
        </w:rPr>
        <w:t>asfaltada</w:t>
      </w:r>
      <w:r>
        <w:rPr>
          <w:rFonts w:ascii="Arial" w:eastAsia="Arial" w:hAnsi="Arial" w:cs="Arial"/>
        </w:rPr>
        <w:t>, que cuenta c</w:t>
      </w:r>
      <w:r>
        <w:rPr>
          <w:rFonts w:ascii="Arial" w:eastAsia="Arial" w:hAnsi="Arial" w:cs="Arial"/>
        </w:rPr>
        <w:t xml:space="preserve">on los </w:t>
      </w:r>
      <w:r>
        <w:rPr>
          <w:rFonts w:ascii="Arial" w:eastAsia="Arial" w:hAnsi="Arial" w:cs="Arial"/>
          <w:b/>
        </w:rPr>
        <w:t>servicios de agua, luz, alumbrado público</w:t>
      </w:r>
      <w:r>
        <w:rPr>
          <w:rFonts w:ascii="Arial" w:eastAsia="Arial" w:hAnsi="Arial" w:cs="Arial"/>
        </w:rPr>
        <w:t>, ubicado dentro del DPMT.</w:t>
      </w:r>
      <w:r>
        <w:rPr>
          <w:rFonts w:ascii="Times New Roman" w:eastAsia="Times New Roman" w:hAnsi="Times New Roman" w:cs="Times New Roman"/>
          <w:sz w:val="24"/>
        </w:rPr>
        <w:t xml:space="preserve"> </w:t>
      </w:r>
    </w:p>
    <w:p w:rsidR="00FF384B" w:rsidRDefault="003E3BA9">
      <w:pPr>
        <w:spacing w:after="4123"/>
        <w:ind w:left="427"/>
      </w:pPr>
      <w:r>
        <w:rPr>
          <w:rFonts w:ascii="Arial" w:eastAsia="Arial" w:hAnsi="Arial" w:cs="Arial"/>
          <w:sz w:val="24"/>
        </w:rPr>
        <w:t xml:space="preserve"> </w:t>
      </w:r>
    </w:p>
    <w:p w:rsidR="00FF384B" w:rsidRDefault="003E3BA9">
      <w:pPr>
        <w:tabs>
          <w:tab w:val="center" w:pos="3447"/>
          <w:tab w:val="center" w:pos="11937"/>
        </w:tabs>
        <w:spacing w:after="122"/>
      </w:pPr>
      <w:r>
        <w:rPr>
          <w:noProof/>
        </w:rPr>
        <mc:AlternateContent>
          <mc:Choice Requires="wpg">
            <w:drawing>
              <wp:anchor distT="0" distB="0" distL="114300" distR="114300" simplePos="0" relativeHeight="251988992" behindDoc="0" locked="0" layoutInCell="1" allowOverlap="1">
                <wp:simplePos x="0" y="0"/>
                <wp:positionH relativeFrom="column">
                  <wp:posOffset>271272</wp:posOffset>
                </wp:positionH>
                <wp:positionV relativeFrom="paragraph">
                  <wp:posOffset>-2547741</wp:posOffset>
                </wp:positionV>
                <wp:extent cx="7299961" cy="5038345"/>
                <wp:effectExtent l="0" t="0" r="0" b="0"/>
                <wp:wrapSquare wrapText="bothSides"/>
                <wp:docPr id="510510" name="Group 510510"/>
                <wp:cNvGraphicFramePr/>
                <a:graphic xmlns:a="http://schemas.openxmlformats.org/drawingml/2006/main">
                  <a:graphicData uri="http://schemas.microsoft.com/office/word/2010/wordprocessingGroup">
                    <wpg:wgp>
                      <wpg:cNvGrpSpPr/>
                      <wpg:grpSpPr>
                        <a:xfrm>
                          <a:off x="0" y="0"/>
                          <a:ext cx="7299961" cy="5038345"/>
                          <a:chOff x="0" y="0"/>
                          <a:chExt cx="7299961" cy="5038345"/>
                        </a:xfrm>
                      </wpg:grpSpPr>
                      <wps:wsp>
                        <wps:cNvPr id="510403" name="Rectangle 510403"/>
                        <wps:cNvSpPr/>
                        <wps:spPr>
                          <a:xfrm>
                            <a:off x="0" y="3551414"/>
                            <a:ext cx="103709" cy="207921"/>
                          </a:xfrm>
                          <a:prstGeom prst="rect">
                            <a:avLst/>
                          </a:prstGeom>
                          <a:ln>
                            <a:noFill/>
                          </a:ln>
                        </wps:spPr>
                        <wps:txbx>
                          <w:txbxContent>
                            <w:p w:rsidR="00FF384B" w:rsidRDefault="003E3BA9">
                              <w:r>
                                <w:rPr>
                                  <w:rFonts w:ascii="Arial" w:eastAsia="Arial" w:hAnsi="Arial" w:cs="Arial"/>
                                  <w:b/>
                                </w:rPr>
                                <w:t>5</w:t>
                              </w:r>
                            </w:p>
                          </w:txbxContent>
                        </wps:txbx>
                        <wps:bodyPr horzOverflow="overflow" vert="horz" lIns="0" tIns="0" rIns="0" bIns="0" rtlCol="0">
                          <a:noAutofit/>
                        </wps:bodyPr>
                      </wps:wsp>
                      <wps:wsp>
                        <wps:cNvPr id="510404" name="Rectangle 510404"/>
                        <wps:cNvSpPr/>
                        <wps:spPr>
                          <a:xfrm>
                            <a:off x="76133" y="3551414"/>
                            <a:ext cx="6595463" cy="207921"/>
                          </a:xfrm>
                          <a:prstGeom prst="rect">
                            <a:avLst/>
                          </a:prstGeom>
                          <a:ln>
                            <a:noFill/>
                          </a:ln>
                        </wps:spPr>
                        <wps:txbx>
                          <w:txbxContent>
                            <w:p w:rsidR="00FF384B" w:rsidRDefault="003E3BA9">
                              <w:r>
                                <w:rPr>
                                  <w:rFonts w:ascii="Arial" w:eastAsia="Arial" w:hAnsi="Arial" w:cs="Arial"/>
                                  <w:b/>
                                </w:rPr>
                                <w:t>. INNECESARIEDAD DE LOS TERRENOS PARA LA PROTECCIÓN DEL DPMT</w:t>
                              </w:r>
                            </w:p>
                          </w:txbxContent>
                        </wps:txbx>
                        <wps:bodyPr horzOverflow="overflow" vert="horz" lIns="0" tIns="0" rIns="0" bIns="0" rtlCol="0">
                          <a:noAutofit/>
                        </wps:bodyPr>
                      </wps:wsp>
                      <wps:wsp>
                        <wps:cNvPr id="56658" name="Rectangle 56658"/>
                        <wps:cNvSpPr/>
                        <wps:spPr>
                          <a:xfrm>
                            <a:off x="5031613" y="3551414"/>
                            <a:ext cx="51809" cy="207921"/>
                          </a:xfrm>
                          <a:prstGeom prst="rect">
                            <a:avLst/>
                          </a:prstGeom>
                          <a:ln>
                            <a:noFill/>
                          </a:ln>
                        </wps:spPr>
                        <wps:txbx>
                          <w:txbxContent>
                            <w:p w:rsidR="00FF384B" w:rsidRDefault="003E3BA9">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56661" name="Picture 56661"/>
                          <pic:cNvPicPr/>
                        </pic:nvPicPr>
                        <pic:blipFill>
                          <a:blip r:embed="rId159"/>
                          <a:stretch>
                            <a:fillRect/>
                          </a:stretch>
                        </pic:blipFill>
                        <pic:spPr>
                          <a:xfrm>
                            <a:off x="1937004" y="0"/>
                            <a:ext cx="5362957" cy="2680716"/>
                          </a:xfrm>
                          <a:prstGeom prst="rect">
                            <a:avLst/>
                          </a:prstGeom>
                        </pic:spPr>
                      </pic:pic>
                      <pic:pic xmlns:pic="http://schemas.openxmlformats.org/drawingml/2006/picture">
                        <pic:nvPicPr>
                          <pic:cNvPr id="56663" name="Picture 56663"/>
                          <pic:cNvPicPr/>
                        </pic:nvPicPr>
                        <pic:blipFill>
                          <a:blip r:embed="rId62"/>
                          <a:stretch>
                            <a:fillRect/>
                          </a:stretch>
                        </pic:blipFill>
                        <pic:spPr>
                          <a:xfrm rot="-5399999">
                            <a:off x="4960621" y="2961894"/>
                            <a:ext cx="3797299" cy="355600"/>
                          </a:xfrm>
                          <a:prstGeom prst="rect">
                            <a:avLst/>
                          </a:prstGeom>
                        </pic:spPr>
                      </pic:pic>
                      <wps:wsp>
                        <wps:cNvPr id="56664" name="Rectangle 56664"/>
                        <wps:cNvSpPr/>
                        <wps:spPr>
                          <a:xfrm rot="-5399999">
                            <a:off x="4732952" y="2613784"/>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665" name="Rectangle 56665"/>
                        <wps:cNvSpPr/>
                        <wps:spPr>
                          <a:xfrm rot="-5399999">
                            <a:off x="4945715" y="2750348"/>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0510" style="width:574.8pt;height:396.72pt;position:absolute;mso-position-horizontal-relative:text;mso-position-horizontal:absolute;margin-left:21.36pt;mso-position-vertical-relative:text;margin-top:-200.61pt;" coordsize="72999,50383">
                <v:rect id="Rectangle 510403" style="position:absolute;width:1037;height:2079;left:0;top:35514;" filled="f" stroked="f">
                  <v:textbox inset="0,0,0,0">
                    <w:txbxContent>
                      <w:p>
                        <w:pPr>
                          <w:spacing w:before="0" w:after="160" w:line="259" w:lineRule="auto"/>
                        </w:pPr>
                        <w:r>
                          <w:rPr>
                            <w:rFonts w:cs="Arial" w:hAnsi="Arial" w:eastAsia="Arial" w:ascii="Arial"/>
                            <w:b w:val="1"/>
                            <w:sz w:val="22"/>
                          </w:rPr>
                          <w:t xml:space="preserve">5</w:t>
                        </w:r>
                      </w:p>
                    </w:txbxContent>
                  </v:textbox>
                </v:rect>
                <v:rect id="Rectangle 510404" style="position:absolute;width:65954;height:2079;left:761;top:35514;" filled="f" stroked="f">
                  <v:textbox inset="0,0,0,0">
                    <w:txbxContent>
                      <w:p>
                        <w:pPr>
                          <w:spacing w:before="0" w:after="160" w:line="259" w:lineRule="auto"/>
                        </w:pPr>
                        <w:r>
                          <w:rPr>
                            <w:rFonts w:cs="Arial" w:hAnsi="Arial" w:eastAsia="Arial" w:ascii="Arial"/>
                            <w:b w:val="1"/>
                            <w:sz w:val="22"/>
                          </w:rPr>
                          <w:t xml:space="preserve">. INNECESARIEDAD DE LOS TERRENOS PARA LA PROTECCIÓN DEL DPMT</w:t>
                        </w:r>
                      </w:p>
                    </w:txbxContent>
                  </v:textbox>
                </v:rect>
                <v:rect id="Rectangle 56658" style="position:absolute;width:518;height:2079;left:50316;top:35514;" filled="f" stroked="f">
                  <v:textbox inset="0,0,0,0">
                    <w:txbxContent>
                      <w:p>
                        <w:pPr>
                          <w:spacing w:before="0" w:after="160" w:line="259" w:lineRule="auto"/>
                        </w:pPr>
                        <w:r>
                          <w:rPr>
                            <w:rFonts w:cs="Arial" w:hAnsi="Arial" w:eastAsia="Arial" w:ascii="Arial"/>
                            <w:b w:val="1"/>
                            <w:sz w:val="22"/>
                          </w:rPr>
                          <w:t xml:space="preserve"> </w:t>
                        </w:r>
                      </w:p>
                    </w:txbxContent>
                  </v:textbox>
                </v:rect>
                <v:shape id="Picture 56661" style="position:absolute;width:53629;height:26807;left:19370;top:0;" filled="f">
                  <v:imagedata r:id="rId160"/>
                </v:shape>
                <v:shape id="Picture 56663" style="position:absolute;width:37972;height:3556;left:49606;top:29618;rotation:-89;" filled="f">
                  <v:imagedata r:id="rId63"/>
                </v:shape>
                <v:rect id="Rectangle 56664" style="position:absolute;width:47358;height:1132;left:47329;top:2613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665" style="position:absolute;width:44627;height:1132;left:49457;top:2750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326 de 353 </w:t>
                        </w:r>
                      </w:p>
                    </w:txbxContent>
                  </v:textbox>
                </v:rect>
                <w10:wrap type="square"/>
              </v:group>
            </w:pict>
          </mc:Fallback>
        </mc:AlternateContent>
      </w:r>
      <w:r>
        <w:tab/>
      </w:r>
      <w:r>
        <w:rPr>
          <w:rFonts w:ascii="Arial" w:eastAsia="Arial" w:hAnsi="Arial" w:cs="Arial"/>
          <w:sz w:val="24"/>
        </w:rPr>
        <w:t>.</w:t>
      </w:r>
      <w:r>
        <w:rPr>
          <w:rFonts w:ascii="Arial" w:eastAsia="Arial" w:hAnsi="Arial" w:cs="Arial"/>
          <w:sz w:val="24"/>
        </w:rPr>
        <w:tab/>
      </w:r>
      <w:r>
        <w:rPr>
          <w:rFonts w:ascii="Times New Roman" w:eastAsia="Times New Roman" w:hAnsi="Times New Roman" w:cs="Times New Roman"/>
          <w:sz w:val="24"/>
        </w:rPr>
        <w:t xml:space="preserve"> </w:t>
      </w:r>
    </w:p>
    <w:p w:rsidR="00FF384B" w:rsidRDefault="003E3BA9">
      <w:pPr>
        <w:spacing w:after="96"/>
        <w:ind w:left="427"/>
      </w:pPr>
      <w:r>
        <w:rPr>
          <w:rFonts w:ascii="Arial" w:eastAsia="Arial" w:hAnsi="Arial" w:cs="Arial"/>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487"/>
        <w:ind w:left="427"/>
      </w:pPr>
      <w:r>
        <w:rPr>
          <w:rFonts w:ascii="Arial" w:eastAsia="Arial" w:hAnsi="Arial" w:cs="Arial"/>
          <w:b/>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349" w:lineRule="auto"/>
        <w:ind w:left="415" w:hanging="3"/>
        <w:jc w:val="both"/>
      </w:pPr>
      <w:r>
        <w:rPr>
          <w:rFonts w:ascii="Arial" w:eastAsia="Arial" w:hAnsi="Arial" w:cs="Arial"/>
        </w:rPr>
        <w:t xml:space="preserve">Ante la actual situación en que se encuentra el núcleo de Bajo la Cuesta, se plantea la posible </w:t>
      </w:r>
      <w:r>
        <w:rPr>
          <w:rFonts w:ascii="Arial" w:eastAsia="Arial" w:hAnsi="Arial" w:cs="Arial"/>
          <w:b/>
        </w:rPr>
        <w:t>innecesariedad de los terrenos dentro del Dominio Pú</w:t>
      </w:r>
      <w:r>
        <w:rPr>
          <w:rFonts w:ascii="Arial" w:eastAsia="Arial" w:hAnsi="Arial" w:cs="Arial"/>
          <w:b/>
        </w:rPr>
        <w:t>blico Marítimo Terrestre</w:t>
      </w:r>
      <w:r>
        <w:rPr>
          <w:rFonts w:ascii="Arial" w:eastAsia="Arial" w:hAnsi="Arial" w:cs="Arial"/>
        </w:rPr>
        <w:t xml:space="preserve"> (DPMT)</w:t>
      </w:r>
      <w:r>
        <w:rPr>
          <w:rFonts w:ascii="Arial" w:eastAsia="Arial" w:hAnsi="Arial" w:cs="Arial"/>
          <w:b/>
        </w:rPr>
        <w:t xml:space="preserve"> entre los mojones M-233 y M-250</w:t>
      </w:r>
      <w:r>
        <w:rPr>
          <w:rFonts w:ascii="Arial" w:eastAsia="Arial" w:hAnsi="Arial" w:cs="Arial"/>
        </w:rPr>
        <w:t xml:space="preserve"> del </w:t>
      </w:r>
      <w:r>
        <w:rPr>
          <w:rFonts w:ascii="Arial" w:eastAsia="Arial" w:hAnsi="Arial" w:cs="Arial"/>
          <w:b/>
        </w:rPr>
        <w:t>deslinde con referencia DL-107-TF</w:t>
      </w:r>
      <w:r>
        <w:rPr>
          <w:rFonts w:ascii="Arial" w:eastAsia="Arial" w:hAnsi="Arial" w:cs="Arial"/>
        </w:rPr>
        <w:t xml:space="preserve">, ya que éstos han </w:t>
      </w:r>
      <w:r>
        <w:rPr>
          <w:rFonts w:ascii="Arial" w:eastAsia="Arial" w:hAnsi="Arial" w:cs="Arial"/>
          <w:b/>
        </w:rPr>
        <w:t>perdido sus características naturale</w:t>
      </w:r>
      <w:r>
        <w:rPr>
          <w:rFonts w:ascii="Arial" w:eastAsia="Arial" w:hAnsi="Arial" w:cs="Arial"/>
        </w:rPr>
        <w:t xml:space="preserve">s de </w:t>
      </w:r>
      <w:r>
        <w:rPr>
          <w:rFonts w:ascii="Arial" w:eastAsia="Arial" w:hAnsi="Arial" w:cs="Arial"/>
          <w:b/>
        </w:rPr>
        <w:t>Zona Marítimo Terrestre</w:t>
      </w:r>
      <w:r>
        <w:rPr>
          <w:rFonts w:ascii="Arial" w:eastAsia="Arial" w:hAnsi="Arial" w:cs="Arial"/>
        </w:rPr>
        <w:t xml:space="preserve">, al </w:t>
      </w:r>
      <w:r>
        <w:rPr>
          <w:rFonts w:ascii="Arial" w:eastAsia="Arial" w:hAnsi="Arial" w:cs="Arial"/>
          <w:b/>
        </w:rPr>
        <w:t>efecto de solicitar posteriormente su desafección.</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55" w:lineRule="auto"/>
        <w:ind w:left="415" w:hanging="3"/>
        <w:jc w:val="both"/>
      </w:pPr>
      <w:r>
        <w:rPr>
          <w:rFonts w:ascii="Arial" w:eastAsia="Arial" w:hAnsi="Arial" w:cs="Arial"/>
        </w:rPr>
        <w:t xml:space="preserve">La </w:t>
      </w:r>
      <w:r>
        <w:rPr>
          <w:rFonts w:ascii="Arial" w:eastAsia="Arial" w:hAnsi="Arial" w:cs="Arial"/>
          <w:b/>
        </w:rPr>
        <w:t>declaración de innecesariedad</w:t>
      </w:r>
      <w:r>
        <w:rPr>
          <w:rFonts w:ascii="Arial" w:eastAsia="Arial" w:hAnsi="Arial" w:cs="Arial"/>
        </w:rPr>
        <w:t xml:space="preserve"> no puede tener un carácter genérico, </w:t>
      </w:r>
      <w:r>
        <w:rPr>
          <w:rFonts w:ascii="Arial" w:eastAsia="Arial" w:hAnsi="Arial" w:cs="Arial"/>
          <w:b/>
        </w:rPr>
        <w:t>tendrá carácter excepcional</w:t>
      </w:r>
      <w:r>
        <w:rPr>
          <w:rFonts w:ascii="Arial" w:eastAsia="Arial" w:hAnsi="Arial" w:cs="Arial"/>
        </w:rPr>
        <w:t xml:space="preserve"> y sólo procederá en </w:t>
      </w:r>
      <w:r>
        <w:rPr>
          <w:rFonts w:ascii="Arial" w:eastAsia="Arial" w:hAnsi="Arial" w:cs="Arial"/>
          <w:b/>
        </w:rPr>
        <w:t>aquellos supuestos en que resulte inviable la recuperación de los terrenos</w:t>
      </w:r>
      <w:r>
        <w:rPr>
          <w:rFonts w:ascii="Arial" w:eastAsia="Arial" w:hAnsi="Arial" w:cs="Arial"/>
        </w:rPr>
        <w:t xml:space="preserve"> o la </w:t>
      </w:r>
      <w:r>
        <w:rPr>
          <w:rFonts w:ascii="Arial" w:eastAsia="Arial" w:hAnsi="Arial" w:cs="Arial"/>
          <w:b/>
        </w:rPr>
        <w:t>utilización de los mismos para usos relacionados con la prote</w:t>
      </w:r>
      <w:r>
        <w:rPr>
          <w:rFonts w:ascii="Arial" w:eastAsia="Arial" w:hAnsi="Arial" w:cs="Arial"/>
          <w:b/>
        </w:rPr>
        <w:t>cción y utilización del dominio público marítimo-terrestre. Debe estar justificada</w:t>
      </w:r>
      <w:r>
        <w:rPr>
          <w:rFonts w:ascii="Arial" w:eastAsia="Arial" w:hAnsi="Arial" w:cs="Arial"/>
        </w:rPr>
        <w:t xml:space="preserve">, </w:t>
      </w:r>
      <w:r>
        <w:rPr>
          <w:rFonts w:ascii="Arial" w:eastAsia="Arial" w:hAnsi="Arial" w:cs="Arial"/>
          <w:b/>
        </w:rPr>
        <w:t>bien</w:t>
      </w:r>
      <w:r>
        <w:rPr>
          <w:rFonts w:ascii="Arial" w:eastAsia="Arial" w:hAnsi="Arial" w:cs="Arial"/>
        </w:rPr>
        <w:t xml:space="preserve"> por la </w:t>
      </w:r>
      <w:r>
        <w:rPr>
          <w:rFonts w:ascii="Arial" w:eastAsia="Arial" w:hAnsi="Arial" w:cs="Arial"/>
          <w:b/>
        </w:rPr>
        <w:t>existencia de usos privados con el suficiente grado de Intensidad y consolidación urbanística</w:t>
      </w:r>
      <w:r>
        <w:rPr>
          <w:rFonts w:ascii="Arial" w:eastAsia="Arial" w:hAnsi="Arial" w:cs="Arial"/>
        </w:rPr>
        <w:t xml:space="preserve">, </w:t>
      </w:r>
      <w:r>
        <w:rPr>
          <w:rFonts w:ascii="Arial" w:eastAsia="Arial" w:hAnsi="Arial" w:cs="Arial"/>
          <w:b/>
        </w:rPr>
        <w:t>bien</w:t>
      </w:r>
      <w:r>
        <w:rPr>
          <w:rFonts w:ascii="Arial" w:eastAsia="Arial" w:hAnsi="Arial" w:cs="Arial"/>
        </w:rPr>
        <w:t xml:space="preserve"> por la </w:t>
      </w:r>
      <w:r>
        <w:rPr>
          <w:rFonts w:ascii="Arial" w:eastAsia="Arial" w:hAnsi="Arial" w:cs="Arial"/>
          <w:b/>
        </w:rPr>
        <w:t>implantación de instalaciones de uso o servicio públi</w:t>
      </w:r>
      <w:r>
        <w:rPr>
          <w:rFonts w:ascii="Arial" w:eastAsia="Arial" w:hAnsi="Arial" w:cs="Arial"/>
          <w:b/>
        </w:rPr>
        <w:t>co de titularidad de Administraciones Públicas</w:t>
      </w:r>
      <w:r>
        <w:rPr>
          <w:rFonts w:ascii="Arial" w:eastAsia="Arial" w:hAnsi="Arial" w:cs="Arial"/>
        </w:rPr>
        <w:t xml:space="preserve"> cuya continuidad podría resultar incompatible con la afectación al dominio público marítimo-terrestre.</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49" w:lineRule="auto"/>
        <w:ind w:left="415" w:hanging="3"/>
        <w:jc w:val="both"/>
      </w:pPr>
      <w:r>
        <w:rPr>
          <w:rFonts w:ascii="Arial" w:eastAsia="Arial" w:hAnsi="Arial" w:cs="Arial"/>
        </w:rPr>
        <w:t xml:space="preserve">De acuerdo con ello, tal como recoge la </w:t>
      </w:r>
      <w:r>
        <w:rPr>
          <w:rFonts w:ascii="Arial" w:eastAsia="Arial" w:hAnsi="Arial" w:cs="Arial"/>
          <w:b/>
        </w:rPr>
        <w:t>Sentencia de la Audiencia Nacional</w:t>
      </w:r>
      <w:r>
        <w:rPr>
          <w:rFonts w:ascii="Arial" w:eastAsia="Arial" w:hAnsi="Arial" w:cs="Arial"/>
        </w:rPr>
        <w:t xml:space="preserve"> </w:t>
      </w:r>
      <w:r>
        <w:rPr>
          <w:rFonts w:ascii="Arial" w:eastAsia="Arial" w:hAnsi="Arial" w:cs="Arial"/>
          <w:b/>
        </w:rPr>
        <w:t>SAN 4247/2017</w:t>
      </w:r>
      <w:r>
        <w:rPr>
          <w:rFonts w:ascii="Arial" w:eastAsia="Arial" w:hAnsi="Arial" w:cs="Arial"/>
        </w:rPr>
        <w:t xml:space="preserve"> de 26 de septi</w:t>
      </w:r>
      <w:r>
        <w:rPr>
          <w:rFonts w:ascii="Arial" w:eastAsia="Arial" w:hAnsi="Arial" w:cs="Arial"/>
        </w:rPr>
        <w:t xml:space="preserve">embre de 2017, </w:t>
      </w:r>
      <w:r>
        <w:rPr>
          <w:rFonts w:ascii="Arial" w:eastAsia="Arial" w:hAnsi="Arial" w:cs="Arial"/>
          <w:b/>
        </w:rPr>
        <w:t>se establece</w:t>
      </w:r>
      <w:r>
        <w:rPr>
          <w:rFonts w:ascii="Arial" w:eastAsia="Arial" w:hAnsi="Arial" w:cs="Arial"/>
        </w:rPr>
        <w:t xml:space="preserve"> </w:t>
      </w:r>
      <w:r>
        <w:rPr>
          <w:rFonts w:ascii="Arial" w:eastAsia="Arial" w:hAnsi="Arial" w:cs="Arial"/>
          <w:b/>
        </w:rPr>
        <w:t>un criterio general</w:t>
      </w:r>
      <w:r>
        <w:rPr>
          <w:rFonts w:ascii="Arial" w:eastAsia="Arial" w:hAnsi="Arial" w:cs="Arial"/>
        </w:rPr>
        <w:t xml:space="preserve">, de modo que </w:t>
      </w:r>
      <w:r>
        <w:rPr>
          <w:rFonts w:ascii="Arial" w:eastAsia="Arial" w:hAnsi="Arial" w:cs="Arial"/>
          <w:b/>
        </w:rPr>
        <w:t>los terrenos que cumplan la totalidad de los requisitos</w:t>
      </w:r>
      <w:r>
        <w:rPr>
          <w:rFonts w:ascii="Arial" w:eastAsia="Arial" w:hAnsi="Arial" w:cs="Arial"/>
        </w:rPr>
        <w:t xml:space="preserve"> se </w:t>
      </w:r>
      <w:r>
        <w:rPr>
          <w:rFonts w:ascii="Arial" w:eastAsia="Arial" w:hAnsi="Arial" w:cs="Arial"/>
          <w:b/>
        </w:rPr>
        <w:t>consideran</w:t>
      </w:r>
      <w:r>
        <w:rPr>
          <w:rFonts w:ascii="Arial" w:eastAsia="Arial" w:hAnsi="Arial" w:cs="Arial"/>
        </w:rPr>
        <w:t>,</w:t>
      </w:r>
      <w:r>
        <w:rPr>
          <w:rFonts w:ascii="Arial" w:eastAsia="Arial" w:hAnsi="Arial" w:cs="Arial"/>
          <w:b/>
        </w:rPr>
        <w:t xml:space="preserve"> en principio y a nivel de propuesta</w:t>
      </w:r>
      <w:r>
        <w:rPr>
          <w:rFonts w:ascii="Arial" w:eastAsia="Arial" w:hAnsi="Arial" w:cs="Arial"/>
        </w:rPr>
        <w:t xml:space="preserve">, como </w:t>
      </w:r>
      <w:r>
        <w:rPr>
          <w:rFonts w:ascii="Arial" w:eastAsia="Arial" w:hAnsi="Arial" w:cs="Arial"/>
          <w:b/>
        </w:rPr>
        <w:t>Innecesarios para la protección y utilización del dominio público marítimo-</w:t>
      </w:r>
      <w:r>
        <w:rPr>
          <w:rFonts w:ascii="Arial" w:eastAsia="Arial" w:hAnsi="Arial" w:cs="Arial"/>
          <w:b/>
        </w:rPr>
        <w:t>terrestre</w:t>
      </w:r>
      <w:r>
        <w:rPr>
          <w:rFonts w:ascii="Arial" w:eastAsia="Arial" w:hAnsi="Arial" w:cs="Arial"/>
        </w:rPr>
        <w:t>:</w:t>
      </w:r>
      <w:r>
        <w:rPr>
          <w:rFonts w:ascii="Times New Roman" w:eastAsia="Times New Roman" w:hAnsi="Times New Roman" w:cs="Times New Roman"/>
          <w:sz w:val="24"/>
        </w:rPr>
        <w:t xml:space="preserve"> </w:t>
      </w:r>
    </w:p>
    <w:p w:rsidR="00FF384B" w:rsidRDefault="003E3BA9">
      <w:pPr>
        <w:spacing w:after="105"/>
        <w:ind w:left="427"/>
      </w:pPr>
      <w:r>
        <w:rPr>
          <w:rFonts w:ascii="Arial" w:eastAsia="Arial" w:hAnsi="Arial" w:cs="Arial"/>
        </w:rPr>
        <w:t xml:space="preserve"> </w:t>
      </w:r>
    </w:p>
    <w:p w:rsidR="00FF384B" w:rsidRDefault="003E3BA9">
      <w:pPr>
        <w:spacing w:after="150" w:line="247" w:lineRule="auto"/>
        <w:ind w:left="437" w:right="244" w:hanging="10"/>
        <w:jc w:val="both"/>
      </w:pPr>
      <w:r>
        <w:rPr>
          <w:rFonts w:ascii="Arial" w:eastAsia="Arial" w:hAnsi="Arial" w:cs="Arial"/>
        </w:rPr>
        <w:t xml:space="preserve">Este supuesto de innecesariedad incluye los terrenos que cumplan con todos y cada uno de los siguientes criterios: </w:t>
      </w:r>
    </w:p>
    <w:p w:rsidR="00FF384B" w:rsidRDefault="003E3BA9">
      <w:pPr>
        <w:numPr>
          <w:ilvl w:val="0"/>
          <w:numId w:val="335"/>
        </w:numPr>
        <w:spacing w:after="5" w:line="346" w:lineRule="auto"/>
        <w:ind w:hanging="360"/>
        <w:jc w:val="both"/>
      </w:pPr>
      <w:r>
        <w:rPr>
          <w:rFonts w:ascii="Arial" w:eastAsia="Arial" w:hAnsi="Arial" w:cs="Arial"/>
          <w:b/>
        </w:rPr>
        <w:t>La desecación del terreno se ha realizado al amparo de un título concesional</w:t>
      </w:r>
      <w:r>
        <w:rPr>
          <w:rFonts w:ascii="Arial" w:eastAsia="Arial" w:hAnsi="Arial" w:cs="Arial"/>
        </w:rPr>
        <w:t xml:space="preserve"> otorgado por la Administración con esa finalidad,</w:t>
      </w:r>
      <w:r>
        <w:rPr>
          <w:rFonts w:ascii="Arial" w:eastAsia="Arial" w:hAnsi="Arial" w:cs="Arial"/>
        </w:rPr>
        <w:t xml:space="preserve"> el cual no se ha extinguido por caducidad o rescate.</w:t>
      </w:r>
      <w:r>
        <w:rPr>
          <w:rFonts w:ascii="Times New Roman" w:eastAsia="Times New Roman" w:hAnsi="Times New Roman" w:cs="Times New Roman"/>
          <w:sz w:val="24"/>
        </w:rPr>
        <w:t xml:space="preserve"> </w:t>
      </w:r>
    </w:p>
    <w:p w:rsidR="00FF384B" w:rsidRDefault="003E3BA9">
      <w:pPr>
        <w:numPr>
          <w:ilvl w:val="0"/>
          <w:numId w:val="335"/>
        </w:numPr>
        <w:spacing w:after="5" w:line="353" w:lineRule="auto"/>
        <w:ind w:hanging="360"/>
        <w:jc w:val="both"/>
      </w:pPr>
      <w:r>
        <w:rPr>
          <w:noProof/>
        </w:rPr>
        <mc:AlternateContent>
          <mc:Choice Requires="wpg">
            <w:drawing>
              <wp:anchor distT="0" distB="0" distL="114300" distR="114300" simplePos="0" relativeHeight="251990016" behindDoc="1" locked="0" layoutInCell="1" allowOverlap="1">
                <wp:simplePos x="0" y="0"/>
                <wp:positionH relativeFrom="column">
                  <wp:posOffset>6952743</wp:posOffset>
                </wp:positionH>
                <wp:positionV relativeFrom="paragraph">
                  <wp:posOffset>-1892626</wp:posOffset>
                </wp:positionV>
                <wp:extent cx="524148" cy="3797300"/>
                <wp:effectExtent l="0" t="0" r="0" b="0"/>
                <wp:wrapNone/>
                <wp:docPr id="511319" name="Group 51131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819" name="Picture 56819"/>
                          <pic:cNvPicPr/>
                        </pic:nvPicPr>
                        <pic:blipFill>
                          <a:blip r:embed="rId62"/>
                          <a:stretch>
                            <a:fillRect/>
                          </a:stretch>
                        </pic:blipFill>
                        <pic:spPr>
                          <a:xfrm rot="-5399999">
                            <a:off x="-1720849" y="1720850"/>
                            <a:ext cx="3797299" cy="355600"/>
                          </a:xfrm>
                          <a:prstGeom prst="rect">
                            <a:avLst/>
                          </a:prstGeom>
                        </pic:spPr>
                      </pic:pic>
                      <wps:wsp>
                        <wps:cNvPr id="56820" name="Rectangle 5682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821" name="Rectangle 5682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319" style="width:41.2715pt;height:299pt;position:absolute;z-index:-2147483501;mso-position-horizontal-relative:text;mso-position-horizontal:absolute;margin-left:547.46pt;mso-position-vertical-relative:text;margin-top:-149.026pt;" coordsize="5241,37973">
                <v:shape id="Picture 56819" style="position:absolute;width:37972;height:3556;left:-17208;top:17208;rotation:-89;" filled="f">
                  <v:imagedata r:id="rId63"/>
                </v:shape>
                <v:rect id="Rectangle 5682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82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327 de 353 </w:t>
                        </w:r>
                      </w:p>
                    </w:txbxContent>
                  </v:textbox>
                </v:rect>
              </v:group>
            </w:pict>
          </mc:Fallback>
        </mc:AlternateContent>
      </w:r>
      <w:r>
        <w:rPr>
          <w:rFonts w:ascii="Arial" w:eastAsia="Arial" w:hAnsi="Arial" w:cs="Arial"/>
        </w:rPr>
        <w:t xml:space="preserve">La </w:t>
      </w:r>
      <w:r>
        <w:rPr>
          <w:rFonts w:ascii="Arial" w:eastAsia="Arial" w:hAnsi="Arial" w:cs="Arial"/>
        </w:rPr>
        <w:t xml:space="preserve">eventual recuperación de las características naturales requeriría el </w:t>
      </w:r>
      <w:r>
        <w:rPr>
          <w:rFonts w:ascii="Arial" w:eastAsia="Arial" w:hAnsi="Arial" w:cs="Arial"/>
          <w:b/>
        </w:rPr>
        <w:t>levantamiento</w:t>
      </w:r>
      <w:r>
        <w:rPr>
          <w:rFonts w:ascii="Arial" w:eastAsia="Arial" w:hAnsi="Arial" w:cs="Arial"/>
        </w:rPr>
        <w:t xml:space="preserve"> (y consiguiente traslado a otro punto de vertido) </w:t>
      </w:r>
      <w:r>
        <w:rPr>
          <w:rFonts w:ascii="Arial" w:eastAsia="Arial" w:hAnsi="Arial" w:cs="Arial"/>
          <w:b/>
        </w:rPr>
        <w:t>de rellenos consolidados</w:t>
      </w:r>
      <w:r>
        <w:rPr>
          <w:rFonts w:ascii="Arial" w:eastAsia="Arial" w:hAnsi="Arial" w:cs="Arial"/>
        </w:rPr>
        <w:t xml:space="preserve"> que </w:t>
      </w:r>
      <w:r>
        <w:rPr>
          <w:rFonts w:ascii="Arial" w:eastAsia="Arial" w:hAnsi="Arial" w:cs="Arial"/>
          <w:b/>
        </w:rPr>
        <w:t>dan soporte a las edificaciones</w:t>
      </w:r>
      <w:r>
        <w:rPr>
          <w:rFonts w:ascii="Arial" w:eastAsia="Arial" w:hAnsi="Arial" w:cs="Arial"/>
        </w:rPr>
        <w:t xml:space="preserve">, con </w:t>
      </w:r>
      <w:r>
        <w:rPr>
          <w:rFonts w:ascii="Arial" w:eastAsia="Arial" w:hAnsi="Arial" w:cs="Arial"/>
          <w:b/>
        </w:rPr>
        <w:t>vocación de permanencia</w:t>
      </w:r>
      <w:r>
        <w:rPr>
          <w:rFonts w:ascii="Arial" w:eastAsia="Arial" w:hAnsi="Arial" w:cs="Arial"/>
        </w:rPr>
        <w:t xml:space="preserve"> y usos intensivos </w:t>
      </w:r>
      <w:r>
        <w:rPr>
          <w:rFonts w:ascii="Arial" w:eastAsia="Arial" w:hAnsi="Arial" w:cs="Arial"/>
          <w:b/>
        </w:rPr>
        <w:t>integrados en u</w:t>
      </w:r>
      <w:r>
        <w:rPr>
          <w:rFonts w:ascii="Arial" w:eastAsia="Arial" w:hAnsi="Arial" w:cs="Arial"/>
          <w:b/>
        </w:rPr>
        <w:t>na trama urbana consolidada</w:t>
      </w:r>
      <w:r>
        <w:rPr>
          <w:rFonts w:ascii="Arial" w:eastAsia="Arial" w:hAnsi="Arial" w:cs="Arial"/>
        </w:rPr>
        <w:t xml:space="preserve">, con un </w:t>
      </w:r>
      <w:r>
        <w:rPr>
          <w:rFonts w:ascii="Arial" w:eastAsia="Arial" w:hAnsi="Arial" w:cs="Arial"/>
          <w:b/>
        </w:rPr>
        <w:t>coste desproporcionado respecto al beneficio</w:t>
      </w:r>
      <w:r>
        <w:rPr>
          <w:rFonts w:ascii="Arial" w:eastAsia="Arial" w:hAnsi="Arial" w:cs="Arial"/>
        </w:rPr>
        <w:t xml:space="preserve"> que se conseguiría con la recuperación.</w:t>
      </w:r>
      <w:r>
        <w:rPr>
          <w:rFonts w:ascii="Times New Roman" w:eastAsia="Times New Roman" w:hAnsi="Times New Roman" w:cs="Times New Roman"/>
          <w:sz w:val="24"/>
        </w:rPr>
        <w:t xml:space="preserve"> </w:t>
      </w:r>
    </w:p>
    <w:p w:rsidR="00FF384B" w:rsidRDefault="003E3BA9">
      <w:pPr>
        <w:numPr>
          <w:ilvl w:val="0"/>
          <w:numId w:val="335"/>
        </w:numPr>
        <w:spacing w:after="15" w:line="344" w:lineRule="auto"/>
        <w:ind w:hanging="360"/>
        <w:jc w:val="both"/>
      </w:pPr>
      <w:r>
        <w:rPr>
          <w:rFonts w:ascii="Arial" w:eastAsia="Arial" w:hAnsi="Arial" w:cs="Arial"/>
        </w:rPr>
        <w:t xml:space="preserve">El </w:t>
      </w:r>
      <w:r>
        <w:rPr>
          <w:rFonts w:ascii="Arial" w:eastAsia="Arial" w:hAnsi="Arial" w:cs="Arial"/>
          <w:b/>
        </w:rPr>
        <w:t>terreno desecado</w:t>
      </w:r>
      <w:r>
        <w:rPr>
          <w:rFonts w:ascii="Arial" w:eastAsia="Arial" w:hAnsi="Arial" w:cs="Arial"/>
        </w:rPr>
        <w:t xml:space="preserve"> estaba </w:t>
      </w:r>
      <w:r>
        <w:rPr>
          <w:rFonts w:ascii="Arial" w:eastAsia="Arial" w:hAnsi="Arial" w:cs="Arial"/>
          <w:b/>
        </w:rPr>
        <w:t>clasificado como urbano a la fecha de entrada en vigor de la Ley de Costas</w:t>
      </w:r>
      <w:r>
        <w:rPr>
          <w:rFonts w:ascii="Arial" w:eastAsia="Arial" w:hAnsi="Arial" w:cs="Arial"/>
        </w:rPr>
        <w:t xml:space="preserve">, y sus </w:t>
      </w:r>
      <w:r>
        <w:rPr>
          <w:rFonts w:ascii="Arial" w:eastAsia="Arial" w:hAnsi="Arial" w:cs="Arial"/>
          <w:b/>
        </w:rPr>
        <w:t>condiciones de utilizació</w:t>
      </w:r>
      <w:r>
        <w:rPr>
          <w:rFonts w:ascii="Arial" w:eastAsia="Arial" w:hAnsi="Arial" w:cs="Arial"/>
          <w:b/>
        </w:rPr>
        <w:t xml:space="preserve">n </w:t>
      </w:r>
      <w:r>
        <w:rPr>
          <w:rFonts w:ascii="Arial" w:eastAsia="Arial" w:hAnsi="Arial" w:cs="Arial"/>
        </w:rPr>
        <w:t xml:space="preserve">privativa se mantienen de forma ininterrumpida desde dicha fecha hasta la </w:t>
      </w:r>
      <w:r>
        <w:rPr>
          <w:rFonts w:ascii="Arial" w:eastAsia="Arial" w:hAnsi="Arial" w:cs="Arial"/>
          <w:b/>
        </w:rPr>
        <w:t>actualidad</w:t>
      </w:r>
      <w:r>
        <w:rPr>
          <w:rFonts w:ascii="Arial" w:eastAsia="Arial" w:hAnsi="Arial" w:cs="Arial"/>
        </w:rPr>
        <w:t>.</w:t>
      </w:r>
      <w:r>
        <w:rPr>
          <w:rFonts w:ascii="Times New Roman" w:eastAsia="Times New Roman" w:hAnsi="Times New Roman" w:cs="Times New Roman"/>
          <w:sz w:val="24"/>
        </w:rPr>
        <w:t xml:space="preserve"> </w:t>
      </w:r>
    </w:p>
    <w:p w:rsidR="00FF384B" w:rsidRDefault="003E3BA9">
      <w:pPr>
        <w:numPr>
          <w:ilvl w:val="0"/>
          <w:numId w:val="335"/>
        </w:numPr>
        <w:spacing w:after="5" w:line="344" w:lineRule="auto"/>
        <w:ind w:hanging="360"/>
        <w:jc w:val="both"/>
      </w:pPr>
      <w:r>
        <w:rPr>
          <w:rFonts w:ascii="Arial" w:eastAsia="Arial" w:hAnsi="Arial" w:cs="Arial"/>
        </w:rPr>
        <w:t xml:space="preserve">El </w:t>
      </w:r>
      <w:r>
        <w:rPr>
          <w:rFonts w:ascii="Arial" w:eastAsia="Arial" w:hAnsi="Arial" w:cs="Arial"/>
          <w:b/>
        </w:rPr>
        <w:t>uso existente</w:t>
      </w:r>
      <w:r>
        <w:rPr>
          <w:rFonts w:ascii="Arial" w:eastAsia="Arial" w:hAnsi="Arial" w:cs="Arial"/>
        </w:rPr>
        <w:t xml:space="preserve"> </w:t>
      </w:r>
      <w:r>
        <w:rPr>
          <w:rFonts w:ascii="Arial" w:eastAsia="Arial" w:hAnsi="Arial" w:cs="Arial"/>
          <w:b/>
        </w:rPr>
        <w:t>no tiene cabida dentro del dominio público marítimo-terrestre</w:t>
      </w:r>
      <w:r>
        <w:rPr>
          <w:rFonts w:ascii="Arial" w:eastAsia="Arial" w:hAnsi="Arial" w:cs="Arial"/>
        </w:rPr>
        <w:t xml:space="preserve"> con arreglo a las condiciones establecidas </w:t>
      </w:r>
      <w:r>
        <w:rPr>
          <w:rFonts w:ascii="Arial" w:eastAsia="Arial" w:hAnsi="Arial" w:cs="Arial"/>
          <w:b/>
        </w:rPr>
        <w:t>en la actual Ley de Costas</w:t>
      </w:r>
      <w:r>
        <w:rPr>
          <w:rFonts w:ascii="Arial" w:eastAsia="Arial" w:hAnsi="Arial" w:cs="Arial"/>
        </w:rPr>
        <w:t>, ya que no requiere dicha ubicación por la naturaleza de la actividad, ni por la configuración física del tramo de costa</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54" w:lineRule="auto"/>
        <w:ind w:left="415" w:hanging="3"/>
        <w:jc w:val="both"/>
      </w:pPr>
      <w:r>
        <w:rPr>
          <w:rFonts w:ascii="Arial" w:eastAsia="Arial" w:hAnsi="Arial" w:cs="Arial"/>
          <w:b/>
        </w:rPr>
        <w:t>Si se cumpliese con todos los criterios</w:t>
      </w:r>
      <w:r>
        <w:rPr>
          <w:rFonts w:ascii="Arial" w:eastAsia="Arial" w:hAnsi="Arial" w:cs="Arial"/>
        </w:rPr>
        <w:t xml:space="preserve"> y se contase con los </w:t>
      </w:r>
      <w:r>
        <w:rPr>
          <w:rFonts w:ascii="Arial" w:eastAsia="Arial" w:hAnsi="Arial" w:cs="Arial"/>
          <w:b/>
        </w:rPr>
        <w:t>informes preceptivos</w:t>
      </w:r>
      <w:r>
        <w:rPr>
          <w:rFonts w:ascii="Arial" w:eastAsia="Arial" w:hAnsi="Arial" w:cs="Arial"/>
        </w:rPr>
        <w:t xml:space="preserve"> del </w:t>
      </w:r>
      <w:r>
        <w:rPr>
          <w:rFonts w:ascii="Arial" w:eastAsia="Arial" w:hAnsi="Arial" w:cs="Arial"/>
          <w:b/>
        </w:rPr>
        <w:t>Ayuntamiento</w:t>
      </w:r>
      <w:r>
        <w:rPr>
          <w:rFonts w:ascii="Arial" w:eastAsia="Arial" w:hAnsi="Arial" w:cs="Arial"/>
        </w:rPr>
        <w:t xml:space="preserve"> y la </w:t>
      </w:r>
      <w:r>
        <w:rPr>
          <w:rFonts w:ascii="Arial" w:eastAsia="Arial" w:hAnsi="Arial" w:cs="Arial"/>
          <w:b/>
        </w:rPr>
        <w:t>Comunidad Autónoma</w:t>
      </w:r>
      <w:r>
        <w:rPr>
          <w:rFonts w:ascii="Arial" w:eastAsia="Arial" w:hAnsi="Arial" w:cs="Arial"/>
        </w:rPr>
        <w:t>, una vez</w:t>
      </w:r>
      <w:r>
        <w:rPr>
          <w:rFonts w:ascii="Arial" w:eastAsia="Arial" w:hAnsi="Arial" w:cs="Arial"/>
        </w:rPr>
        <w:t xml:space="preserve"> </w:t>
      </w:r>
      <w:r>
        <w:rPr>
          <w:rFonts w:ascii="Arial" w:eastAsia="Arial" w:hAnsi="Arial" w:cs="Arial"/>
          <w:b/>
        </w:rPr>
        <w:t xml:space="preserve">declarada la innecesariedad </w:t>
      </w:r>
      <w:r>
        <w:rPr>
          <w:rFonts w:ascii="Arial" w:eastAsia="Arial" w:hAnsi="Arial" w:cs="Arial"/>
        </w:rPr>
        <w:t xml:space="preserve">de los terrenos a realizar por el </w:t>
      </w:r>
      <w:r>
        <w:rPr>
          <w:rFonts w:ascii="Arial" w:eastAsia="Arial" w:hAnsi="Arial" w:cs="Arial"/>
          <w:b/>
        </w:rPr>
        <w:t>Ministerio para la Transición Ecológica y Reto Demográfico, podrá solicitarse su desafectación</w:t>
      </w:r>
      <w:r>
        <w:rPr>
          <w:rFonts w:ascii="Arial" w:eastAsia="Arial" w:hAnsi="Arial" w:cs="Arial"/>
        </w:rPr>
        <w:t xml:space="preserve"> al Ministerio de Hacienda y Administraciones Públicas. La </w:t>
      </w:r>
      <w:r>
        <w:rPr>
          <w:rFonts w:ascii="Arial" w:eastAsia="Arial" w:hAnsi="Arial" w:cs="Arial"/>
          <w:b/>
        </w:rPr>
        <w:t>Desafecctación</w:t>
      </w:r>
      <w:r>
        <w:rPr>
          <w:rFonts w:ascii="Arial" w:eastAsia="Arial" w:hAnsi="Arial" w:cs="Arial"/>
        </w:rPr>
        <w:t xml:space="preserve"> de los terrenos solo podr</w:t>
      </w:r>
      <w:r>
        <w:rPr>
          <w:rFonts w:ascii="Arial" w:eastAsia="Arial" w:hAnsi="Arial" w:cs="Arial"/>
        </w:rPr>
        <w:t xml:space="preserve">á realizarse en el </w:t>
      </w:r>
      <w:r>
        <w:rPr>
          <w:rFonts w:ascii="Arial" w:eastAsia="Arial" w:hAnsi="Arial" w:cs="Arial"/>
          <w:b/>
        </w:rPr>
        <w:t>supuesto del apartado 5 del artículo 4 de la Ley 22/1988, de 28 de julio</w:t>
      </w:r>
      <w:r>
        <w:rPr>
          <w:rFonts w:ascii="Arial" w:eastAsia="Arial" w:hAnsi="Arial" w:cs="Arial"/>
        </w:rPr>
        <w:t xml:space="preserve">, y concordantes del reglamento, es decir, </w:t>
      </w:r>
      <w:r>
        <w:rPr>
          <w:rFonts w:ascii="Arial" w:eastAsia="Arial" w:hAnsi="Arial" w:cs="Arial"/>
          <w:b/>
        </w:rPr>
        <w:t>terrenos deslindados como dominio público</w:t>
      </w:r>
      <w:r>
        <w:rPr>
          <w:rFonts w:ascii="Arial" w:eastAsia="Arial" w:hAnsi="Arial" w:cs="Arial"/>
        </w:rPr>
        <w:t xml:space="preserve"> que </w:t>
      </w:r>
      <w:r>
        <w:rPr>
          <w:rFonts w:ascii="Arial" w:eastAsia="Arial" w:hAnsi="Arial" w:cs="Arial"/>
          <w:b/>
        </w:rPr>
        <w:t>por cualquier causa han perdido sus características naturales</w:t>
      </w:r>
      <w:r>
        <w:rPr>
          <w:rFonts w:ascii="Arial" w:eastAsia="Arial" w:hAnsi="Arial" w:cs="Arial"/>
        </w:rPr>
        <w:t xml:space="preserve"> </w:t>
      </w:r>
      <w:r>
        <w:rPr>
          <w:rFonts w:ascii="Arial" w:eastAsia="Arial" w:hAnsi="Arial" w:cs="Arial"/>
        </w:rPr>
        <w:t xml:space="preserve">de playa, acantilado, o zona marítimo-terrestre, </w:t>
      </w:r>
      <w:r>
        <w:rPr>
          <w:rFonts w:ascii="Arial" w:eastAsia="Arial" w:hAnsi="Arial" w:cs="Arial"/>
          <w:b/>
        </w:rPr>
        <w:t>salvo lo previsto en el artículo 18.</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15" w:line="350" w:lineRule="auto"/>
        <w:ind w:left="415" w:hanging="3"/>
        <w:jc w:val="both"/>
      </w:pPr>
      <w:r>
        <w:rPr>
          <w:rFonts w:ascii="Arial" w:eastAsia="Arial" w:hAnsi="Arial" w:cs="Arial"/>
        </w:rPr>
        <w:t xml:space="preserve">Estos terrenos </w:t>
      </w:r>
      <w:r>
        <w:rPr>
          <w:rFonts w:ascii="Arial" w:eastAsia="Arial" w:hAnsi="Arial" w:cs="Arial"/>
          <w:b/>
        </w:rPr>
        <w:t xml:space="preserve">podrán ser cedidos </w:t>
      </w:r>
      <w:r>
        <w:rPr>
          <w:rFonts w:ascii="Arial" w:eastAsia="Arial" w:hAnsi="Arial" w:cs="Arial"/>
        </w:rPr>
        <w:t xml:space="preserve">gratuitamente </w:t>
      </w:r>
      <w:r>
        <w:rPr>
          <w:rFonts w:ascii="Arial" w:eastAsia="Arial" w:hAnsi="Arial" w:cs="Arial"/>
          <w:b/>
        </w:rPr>
        <w:t>al Municipio o a la Comunidad Autónoma</w:t>
      </w:r>
      <w:r>
        <w:rPr>
          <w:rFonts w:ascii="Arial" w:eastAsia="Arial" w:hAnsi="Arial" w:cs="Arial"/>
        </w:rPr>
        <w:t xml:space="preserve">, </w:t>
      </w:r>
      <w:r>
        <w:rPr>
          <w:rFonts w:ascii="Arial" w:eastAsia="Arial" w:hAnsi="Arial" w:cs="Arial"/>
          <w:b/>
        </w:rPr>
        <w:t xml:space="preserve">condicionándose </w:t>
      </w:r>
      <w:r>
        <w:rPr>
          <w:rFonts w:ascii="Arial" w:eastAsia="Arial" w:hAnsi="Arial" w:cs="Arial"/>
        </w:rPr>
        <w:t>la cesión</w:t>
      </w:r>
      <w:r>
        <w:rPr>
          <w:rFonts w:ascii="Arial" w:eastAsia="Arial" w:hAnsi="Arial" w:cs="Arial"/>
          <w:b/>
        </w:rPr>
        <w:t xml:space="preserve"> a que se destinen a finalidades de uso o servicio púb</w:t>
      </w:r>
      <w:r>
        <w:rPr>
          <w:rFonts w:ascii="Arial" w:eastAsia="Arial" w:hAnsi="Arial" w:cs="Arial"/>
          <w:b/>
        </w:rPr>
        <w:t xml:space="preserve">lico, </w:t>
      </w:r>
      <w:r>
        <w:rPr>
          <w:rFonts w:ascii="Arial" w:eastAsia="Arial" w:hAnsi="Arial" w:cs="Arial"/>
        </w:rPr>
        <w:t xml:space="preserve">es decir, los terrenos cuya posible innecesariedad se está informando, </w:t>
      </w:r>
      <w:r>
        <w:rPr>
          <w:rFonts w:ascii="Arial" w:eastAsia="Arial" w:hAnsi="Arial" w:cs="Arial"/>
          <w:b/>
        </w:rPr>
        <w:t>NUNCA PODRÍAN SER DE TITULARIDAD PRIVADA.</w:t>
      </w:r>
      <w:r>
        <w:rPr>
          <w:rFonts w:ascii="Times New Roman" w:eastAsia="Times New Roman" w:hAnsi="Times New Roman" w:cs="Times New Roman"/>
          <w:sz w:val="24"/>
        </w:rPr>
        <w:t xml:space="preserve"> </w:t>
      </w:r>
    </w:p>
    <w:p w:rsidR="00FF384B" w:rsidRDefault="003E3BA9">
      <w:pPr>
        <w:spacing w:after="105"/>
        <w:ind w:left="427"/>
      </w:pPr>
      <w:r>
        <w:rPr>
          <w:rFonts w:ascii="Arial" w:eastAsia="Arial" w:hAnsi="Arial" w:cs="Arial"/>
        </w:rPr>
        <w:t xml:space="preserve"> </w:t>
      </w:r>
    </w:p>
    <w:p w:rsidR="00FF384B" w:rsidRDefault="003E3BA9">
      <w:pPr>
        <w:spacing w:after="103"/>
        <w:ind w:left="427"/>
      </w:pPr>
      <w:r>
        <w:rPr>
          <w:rFonts w:ascii="Arial" w:eastAsia="Arial" w:hAnsi="Arial" w:cs="Arial"/>
        </w:rPr>
        <w:t xml:space="preserve"> </w:t>
      </w:r>
    </w:p>
    <w:p w:rsidR="00FF384B" w:rsidRDefault="003E3BA9">
      <w:pPr>
        <w:spacing w:after="118" w:line="247" w:lineRule="auto"/>
        <w:ind w:left="415" w:hanging="3"/>
        <w:jc w:val="both"/>
      </w:pPr>
      <w:r>
        <w:rPr>
          <w:rFonts w:ascii="Arial" w:eastAsia="Arial" w:hAnsi="Arial" w:cs="Arial"/>
          <w:b/>
        </w:rPr>
        <w:t xml:space="preserve">6. CONCLUSIONES </w:t>
      </w:r>
    </w:p>
    <w:p w:rsidR="00FF384B" w:rsidRDefault="003E3BA9">
      <w:pPr>
        <w:spacing w:after="103"/>
        <w:ind w:left="427"/>
      </w:pPr>
      <w:r>
        <w:rPr>
          <w:rFonts w:ascii="Arial" w:eastAsia="Arial" w:hAnsi="Arial" w:cs="Arial"/>
        </w:rPr>
        <w:t xml:space="preserve"> </w:t>
      </w:r>
    </w:p>
    <w:p w:rsidR="00FF384B" w:rsidRDefault="003E3BA9">
      <w:pPr>
        <w:spacing w:after="15" w:line="349" w:lineRule="auto"/>
        <w:ind w:left="415" w:hanging="3"/>
        <w:jc w:val="both"/>
      </w:pPr>
      <w:r>
        <w:rPr>
          <w:noProof/>
        </w:rPr>
        <mc:AlternateContent>
          <mc:Choice Requires="wpg">
            <w:drawing>
              <wp:anchor distT="0" distB="0" distL="114300" distR="114300" simplePos="0" relativeHeight="251991040" behindDoc="1" locked="0" layoutInCell="1" allowOverlap="1">
                <wp:simplePos x="0" y="0"/>
                <wp:positionH relativeFrom="column">
                  <wp:posOffset>6952743</wp:posOffset>
                </wp:positionH>
                <wp:positionV relativeFrom="paragraph">
                  <wp:posOffset>-1641332</wp:posOffset>
                </wp:positionV>
                <wp:extent cx="524148" cy="3797300"/>
                <wp:effectExtent l="0" t="0" r="0" b="0"/>
                <wp:wrapNone/>
                <wp:docPr id="511597" name="Group 51159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6951" name="Picture 56951"/>
                          <pic:cNvPicPr/>
                        </pic:nvPicPr>
                        <pic:blipFill>
                          <a:blip r:embed="rId62"/>
                          <a:stretch>
                            <a:fillRect/>
                          </a:stretch>
                        </pic:blipFill>
                        <pic:spPr>
                          <a:xfrm rot="-5399999">
                            <a:off x="-1720849" y="1720850"/>
                            <a:ext cx="3797299" cy="355600"/>
                          </a:xfrm>
                          <a:prstGeom prst="rect">
                            <a:avLst/>
                          </a:prstGeom>
                        </pic:spPr>
                      </pic:pic>
                      <wps:wsp>
                        <wps:cNvPr id="56952" name="Rectangle 5695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6953" name="Rectangle 5695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328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597" style="width:41.2715pt;height:299pt;position:absolute;z-index:-2147483530;mso-position-horizontal-relative:text;mso-position-horizontal:absolute;margin-left:547.46pt;mso-position-vertical-relative:text;margin-top:-129.239pt;" coordsize="5241,37973">
                <v:shape id="Picture 56951" style="position:absolute;width:37972;height:3556;left:-17208;top:17208;rotation:-89;" filled="f">
                  <v:imagedata r:id="rId63"/>
                </v:shape>
                <v:rect id="Rectangle 5695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695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328 de 353 </w:t>
                        </w:r>
                      </w:p>
                    </w:txbxContent>
                  </v:textbox>
                </v:rect>
              </v:group>
            </w:pict>
          </mc:Fallback>
        </mc:AlternateContent>
      </w:r>
      <w:r>
        <w:rPr>
          <w:rFonts w:ascii="Arial" w:eastAsia="Arial" w:hAnsi="Arial" w:cs="Arial"/>
        </w:rPr>
        <w:t xml:space="preserve">Tal como se ha expuesto con anterioridad, pese a que </w:t>
      </w:r>
      <w:r>
        <w:rPr>
          <w:rFonts w:ascii="Arial" w:eastAsia="Arial" w:hAnsi="Arial" w:cs="Arial"/>
          <w:b/>
        </w:rPr>
        <w:t>los terrenos</w:t>
      </w:r>
      <w:r>
        <w:rPr>
          <w:rFonts w:ascii="Arial" w:eastAsia="Arial" w:hAnsi="Arial" w:cs="Arial"/>
        </w:rPr>
        <w:t xml:space="preserve"> tienen un</w:t>
      </w:r>
      <w:r>
        <w:rPr>
          <w:rFonts w:ascii="Arial" w:eastAsia="Arial" w:hAnsi="Arial" w:cs="Arial"/>
          <w:b/>
        </w:rPr>
        <w:t xml:space="preserve"> uso privado</w:t>
      </w:r>
      <w:r>
        <w:rPr>
          <w:rFonts w:ascii="Arial" w:eastAsia="Arial" w:hAnsi="Arial" w:cs="Arial"/>
        </w:rPr>
        <w:t xml:space="preserve"> contando con un </w:t>
      </w:r>
      <w:r>
        <w:rPr>
          <w:rFonts w:ascii="Arial" w:eastAsia="Arial" w:hAnsi="Arial" w:cs="Arial"/>
          <w:b/>
        </w:rPr>
        <w:t>grado suficiente de Intensidad y consolidación</w:t>
      </w:r>
      <w:r>
        <w:rPr>
          <w:rFonts w:ascii="Arial" w:eastAsia="Arial" w:hAnsi="Arial" w:cs="Arial"/>
        </w:rPr>
        <w:t xml:space="preserve"> </w:t>
      </w:r>
      <w:r>
        <w:rPr>
          <w:rFonts w:ascii="Arial" w:eastAsia="Arial" w:hAnsi="Arial" w:cs="Arial"/>
          <w:b/>
        </w:rPr>
        <w:t>urbanística, y habie</w:t>
      </w:r>
      <w:r>
        <w:rPr>
          <w:rFonts w:ascii="Arial" w:eastAsia="Arial" w:hAnsi="Arial" w:cs="Arial"/>
          <w:b/>
        </w:rPr>
        <w:t>ndo perdido sus características naturales de acantilado o zona Marítimo Terrestre</w:t>
      </w:r>
      <w:r>
        <w:rPr>
          <w:rFonts w:ascii="Arial" w:eastAsia="Arial" w:hAnsi="Arial" w:cs="Arial"/>
        </w:rPr>
        <w:t xml:space="preserve">, los mismos </w:t>
      </w:r>
      <w:r>
        <w:rPr>
          <w:rFonts w:ascii="Arial" w:eastAsia="Arial" w:hAnsi="Arial" w:cs="Arial"/>
          <w:b/>
        </w:rPr>
        <w:t>no cumplen dos de los cuatro de los requisitos</w:t>
      </w:r>
      <w:r>
        <w:rPr>
          <w:rFonts w:ascii="Arial" w:eastAsia="Arial" w:hAnsi="Arial" w:cs="Arial"/>
        </w:rPr>
        <w:t xml:space="preserve"> para que puedan </w:t>
      </w:r>
      <w:r>
        <w:rPr>
          <w:rFonts w:ascii="Arial" w:eastAsia="Arial" w:hAnsi="Arial" w:cs="Arial"/>
          <w:b/>
        </w:rPr>
        <w:t>considerarse</w:t>
      </w:r>
      <w:r>
        <w:rPr>
          <w:rFonts w:ascii="Arial" w:eastAsia="Arial" w:hAnsi="Arial" w:cs="Arial"/>
        </w:rPr>
        <w:t xml:space="preserve"> a nivel de propuesta, como </w:t>
      </w:r>
      <w:r>
        <w:rPr>
          <w:rFonts w:ascii="Arial" w:eastAsia="Arial" w:hAnsi="Arial" w:cs="Arial"/>
          <w:b/>
        </w:rPr>
        <w:t>Innecesarios</w:t>
      </w:r>
      <w:r>
        <w:rPr>
          <w:rFonts w:ascii="Arial" w:eastAsia="Arial" w:hAnsi="Arial" w:cs="Arial"/>
        </w:rPr>
        <w:t>.</w:t>
      </w:r>
      <w:r>
        <w:rPr>
          <w:rFonts w:ascii="Times New Roman" w:eastAsia="Times New Roman" w:hAnsi="Times New Roman" w:cs="Times New Roman"/>
          <w:sz w:val="24"/>
        </w:rPr>
        <w:t xml:space="preserve"> </w:t>
      </w:r>
    </w:p>
    <w:p w:rsidR="00FF384B" w:rsidRDefault="003E3BA9">
      <w:pPr>
        <w:numPr>
          <w:ilvl w:val="0"/>
          <w:numId w:val="336"/>
        </w:numPr>
        <w:spacing w:after="5" w:line="366" w:lineRule="auto"/>
        <w:ind w:left="1561" w:hanging="425"/>
        <w:jc w:val="both"/>
      </w:pPr>
      <w:r>
        <w:rPr>
          <w:rFonts w:ascii="Arial" w:eastAsia="Arial" w:hAnsi="Arial" w:cs="Arial"/>
        </w:rPr>
        <w:t xml:space="preserve">Tal como se indica en los datos de partida, la ejecución de los </w:t>
      </w:r>
      <w:r>
        <w:rPr>
          <w:rFonts w:ascii="Arial" w:eastAsia="Arial" w:hAnsi="Arial" w:cs="Arial"/>
          <w:b/>
        </w:rPr>
        <w:t>rellenos</w:t>
      </w:r>
      <w:r>
        <w:rPr>
          <w:rFonts w:ascii="Arial" w:eastAsia="Arial" w:hAnsi="Arial" w:cs="Arial"/>
        </w:rPr>
        <w:t xml:space="preserve"> para establecer la explanada que conforma la </w:t>
      </w:r>
      <w:r>
        <w:rPr>
          <w:rFonts w:ascii="Arial" w:eastAsia="Arial" w:hAnsi="Arial" w:cs="Arial"/>
          <w:b/>
        </w:rPr>
        <w:t>calle Manuel Oliva Martín</w:t>
      </w:r>
      <w:r>
        <w:rPr>
          <w:rFonts w:ascii="Arial" w:eastAsia="Arial" w:hAnsi="Arial" w:cs="Arial"/>
        </w:rPr>
        <w:t xml:space="preserve"> </w:t>
      </w:r>
      <w:r>
        <w:rPr>
          <w:rFonts w:ascii="Arial" w:eastAsia="Arial" w:hAnsi="Arial" w:cs="Arial"/>
          <w:b/>
        </w:rPr>
        <w:t>no consta que dispongan de Autorización por parte de la Dirección General de Costas</w:t>
      </w:r>
      <w:r>
        <w:rPr>
          <w:rFonts w:ascii="Arial" w:eastAsia="Arial" w:hAnsi="Arial" w:cs="Arial"/>
        </w:rPr>
        <w:t>, motivo por el cual, estos t</w:t>
      </w:r>
      <w:r>
        <w:rPr>
          <w:rFonts w:ascii="Arial" w:eastAsia="Arial" w:hAnsi="Arial" w:cs="Arial"/>
        </w:rPr>
        <w:t xml:space="preserve">errenos ganados </w:t>
      </w:r>
    </w:p>
    <w:p w:rsidR="00FF384B" w:rsidRDefault="003E3BA9">
      <w:pPr>
        <w:spacing w:after="132" w:line="247" w:lineRule="auto"/>
        <w:ind w:left="1563" w:hanging="3"/>
        <w:jc w:val="both"/>
      </w:pPr>
      <w:r>
        <w:rPr>
          <w:rFonts w:ascii="Arial" w:eastAsia="Arial" w:hAnsi="Arial" w:cs="Arial"/>
        </w:rPr>
        <w:t xml:space="preserve">al mar </w:t>
      </w:r>
      <w:r>
        <w:rPr>
          <w:rFonts w:ascii="Arial" w:eastAsia="Arial" w:hAnsi="Arial" w:cs="Arial"/>
          <w:b/>
        </w:rPr>
        <w:t>carecen de Título Concesional. En caso de disponer</w:t>
      </w:r>
      <w:r>
        <w:rPr>
          <w:rFonts w:ascii="Arial" w:eastAsia="Arial" w:hAnsi="Arial" w:cs="Arial"/>
        </w:rPr>
        <w:t xml:space="preserve"> del mismo, </w:t>
      </w:r>
      <w:r>
        <w:rPr>
          <w:rFonts w:ascii="Arial" w:eastAsia="Arial" w:hAnsi="Arial" w:cs="Arial"/>
          <w:b/>
        </w:rPr>
        <w:t>cumpliría con este requisito</w:t>
      </w:r>
      <w:r>
        <w:rPr>
          <w:rFonts w:ascii="Arial" w:eastAsia="Arial" w:hAnsi="Arial" w:cs="Arial"/>
        </w:rPr>
        <w:t xml:space="preserve"> para poder considerarse como </w:t>
      </w:r>
    </w:p>
    <w:p w:rsidR="00FF384B" w:rsidRDefault="003E3BA9">
      <w:pPr>
        <w:spacing w:after="127" w:line="247" w:lineRule="auto"/>
        <w:ind w:left="1570" w:right="244" w:hanging="10"/>
        <w:jc w:val="both"/>
      </w:pPr>
      <w:r>
        <w:rPr>
          <w:rFonts w:ascii="Arial" w:eastAsia="Arial" w:hAnsi="Arial" w:cs="Arial"/>
        </w:rPr>
        <w:t>Innecesario,</w:t>
      </w:r>
      <w:r>
        <w:rPr>
          <w:rFonts w:ascii="Arial" w:eastAsia="Arial" w:hAnsi="Arial" w:cs="Arial"/>
          <w:b/>
        </w:rPr>
        <w:t xml:space="preserve"> </w:t>
      </w:r>
      <w:r>
        <w:rPr>
          <w:rFonts w:ascii="Times New Roman" w:eastAsia="Times New Roman" w:hAnsi="Times New Roman" w:cs="Times New Roman"/>
          <w:sz w:val="24"/>
        </w:rPr>
        <w:t xml:space="preserve"> </w:t>
      </w:r>
    </w:p>
    <w:p w:rsidR="00FF384B" w:rsidRDefault="003E3BA9">
      <w:pPr>
        <w:numPr>
          <w:ilvl w:val="0"/>
          <w:numId w:val="336"/>
        </w:numPr>
        <w:spacing w:after="5" w:line="356" w:lineRule="auto"/>
        <w:ind w:left="1561" w:hanging="425"/>
        <w:jc w:val="both"/>
      </w:pPr>
      <w:r>
        <w:rPr>
          <w:rFonts w:ascii="Arial" w:eastAsia="Arial" w:hAnsi="Arial" w:cs="Arial"/>
          <w:b/>
        </w:rPr>
        <w:t>La reposición del acantilado a su estado original</w:t>
      </w:r>
      <w:r>
        <w:rPr>
          <w:rFonts w:ascii="Arial" w:eastAsia="Arial" w:hAnsi="Arial" w:cs="Arial"/>
        </w:rPr>
        <w:t xml:space="preserve"> mediante la retirada de los rellenos que dan s</w:t>
      </w:r>
      <w:r>
        <w:rPr>
          <w:rFonts w:ascii="Arial" w:eastAsia="Arial" w:hAnsi="Arial" w:cs="Arial"/>
        </w:rPr>
        <w:t xml:space="preserve">oporte a las edificaciones y la vía, </w:t>
      </w:r>
      <w:r>
        <w:rPr>
          <w:rFonts w:ascii="Arial" w:eastAsia="Arial" w:hAnsi="Arial" w:cs="Arial"/>
          <w:b/>
        </w:rPr>
        <w:t>conllevará un coste económico importante</w:t>
      </w:r>
      <w:r>
        <w:rPr>
          <w:rFonts w:ascii="Arial" w:eastAsia="Arial" w:hAnsi="Arial" w:cs="Arial"/>
        </w:rPr>
        <w:t>. No obstante, el criterio económico no debería ser el principal elemento de decisión</w:t>
      </w:r>
      <w:r>
        <w:rPr>
          <w:rFonts w:ascii="Arial" w:eastAsia="Arial" w:hAnsi="Arial" w:cs="Arial"/>
          <w:b/>
        </w:rPr>
        <w:t xml:space="preserve"> debiendo ser la protección del medioambiente. Por tanto </w:t>
      </w:r>
      <w:r>
        <w:rPr>
          <w:rFonts w:ascii="Arial" w:eastAsia="Arial" w:hAnsi="Arial" w:cs="Arial"/>
        </w:rPr>
        <w:t xml:space="preserve">esta debería ser la solución </w:t>
      </w:r>
      <w:r>
        <w:rPr>
          <w:rFonts w:ascii="Arial" w:eastAsia="Arial" w:hAnsi="Arial" w:cs="Arial"/>
          <w:b/>
        </w:rPr>
        <w:t>a adoptar</w:t>
      </w:r>
      <w:r>
        <w:rPr>
          <w:rFonts w:ascii="Arial" w:eastAsia="Arial" w:hAnsi="Arial" w:cs="Arial"/>
        </w:rPr>
        <w:t xml:space="preserve">, </w:t>
      </w:r>
      <w:r>
        <w:rPr>
          <w:rFonts w:ascii="Arial" w:eastAsia="Arial" w:hAnsi="Arial" w:cs="Arial"/>
          <w:b/>
        </w:rPr>
        <w:t>en lugar</w:t>
      </w:r>
      <w:r>
        <w:rPr>
          <w:rFonts w:ascii="Arial" w:eastAsia="Arial" w:hAnsi="Arial" w:cs="Arial"/>
        </w:rPr>
        <w:t xml:space="preserve"> de </w:t>
      </w:r>
      <w:r>
        <w:rPr>
          <w:rFonts w:ascii="Arial" w:eastAsia="Arial" w:hAnsi="Arial" w:cs="Arial"/>
          <w:b/>
        </w:rPr>
        <w:t>intentar legalizar y consolidar construcciones preexistentes</w:t>
      </w:r>
      <w:r>
        <w:rPr>
          <w:rFonts w:ascii="Arial" w:eastAsia="Arial" w:hAnsi="Arial" w:cs="Arial"/>
        </w:rPr>
        <w:t xml:space="preserve">, ya que las mismas </w:t>
      </w:r>
      <w:r>
        <w:rPr>
          <w:rFonts w:ascii="Arial" w:eastAsia="Arial" w:hAnsi="Arial" w:cs="Arial"/>
          <w:b/>
        </w:rPr>
        <w:t xml:space="preserve">carecen </w:t>
      </w:r>
      <w:r>
        <w:rPr>
          <w:rFonts w:ascii="Arial" w:eastAsia="Arial" w:hAnsi="Arial" w:cs="Arial"/>
        </w:rPr>
        <w:t>(tal como se</w:t>
      </w:r>
      <w:r>
        <w:rPr>
          <w:rFonts w:ascii="Arial" w:eastAsia="Arial" w:hAnsi="Arial" w:cs="Arial"/>
          <w:b/>
        </w:rPr>
        <w:t xml:space="preserve"> </w:t>
      </w:r>
      <w:r>
        <w:rPr>
          <w:rFonts w:ascii="Arial" w:eastAsia="Arial" w:hAnsi="Arial" w:cs="Arial"/>
        </w:rPr>
        <w:t xml:space="preserve">indica en los datos de partida) tanto de </w:t>
      </w:r>
      <w:r>
        <w:rPr>
          <w:rFonts w:ascii="Arial" w:eastAsia="Arial" w:hAnsi="Arial" w:cs="Arial"/>
          <w:b/>
        </w:rPr>
        <w:t>Autorización</w:t>
      </w:r>
      <w:r>
        <w:rPr>
          <w:rFonts w:ascii="Arial" w:eastAsia="Arial" w:hAnsi="Arial" w:cs="Arial"/>
        </w:rPr>
        <w:t xml:space="preserve"> (vía) como de </w:t>
      </w:r>
      <w:r>
        <w:rPr>
          <w:rFonts w:ascii="Arial" w:eastAsia="Arial" w:hAnsi="Arial" w:cs="Arial"/>
          <w:b/>
        </w:rPr>
        <w:t>títulos de propiedad</w:t>
      </w:r>
      <w:r>
        <w:rPr>
          <w:rFonts w:ascii="Arial" w:eastAsia="Arial" w:hAnsi="Arial" w:cs="Arial"/>
        </w:rPr>
        <w:t xml:space="preserve"> (viviendas).</w:t>
      </w:r>
      <w:r>
        <w:rPr>
          <w:rFonts w:ascii="Times New Roman" w:eastAsia="Times New Roman" w:hAnsi="Times New Roman" w:cs="Times New Roman"/>
          <w:sz w:val="24"/>
        </w:rPr>
        <w:t xml:space="preserve"> </w:t>
      </w:r>
    </w:p>
    <w:p w:rsidR="00FF384B" w:rsidRDefault="003E3BA9">
      <w:pPr>
        <w:spacing w:after="116"/>
        <w:ind w:left="1560"/>
      </w:pPr>
      <w:r>
        <w:rPr>
          <w:rFonts w:ascii="Arial" w:eastAsia="Arial" w:hAnsi="Arial" w:cs="Arial"/>
        </w:rPr>
        <w:t xml:space="preserve"> </w:t>
      </w:r>
    </w:p>
    <w:p w:rsidR="00FF384B" w:rsidRDefault="003E3BA9">
      <w:pPr>
        <w:spacing w:after="129" w:line="247" w:lineRule="auto"/>
        <w:ind w:left="437" w:right="244" w:hanging="10"/>
        <w:jc w:val="both"/>
      </w:pPr>
      <w:r>
        <w:rPr>
          <w:rFonts w:ascii="Arial" w:eastAsia="Arial" w:hAnsi="Arial" w:cs="Arial"/>
        </w:rPr>
        <w:t xml:space="preserve">En lo referente al </w:t>
      </w:r>
      <w:r>
        <w:rPr>
          <w:rFonts w:ascii="Arial" w:eastAsia="Arial" w:hAnsi="Arial" w:cs="Arial"/>
          <w:b/>
        </w:rPr>
        <w:t>tercer r</w:t>
      </w:r>
      <w:r>
        <w:rPr>
          <w:rFonts w:ascii="Arial" w:eastAsia="Arial" w:hAnsi="Arial" w:cs="Arial"/>
          <w:b/>
        </w:rPr>
        <w:t>equisito</w:t>
      </w:r>
      <w:r>
        <w:rPr>
          <w:rFonts w:ascii="Arial" w:eastAsia="Arial" w:hAnsi="Arial" w:cs="Arial"/>
        </w:rPr>
        <w:t xml:space="preserve"> indicar:</w:t>
      </w:r>
      <w:r>
        <w:rPr>
          <w:rFonts w:ascii="Times New Roman" w:eastAsia="Times New Roman" w:hAnsi="Times New Roman" w:cs="Times New Roman"/>
          <w:sz w:val="24"/>
        </w:rPr>
        <w:t xml:space="preserve"> </w:t>
      </w:r>
    </w:p>
    <w:p w:rsidR="00FF384B" w:rsidRDefault="003E3BA9">
      <w:pPr>
        <w:numPr>
          <w:ilvl w:val="0"/>
          <w:numId w:val="336"/>
        </w:numPr>
        <w:spacing w:after="15" w:line="355" w:lineRule="auto"/>
        <w:ind w:left="1561" w:hanging="425"/>
        <w:jc w:val="both"/>
      </w:pPr>
      <w:r>
        <w:rPr>
          <w:noProof/>
        </w:rPr>
        <mc:AlternateContent>
          <mc:Choice Requires="wpg">
            <w:drawing>
              <wp:anchor distT="0" distB="0" distL="114300" distR="114300" simplePos="0" relativeHeight="251992064" behindDoc="1" locked="0" layoutInCell="1" allowOverlap="1">
                <wp:simplePos x="0" y="0"/>
                <wp:positionH relativeFrom="column">
                  <wp:posOffset>6952743</wp:posOffset>
                </wp:positionH>
                <wp:positionV relativeFrom="paragraph">
                  <wp:posOffset>35492</wp:posOffset>
                </wp:positionV>
                <wp:extent cx="524148" cy="3797300"/>
                <wp:effectExtent l="0" t="0" r="0" b="0"/>
                <wp:wrapNone/>
                <wp:docPr id="511509" name="Group 51150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104" name="Picture 57104"/>
                          <pic:cNvPicPr/>
                        </pic:nvPicPr>
                        <pic:blipFill>
                          <a:blip r:embed="rId62"/>
                          <a:stretch>
                            <a:fillRect/>
                          </a:stretch>
                        </pic:blipFill>
                        <pic:spPr>
                          <a:xfrm rot="-5399999">
                            <a:off x="-1720849" y="1720850"/>
                            <a:ext cx="3797299" cy="355600"/>
                          </a:xfrm>
                          <a:prstGeom prst="rect">
                            <a:avLst/>
                          </a:prstGeom>
                        </pic:spPr>
                      </pic:pic>
                      <wps:wsp>
                        <wps:cNvPr id="57105" name="Rectangle 5710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106" name="Rectangle 5710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329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509" style="width:41.2715pt;height:299pt;position:absolute;z-index:-2147483504;mso-position-horizontal-relative:text;mso-position-horizontal:absolute;margin-left:547.46pt;mso-position-vertical-relative:text;margin-top:2.79468pt;" coordsize="5241,37973">
                <v:shape id="Picture 57104" style="position:absolute;width:37972;height:3556;left:-17208;top:17208;rotation:-89;" filled="f">
                  <v:imagedata r:id="rId63"/>
                </v:shape>
                <v:rect id="Rectangle 5710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10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329 de 353 </w:t>
                        </w:r>
                      </w:p>
                    </w:txbxContent>
                  </v:textbox>
                </v:rect>
              </v:group>
            </w:pict>
          </mc:Fallback>
        </mc:AlternateContent>
      </w:r>
      <w:r>
        <w:rPr>
          <w:rFonts w:ascii="Arial" w:eastAsia="Arial" w:hAnsi="Arial" w:cs="Arial"/>
        </w:rPr>
        <w:t xml:space="preserve">La Normas Subsidiarias, fueron </w:t>
      </w:r>
      <w:r>
        <w:rPr>
          <w:rFonts w:ascii="Arial" w:eastAsia="Arial" w:hAnsi="Arial" w:cs="Arial"/>
          <w:b/>
        </w:rPr>
        <w:t>aprobada</w:t>
      </w:r>
      <w:r>
        <w:rPr>
          <w:rFonts w:ascii="Arial" w:eastAsia="Arial" w:hAnsi="Arial" w:cs="Arial"/>
          <w:b/>
        </w:rPr>
        <w:t>s por el Ayuntamiento Pleno</w:t>
      </w:r>
      <w:r>
        <w:rPr>
          <w:rFonts w:ascii="Arial" w:eastAsia="Arial" w:hAnsi="Arial" w:cs="Arial"/>
        </w:rPr>
        <w:t xml:space="preserve"> en Sesión Ordinaria de </w:t>
      </w:r>
      <w:r>
        <w:rPr>
          <w:rFonts w:ascii="Arial" w:eastAsia="Arial" w:hAnsi="Arial" w:cs="Arial"/>
          <w:b/>
        </w:rPr>
        <w:t xml:space="preserve">fecha 30 de septiembre de 1.988. </w:t>
      </w:r>
      <w:r>
        <w:rPr>
          <w:rFonts w:ascii="Arial" w:eastAsia="Arial" w:hAnsi="Arial" w:cs="Arial"/>
        </w:rPr>
        <w:t>Por su parte la</w:t>
      </w:r>
      <w:r>
        <w:rPr>
          <w:rFonts w:ascii="Arial" w:eastAsia="Arial" w:hAnsi="Arial" w:cs="Arial"/>
          <w:b/>
        </w:rPr>
        <w:t xml:space="preserve"> Ley 22/1988 de 28 de julio, de Costas entró en vigor el 29 de julio de 1988, tras su publicación en el BOE» núm. 181, de 29/07/1988. </w:t>
      </w:r>
      <w:r>
        <w:rPr>
          <w:rFonts w:ascii="Arial" w:eastAsia="Arial" w:hAnsi="Arial" w:cs="Arial"/>
        </w:rPr>
        <w:t>Por tanto,</w:t>
      </w:r>
      <w:r>
        <w:rPr>
          <w:rFonts w:ascii="Arial" w:eastAsia="Arial" w:hAnsi="Arial" w:cs="Arial"/>
          <w:b/>
        </w:rPr>
        <w:t xml:space="preserve"> </w:t>
      </w:r>
      <w:r>
        <w:rPr>
          <w:rFonts w:ascii="Arial" w:eastAsia="Arial" w:hAnsi="Arial" w:cs="Arial"/>
        </w:rPr>
        <w:t xml:space="preserve">Las </w:t>
      </w:r>
      <w:r>
        <w:rPr>
          <w:rFonts w:ascii="Arial" w:eastAsia="Arial" w:hAnsi="Arial" w:cs="Arial"/>
          <w:b/>
        </w:rPr>
        <w:t>Normas S</w:t>
      </w:r>
      <w:r>
        <w:rPr>
          <w:rFonts w:ascii="Arial" w:eastAsia="Arial" w:hAnsi="Arial" w:cs="Arial"/>
          <w:b/>
        </w:rPr>
        <w:t>ubsidiarias</w:t>
      </w:r>
      <w:r>
        <w:rPr>
          <w:rFonts w:ascii="Arial" w:eastAsia="Arial" w:hAnsi="Arial" w:cs="Arial"/>
        </w:rPr>
        <w:t xml:space="preserve"> (que clasificaban la </w:t>
      </w:r>
      <w:r>
        <w:rPr>
          <w:rFonts w:ascii="Arial" w:eastAsia="Arial" w:hAnsi="Arial" w:cs="Arial"/>
          <w:b/>
        </w:rPr>
        <w:t>calle Manuel Oliva Martín</w:t>
      </w:r>
      <w:r>
        <w:rPr>
          <w:rFonts w:ascii="Arial" w:eastAsia="Arial" w:hAnsi="Arial" w:cs="Arial"/>
        </w:rPr>
        <w:t xml:space="preserve"> y las </w:t>
      </w:r>
      <w:r>
        <w:rPr>
          <w:rFonts w:ascii="Arial" w:eastAsia="Arial" w:hAnsi="Arial" w:cs="Arial"/>
          <w:b/>
        </w:rPr>
        <w:t>viviendas</w:t>
      </w:r>
      <w:r>
        <w:rPr>
          <w:rFonts w:ascii="Arial" w:eastAsia="Arial" w:hAnsi="Arial" w:cs="Arial"/>
        </w:rPr>
        <w:t xml:space="preserve"> como </w:t>
      </w:r>
      <w:r>
        <w:rPr>
          <w:rFonts w:ascii="Arial" w:eastAsia="Arial" w:hAnsi="Arial" w:cs="Arial"/>
          <w:b/>
        </w:rPr>
        <w:t>urbanas) no estaban vigentes</w:t>
      </w:r>
      <w:r>
        <w:rPr>
          <w:rFonts w:ascii="Arial" w:eastAsia="Arial" w:hAnsi="Arial" w:cs="Arial"/>
        </w:rPr>
        <w:t xml:space="preserve"> a la </w:t>
      </w:r>
      <w:r>
        <w:rPr>
          <w:rFonts w:ascii="Arial" w:eastAsia="Arial" w:hAnsi="Arial" w:cs="Arial"/>
          <w:b/>
        </w:rPr>
        <w:t xml:space="preserve">fecha de entrada en vigor de la Ley de Costas. </w:t>
      </w:r>
      <w:r>
        <w:rPr>
          <w:rFonts w:ascii="Times New Roman" w:eastAsia="Times New Roman" w:hAnsi="Times New Roman" w:cs="Times New Roman"/>
          <w:sz w:val="24"/>
        </w:rPr>
        <w:t xml:space="preserve"> </w:t>
      </w:r>
    </w:p>
    <w:p w:rsidR="00FF384B" w:rsidRDefault="003E3BA9">
      <w:pPr>
        <w:spacing w:after="15" w:line="339" w:lineRule="auto"/>
        <w:ind w:left="1563" w:hanging="3"/>
        <w:jc w:val="both"/>
      </w:pPr>
      <w:r>
        <w:rPr>
          <w:rFonts w:ascii="Arial" w:eastAsia="Arial" w:hAnsi="Arial" w:cs="Arial"/>
        </w:rPr>
        <w:t xml:space="preserve">De esta manera, </w:t>
      </w:r>
      <w:r>
        <w:rPr>
          <w:rFonts w:ascii="Arial" w:eastAsia="Arial" w:hAnsi="Arial" w:cs="Arial"/>
          <w:b/>
        </w:rPr>
        <w:t>no está acreditado en el Expediente,</w:t>
      </w:r>
      <w:r>
        <w:rPr>
          <w:rFonts w:ascii="Arial" w:eastAsia="Arial" w:hAnsi="Arial" w:cs="Arial"/>
        </w:rPr>
        <w:t xml:space="preserve"> la </w:t>
      </w:r>
      <w:r>
        <w:rPr>
          <w:rFonts w:ascii="Arial" w:eastAsia="Arial" w:hAnsi="Arial" w:cs="Arial"/>
          <w:b/>
        </w:rPr>
        <w:t>calificación de Suelo Urbano</w:t>
      </w:r>
      <w:r>
        <w:rPr>
          <w:rFonts w:ascii="Arial" w:eastAsia="Arial" w:hAnsi="Arial" w:cs="Arial"/>
        </w:rPr>
        <w:t xml:space="preserve"> en el </w:t>
      </w:r>
      <w:r>
        <w:rPr>
          <w:rFonts w:ascii="Arial" w:eastAsia="Arial" w:hAnsi="Arial" w:cs="Arial"/>
          <w:b/>
        </w:rPr>
        <w:t>Plan General de Candelaria</w:t>
      </w:r>
      <w:r>
        <w:rPr>
          <w:rFonts w:ascii="Arial" w:eastAsia="Arial" w:hAnsi="Arial" w:cs="Arial"/>
        </w:rPr>
        <w:t xml:space="preserve"> aprobado en el año 1967 </w:t>
      </w:r>
      <w:r>
        <w:rPr>
          <w:rFonts w:ascii="Arial" w:eastAsia="Arial" w:hAnsi="Arial" w:cs="Arial"/>
          <w:b/>
        </w:rPr>
        <w:t>vigente hasta la aprobación de las Normas Subsidiarias</w:t>
      </w:r>
      <w:r>
        <w:rPr>
          <w:rFonts w:ascii="Arial" w:eastAsia="Arial" w:hAnsi="Arial" w:cs="Arial"/>
        </w:rPr>
        <w:t>, el tramo de costa considerado.</w:t>
      </w:r>
      <w:r>
        <w:rPr>
          <w:rFonts w:ascii="Times New Roman" w:eastAsia="Times New Roman" w:hAnsi="Times New Roman" w:cs="Times New Roman"/>
          <w:sz w:val="24"/>
        </w:rPr>
        <w:t xml:space="preserve"> </w:t>
      </w:r>
    </w:p>
    <w:p w:rsidR="00FF384B" w:rsidRDefault="003E3BA9">
      <w:pPr>
        <w:spacing w:after="117"/>
        <w:ind w:left="1560"/>
      </w:pPr>
      <w:r>
        <w:rPr>
          <w:rFonts w:ascii="Arial" w:eastAsia="Arial" w:hAnsi="Arial" w:cs="Arial"/>
        </w:rPr>
        <w:t xml:space="preserve"> </w:t>
      </w:r>
    </w:p>
    <w:p w:rsidR="00FF384B" w:rsidRDefault="003E3BA9">
      <w:pPr>
        <w:spacing w:after="100" w:line="247" w:lineRule="auto"/>
        <w:ind w:left="415" w:hanging="3"/>
        <w:jc w:val="both"/>
      </w:pPr>
      <w:r>
        <w:rPr>
          <w:rFonts w:ascii="Arial" w:eastAsia="Arial" w:hAnsi="Arial" w:cs="Arial"/>
          <w:b/>
        </w:rPr>
        <w:t>Si cumple</w:t>
      </w:r>
      <w:r>
        <w:rPr>
          <w:rFonts w:ascii="Arial" w:eastAsia="Arial" w:hAnsi="Arial" w:cs="Arial"/>
        </w:rPr>
        <w:t xml:space="preserve"> sin embargo con </w:t>
      </w:r>
      <w:r>
        <w:rPr>
          <w:rFonts w:ascii="Arial" w:eastAsia="Arial" w:hAnsi="Arial" w:cs="Arial"/>
          <w:b/>
        </w:rPr>
        <w:t>el cuarto requisito</w:t>
      </w:r>
      <w:r>
        <w:rPr>
          <w:rFonts w:ascii="Arial" w:eastAsia="Arial" w:hAnsi="Arial" w:cs="Arial"/>
        </w:rPr>
        <w:t xml:space="preserve"> para poder </w:t>
      </w:r>
      <w:r>
        <w:rPr>
          <w:rFonts w:ascii="Arial" w:eastAsia="Arial" w:hAnsi="Arial" w:cs="Arial"/>
          <w:b/>
        </w:rPr>
        <w:t>considerar los terrenos como innecesarios</w:t>
      </w:r>
      <w:r>
        <w:rPr>
          <w:rFonts w:ascii="Arial" w:eastAsia="Arial" w:hAnsi="Arial" w:cs="Arial"/>
        </w:rPr>
        <w:t xml:space="preserve"> siendo:</w:t>
      </w:r>
      <w:r>
        <w:rPr>
          <w:rFonts w:ascii="Times New Roman" w:eastAsia="Times New Roman" w:hAnsi="Times New Roman" w:cs="Times New Roman"/>
          <w:sz w:val="24"/>
        </w:rPr>
        <w:t xml:space="preserve"> </w:t>
      </w:r>
    </w:p>
    <w:p w:rsidR="00FF384B" w:rsidRDefault="003E3BA9">
      <w:pPr>
        <w:spacing w:after="136"/>
        <w:ind w:left="427"/>
      </w:pPr>
      <w:r>
        <w:rPr>
          <w:rFonts w:ascii="Arial" w:eastAsia="Arial" w:hAnsi="Arial" w:cs="Arial"/>
        </w:rPr>
        <w:t xml:space="preserve"> </w:t>
      </w:r>
    </w:p>
    <w:p w:rsidR="00FF384B" w:rsidRDefault="003E3BA9">
      <w:pPr>
        <w:numPr>
          <w:ilvl w:val="0"/>
          <w:numId w:val="336"/>
        </w:numPr>
        <w:spacing w:after="15" w:line="353" w:lineRule="auto"/>
        <w:ind w:left="1561" w:hanging="425"/>
        <w:jc w:val="both"/>
      </w:pPr>
      <w:r>
        <w:rPr>
          <w:rFonts w:ascii="Arial" w:eastAsia="Arial" w:hAnsi="Arial" w:cs="Arial"/>
        </w:rPr>
        <w:t xml:space="preserve">El </w:t>
      </w:r>
      <w:r>
        <w:rPr>
          <w:rFonts w:ascii="Arial" w:eastAsia="Arial" w:hAnsi="Arial" w:cs="Arial"/>
          <w:b/>
        </w:rPr>
        <w:t>us</w:t>
      </w:r>
      <w:r>
        <w:rPr>
          <w:rFonts w:ascii="Arial" w:eastAsia="Arial" w:hAnsi="Arial" w:cs="Arial"/>
          <w:b/>
        </w:rPr>
        <w:t>o residencial existente</w:t>
      </w:r>
      <w:r>
        <w:rPr>
          <w:rFonts w:ascii="Arial" w:eastAsia="Arial" w:hAnsi="Arial" w:cs="Arial"/>
        </w:rPr>
        <w:t xml:space="preserve">, </w:t>
      </w:r>
      <w:r>
        <w:rPr>
          <w:rFonts w:ascii="Arial" w:eastAsia="Arial" w:hAnsi="Arial" w:cs="Arial"/>
          <w:b/>
        </w:rPr>
        <w:t>no tiene cabida dentro del DPMT</w:t>
      </w:r>
      <w:r>
        <w:rPr>
          <w:rFonts w:ascii="Arial" w:eastAsia="Arial" w:hAnsi="Arial" w:cs="Arial"/>
        </w:rPr>
        <w:t xml:space="preserve"> dentro de las condiciones establecidas por la Ley de Costas, ya que </w:t>
      </w:r>
      <w:r>
        <w:rPr>
          <w:rFonts w:ascii="Arial" w:eastAsia="Arial" w:hAnsi="Arial" w:cs="Arial"/>
          <w:b/>
        </w:rPr>
        <w:t>no requiere de dicha ubicación específica ni por la naturaleza de la actividad</w:t>
      </w:r>
      <w:r>
        <w:rPr>
          <w:rFonts w:ascii="Arial" w:eastAsia="Arial" w:hAnsi="Arial" w:cs="Arial"/>
        </w:rPr>
        <w:t xml:space="preserve"> (residencial) </w:t>
      </w:r>
      <w:r>
        <w:rPr>
          <w:rFonts w:ascii="Arial" w:eastAsia="Arial" w:hAnsi="Arial" w:cs="Arial"/>
          <w:b/>
        </w:rPr>
        <w:t>ni</w:t>
      </w:r>
      <w:r>
        <w:rPr>
          <w:rFonts w:ascii="Arial" w:eastAsia="Arial" w:hAnsi="Arial" w:cs="Arial"/>
        </w:rPr>
        <w:t xml:space="preserve"> por la </w:t>
      </w:r>
      <w:r>
        <w:rPr>
          <w:rFonts w:ascii="Arial" w:eastAsia="Arial" w:hAnsi="Arial" w:cs="Arial"/>
          <w:b/>
        </w:rPr>
        <w:t>configuración física del tramo de costa</w:t>
      </w:r>
      <w:r>
        <w:rPr>
          <w:rFonts w:ascii="Arial" w:eastAsia="Arial" w:hAnsi="Arial" w:cs="Arial"/>
        </w:rPr>
        <w:t xml:space="preserve"> (acantilado) en el que se encuentra.</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03"/>
        <w:ind w:left="427"/>
      </w:pPr>
      <w:r>
        <w:rPr>
          <w:rFonts w:ascii="Arial" w:eastAsia="Arial" w:hAnsi="Arial" w:cs="Arial"/>
        </w:rPr>
        <w:t xml:space="preserve"> </w:t>
      </w:r>
    </w:p>
    <w:p w:rsidR="00FF384B" w:rsidRDefault="003E3BA9">
      <w:pPr>
        <w:spacing w:after="5" w:line="350" w:lineRule="auto"/>
        <w:ind w:left="437" w:hanging="10"/>
        <w:jc w:val="both"/>
      </w:pPr>
      <w:r>
        <w:rPr>
          <w:rFonts w:ascii="Arial" w:eastAsia="Arial" w:hAnsi="Arial" w:cs="Arial"/>
        </w:rPr>
        <w:t xml:space="preserve">Por tanto, a la vista de todo lo anterior, </w:t>
      </w:r>
      <w:r>
        <w:rPr>
          <w:rFonts w:ascii="Arial" w:eastAsia="Arial" w:hAnsi="Arial" w:cs="Arial"/>
          <w:b/>
        </w:rPr>
        <w:t>el abajo firmante INFORMA NEGATIVAMENTE la posible Innecesariedad</w:t>
      </w:r>
      <w:r>
        <w:rPr>
          <w:rFonts w:ascii="Arial" w:eastAsia="Arial" w:hAnsi="Arial" w:cs="Arial"/>
        </w:rPr>
        <w:t xml:space="preserve"> de los terrenos para la Protección y utilización del DPMT entre l</w:t>
      </w:r>
      <w:r>
        <w:rPr>
          <w:rFonts w:ascii="Arial" w:eastAsia="Arial" w:hAnsi="Arial" w:cs="Arial"/>
        </w:rPr>
        <w:t>os mojones M-233 y M-250 del deslinde con referencia DL-107-TF en el litoral de Candelaria.”</w:t>
      </w:r>
      <w:r>
        <w:rPr>
          <w:rFonts w:ascii="Times New Roman" w:eastAsia="Times New Roman" w:hAnsi="Times New Roman" w:cs="Times New Roman"/>
          <w:sz w:val="24"/>
        </w:rPr>
        <w:t xml:space="preserve"> </w:t>
      </w:r>
    </w:p>
    <w:p w:rsidR="00FF384B" w:rsidRDefault="003E3BA9">
      <w:pPr>
        <w:spacing w:after="105"/>
        <w:ind w:left="427"/>
      </w:pPr>
      <w:r>
        <w:rPr>
          <w:rFonts w:ascii="Arial" w:eastAsia="Arial" w:hAnsi="Arial" w:cs="Arial"/>
        </w:rPr>
        <w:t xml:space="preserve"> </w:t>
      </w:r>
    </w:p>
    <w:p w:rsidR="00FF384B" w:rsidRDefault="003E3BA9">
      <w:pPr>
        <w:spacing w:after="105"/>
        <w:ind w:left="427"/>
      </w:pPr>
      <w:r>
        <w:rPr>
          <w:rFonts w:ascii="Arial" w:eastAsia="Arial" w:hAnsi="Arial" w:cs="Arial"/>
        </w:rPr>
        <w:t xml:space="preserve"> </w:t>
      </w:r>
    </w:p>
    <w:p w:rsidR="00FF384B" w:rsidRDefault="003E3BA9">
      <w:pPr>
        <w:spacing w:after="102"/>
        <w:ind w:left="429" w:right="2" w:hanging="10"/>
        <w:jc w:val="center"/>
      </w:pPr>
      <w:r>
        <w:rPr>
          <w:rFonts w:ascii="Arial" w:eastAsia="Arial" w:hAnsi="Arial" w:cs="Arial"/>
        </w:rPr>
        <w:t xml:space="preserve">En Santa Cruz de Tenerife, abril de 2021 </w:t>
      </w:r>
    </w:p>
    <w:p w:rsidR="00FF384B" w:rsidRDefault="003E3BA9">
      <w:pPr>
        <w:spacing w:after="105"/>
        <w:ind w:left="427"/>
      </w:pPr>
      <w:r>
        <w:rPr>
          <w:rFonts w:ascii="Arial" w:eastAsia="Arial" w:hAnsi="Arial" w:cs="Arial"/>
          <w:b/>
        </w:rPr>
        <w:t xml:space="preserve"> </w:t>
      </w:r>
    </w:p>
    <w:p w:rsidR="00FF384B" w:rsidRDefault="003E3BA9">
      <w:pPr>
        <w:pStyle w:val="Ttulo4"/>
        <w:spacing w:after="111"/>
        <w:ind w:left="767" w:right="341"/>
      </w:pPr>
      <w:r>
        <w:t xml:space="preserve">El Autor del Informe </w:t>
      </w:r>
    </w:p>
    <w:p w:rsidR="00FF384B" w:rsidRDefault="003E3BA9">
      <w:pPr>
        <w:spacing w:after="105"/>
        <w:ind w:left="427"/>
      </w:pPr>
      <w:r>
        <w:rPr>
          <w:rFonts w:ascii="Arial" w:eastAsia="Arial" w:hAnsi="Arial" w:cs="Arial"/>
          <w:b/>
        </w:rPr>
        <w:t xml:space="preserve"> </w:t>
      </w:r>
    </w:p>
    <w:p w:rsidR="00FF384B" w:rsidRDefault="003E3BA9">
      <w:pPr>
        <w:spacing w:after="107"/>
        <w:ind w:left="427" w:right="3161"/>
      </w:pPr>
      <w:r>
        <w:rPr>
          <w:noProof/>
        </w:rPr>
        <mc:AlternateContent>
          <mc:Choice Requires="wpg">
            <w:drawing>
              <wp:anchor distT="0" distB="0" distL="114300" distR="114300" simplePos="0" relativeHeight="251993088" behindDoc="0" locked="0" layoutInCell="1" allowOverlap="1">
                <wp:simplePos x="0" y="0"/>
                <wp:positionH relativeFrom="column">
                  <wp:posOffset>6952743</wp:posOffset>
                </wp:positionH>
                <wp:positionV relativeFrom="paragraph">
                  <wp:posOffset>56657</wp:posOffset>
                </wp:positionV>
                <wp:extent cx="524148" cy="3797300"/>
                <wp:effectExtent l="0" t="0" r="0" b="0"/>
                <wp:wrapSquare wrapText="bothSides"/>
                <wp:docPr id="511233" name="Group 51123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178" name="Picture 57178"/>
                          <pic:cNvPicPr/>
                        </pic:nvPicPr>
                        <pic:blipFill>
                          <a:blip r:embed="rId62"/>
                          <a:stretch>
                            <a:fillRect/>
                          </a:stretch>
                        </pic:blipFill>
                        <pic:spPr>
                          <a:xfrm rot="-5399999">
                            <a:off x="-1720849" y="1720850"/>
                            <a:ext cx="3797299" cy="355600"/>
                          </a:xfrm>
                          <a:prstGeom prst="rect">
                            <a:avLst/>
                          </a:prstGeom>
                        </pic:spPr>
                      </pic:pic>
                      <wps:wsp>
                        <wps:cNvPr id="57179" name="Rectangle 5717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180" name="Rectangle 5718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233" style="width:41.2715pt;height:299pt;position:absolute;mso-position-horizontal-relative:text;mso-position-horizontal:absolute;margin-left:547.46pt;mso-position-vertical-relative:text;margin-top:4.46121pt;" coordsize="5241,37973">
                <v:shape id="Picture 57178" style="position:absolute;width:37972;height:3556;left:-17208;top:17208;rotation:-89;" filled="f">
                  <v:imagedata r:id="rId63"/>
                </v:shape>
                <v:rect id="Rectangle 5717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18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330 de 353 </w:t>
                        </w:r>
                      </w:p>
                    </w:txbxContent>
                  </v:textbox>
                </v:rect>
                <w10:wrap type="square"/>
              </v:group>
            </w:pict>
          </mc:Fallback>
        </mc:AlternateContent>
      </w:r>
      <w:r>
        <w:rPr>
          <w:rFonts w:ascii="Arial" w:eastAsia="Arial" w:hAnsi="Arial" w:cs="Arial"/>
          <w:b/>
        </w:rPr>
        <w:t xml:space="preserve"> </w:t>
      </w:r>
    </w:p>
    <w:p w:rsidR="00FF384B" w:rsidRDefault="003E3BA9">
      <w:pPr>
        <w:spacing w:after="116" w:line="247" w:lineRule="auto"/>
        <w:ind w:left="3983" w:right="3161" w:hanging="10"/>
        <w:jc w:val="both"/>
      </w:pPr>
      <w:r>
        <w:rPr>
          <w:rFonts w:ascii="Arial" w:eastAsia="Arial" w:hAnsi="Arial" w:cs="Arial"/>
        </w:rPr>
        <w:t xml:space="preserve">Fdo: D. Joaquín Martínez Feo. </w:t>
      </w:r>
    </w:p>
    <w:p w:rsidR="00FF384B" w:rsidRDefault="003E3BA9">
      <w:pPr>
        <w:spacing w:after="130" w:line="247" w:lineRule="auto"/>
        <w:ind w:left="3983" w:right="3161" w:hanging="10"/>
        <w:jc w:val="both"/>
      </w:pPr>
      <w:r>
        <w:rPr>
          <w:rFonts w:ascii="Arial" w:eastAsia="Arial" w:hAnsi="Arial" w:cs="Arial"/>
        </w:rPr>
        <w:t>Ingeniero de Caminos Canales</w:t>
      </w:r>
      <w:r>
        <w:rPr>
          <w:rFonts w:ascii="Arial" w:eastAsia="Arial" w:hAnsi="Arial" w:cs="Arial"/>
        </w:rPr>
        <w:t xml:space="preserve"> y Puertos </w:t>
      </w:r>
    </w:p>
    <w:p w:rsidR="00FF384B" w:rsidRDefault="003E3BA9">
      <w:pPr>
        <w:spacing w:after="93" w:line="247" w:lineRule="auto"/>
        <w:ind w:left="3983" w:right="3161" w:hanging="10"/>
        <w:jc w:val="both"/>
      </w:pPr>
      <w:r>
        <w:rPr>
          <w:rFonts w:ascii="Arial" w:eastAsia="Arial" w:hAnsi="Arial" w:cs="Arial"/>
        </w:rPr>
        <w:t>Colegiado nº: 18.335</w:t>
      </w:r>
      <w:r>
        <w:rPr>
          <w:rFonts w:ascii="Times New Roman" w:eastAsia="Times New Roman" w:hAnsi="Times New Roman" w:cs="Times New Roman"/>
          <w:sz w:val="24"/>
        </w:rPr>
        <w:t xml:space="preserve"> </w:t>
      </w:r>
    </w:p>
    <w:p w:rsidR="00FF384B" w:rsidRDefault="003E3BA9">
      <w:pPr>
        <w:spacing w:after="100"/>
        <w:ind w:left="1136" w:right="3161"/>
      </w:pPr>
      <w:r>
        <w:rPr>
          <w:rFonts w:ascii="Arial" w:eastAsia="Arial" w:hAnsi="Arial" w:cs="Arial"/>
          <w:b/>
        </w:rPr>
        <w:t xml:space="preserve"> </w:t>
      </w:r>
    </w:p>
    <w:p w:rsidR="00FF384B" w:rsidRDefault="003E3BA9">
      <w:pPr>
        <w:spacing w:after="100"/>
        <w:ind w:left="1136" w:right="3161"/>
      </w:pPr>
      <w:r>
        <w:rPr>
          <w:rFonts w:ascii="Arial" w:eastAsia="Arial" w:hAnsi="Arial" w:cs="Arial"/>
          <w:b/>
        </w:rPr>
        <w:t xml:space="preserve"> </w:t>
      </w:r>
    </w:p>
    <w:p w:rsidR="00FF384B" w:rsidRDefault="003E3BA9">
      <w:pPr>
        <w:spacing w:after="100"/>
        <w:ind w:left="427" w:right="3161"/>
      </w:pPr>
      <w:r>
        <w:rPr>
          <w:rFonts w:ascii="Arial" w:eastAsia="Arial" w:hAnsi="Arial" w:cs="Arial"/>
        </w:rPr>
        <w:t xml:space="preserve"> </w:t>
      </w:r>
    </w:p>
    <w:p w:rsidR="00FF384B" w:rsidRDefault="003E3BA9">
      <w:pPr>
        <w:spacing w:after="98"/>
        <w:ind w:left="427" w:right="3161"/>
      </w:pPr>
      <w:r>
        <w:rPr>
          <w:rFonts w:ascii="Arial" w:eastAsia="Arial" w:hAnsi="Arial" w:cs="Arial"/>
        </w:rPr>
        <w:t xml:space="preserve"> </w:t>
      </w:r>
    </w:p>
    <w:p w:rsidR="00FF384B" w:rsidRDefault="003E3BA9">
      <w:pPr>
        <w:spacing w:after="98"/>
        <w:ind w:left="427" w:right="3161"/>
      </w:pPr>
      <w:r>
        <w:rPr>
          <w:rFonts w:ascii="Arial" w:eastAsia="Arial" w:hAnsi="Arial" w:cs="Arial"/>
        </w:rPr>
        <w:t xml:space="preserve"> </w:t>
      </w:r>
    </w:p>
    <w:p w:rsidR="00FF384B" w:rsidRDefault="003E3BA9">
      <w:pPr>
        <w:spacing w:after="1" w:line="352" w:lineRule="auto"/>
        <w:ind w:left="427" w:right="3161"/>
      </w:pPr>
      <w:r>
        <w:rPr>
          <w:rFonts w:ascii="Arial" w:eastAsia="Arial" w:hAnsi="Arial" w:cs="Arial"/>
          <w:b/>
        </w:rPr>
        <w:t xml:space="preserve"> </w:t>
      </w:r>
      <w:r>
        <w:rPr>
          <w:rFonts w:ascii="Arial" w:eastAsia="Arial" w:hAnsi="Arial" w:cs="Arial"/>
        </w:rPr>
        <w:t xml:space="preserve"> </w:t>
      </w:r>
      <w:r>
        <w:rPr>
          <w:rFonts w:ascii="Arial" w:eastAsia="Arial" w:hAnsi="Arial" w:cs="Arial"/>
          <w:b/>
        </w:rPr>
        <w:t xml:space="preserve"> </w:t>
      </w:r>
    </w:p>
    <w:p w:rsidR="00FF384B" w:rsidRDefault="003E3BA9">
      <w:pPr>
        <w:spacing w:after="100"/>
        <w:ind w:left="1136" w:right="3161"/>
      </w:pPr>
      <w:r>
        <w:rPr>
          <w:rFonts w:ascii="Arial" w:eastAsia="Arial" w:hAnsi="Arial" w:cs="Arial"/>
          <w:b/>
        </w:rPr>
        <w:t xml:space="preserve"> </w:t>
      </w:r>
    </w:p>
    <w:p w:rsidR="00FF384B" w:rsidRDefault="003E3BA9">
      <w:pPr>
        <w:spacing w:after="0"/>
        <w:ind w:left="1136" w:right="3161"/>
      </w:pPr>
      <w:r>
        <w:rPr>
          <w:rFonts w:ascii="Arial" w:eastAsia="Arial" w:hAnsi="Arial" w:cs="Arial"/>
          <w:b/>
        </w:rPr>
        <w:t xml:space="preserve"> </w:t>
      </w:r>
    </w:p>
    <w:p w:rsidR="00FF384B" w:rsidRDefault="003E3BA9">
      <w:pPr>
        <w:spacing w:after="98"/>
        <w:ind w:left="1136"/>
      </w:pPr>
      <w:r>
        <w:rPr>
          <w:rFonts w:ascii="Arial" w:eastAsia="Arial" w:hAnsi="Arial" w:cs="Arial"/>
          <w:b/>
        </w:rPr>
        <w:t xml:space="preserve"> </w:t>
      </w:r>
    </w:p>
    <w:p w:rsidR="00FF384B" w:rsidRDefault="003E3BA9">
      <w:pPr>
        <w:spacing w:after="100"/>
        <w:ind w:left="1136"/>
      </w:pPr>
      <w:r>
        <w:rPr>
          <w:rFonts w:ascii="Arial" w:eastAsia="Arial" w:hAnsi="Arial" w:cs="Arial"/>
          <w:b/>
        </w:rPr>
        <w:t xml:space="preserve"> </w:t>
      </w:r>
    </w:p>
    <w:p w:rsidR="00FF384B" w:rsidRDefault="003E3BA9">
      <w:pPr>
        <w:spacing w:after="116" w:line="247" w:lineRule="auto"/>
        <w:ind w:left="412" w:firstLine="708"/>
        <w:jc w:val="both"/>
      </w:pPr>
      <w:r>
        <w:rPr>
          <w:rFonts w:ascii="Arial" w:eastAsia="Arial" w:hAnsi="Arial" w:cs="Arial"/>
          <w:b/>
        </w:rPr>
        <w:t xml:space="preserve">Consta en el Informe Jurídico emitido por D. Octavio Manuel Fernández Hernández, Secretario General, de 28 de abril de 2021, del siguiente tenor literal: </w:t>
      </w:r>
    </w:p>
    <w:p w:rsidR="00FF384B" w:rsidRDefault="003E3BA9">
      <w:pPr>
        <w:spacing w:after="98"/>
        <w:ind w:left="427"/>
      </w:pPr>
      <w:r>
        <w:rPr>
          <w:rFonts w:ascii="Arial" w:eastAsia="Arial" w:hAnsi="Arial" w:cs="Arial"/>
        </w:rPr>
        <w:t xml:space="preserve"> </w:t>
      </w:r>
    </w:p>
    <w:p w:rsidR="00FF384B" w:rsidRDefault="003E3BA9">
      <w:pPr>
        <w:spacing w:after="102"/>
        <w:ind w:left="427"/>
      </w:pPr>
      <w:r>
        <w:rPr>
          <w:rFonts w:ascii="Arial" w:eastAsia="Arial" w:hAnsi="Arial" w:cs="Arial"/>
        </w:rPr>
        <w:t xml:space="preserve"> </w:t>
      </w:r>
    </w:p>
    <w:p w:rsidR="00FF384B" w:rsidRDefault="003E3BA9">
      <w:pPr>
        <w:spacing w:after="15" w:line="354" w:lineRule="auto"/>
        <w:ind w:left="1136" w:right="2464" w:firstLine="3821"/>
        <w:jc w:val="both"/>
      </w:pPr>
      <w:r>
        <w:rPr>
          <w:rFonts w:ascii="Arial" w:eastAsia="Arial" w:hAnsi="Arial" w:cs="Arial"/>
          <w:b/>
        </w:rPr>
        <w:t>“INFORME JURÍDICO DE SECRETARÍA GENERAL</w:t>
      </w:r>
      <w:r>
        <w:rPr>
          <w:rFonts w:ascii="Arial" w:eastAsia="Arial" w:hAnsi="Arial" w:cs="Arial"/>
          <w:b/>
        </w:rPr>
        <w:t xml:space="preserve">                            </w:t>
      </w:r>
      <w:r>
        <w:rPr>
          <w:rFonts w:ascii="Arial" w:eastAsia="Arial" w:hAnsi="Arial" w:cs="Arial"/>
        </w:rPr>
        <w:t xml:space="preserve"> </w:t>
      </w:r>
      <w:r>
        <w:rPr>
          <w:rFonts w:ascii="Arial" w:eastAsia="Arial" w:hAnsi="Arial" w:cs="Arial"/>
          <w:b/>
        </w:rPr>
        <w:t>Visto el expediente antedicho, se emite el siguiente informe jurídico:</w:t>
      </w:r>
      <w:r>
        <w:rPr>
          <w:rFonts w:ascii="Arial" w:eastAsia="Arial" w:hAnsi="Arial" w:cs="Arial"/>
        </w:rPr>
        <w:t xml:space="preserve"> </w:t>
      </w:r>
    </w:p>
    <w:p w:rsidR="00FF384B" w:rsidRDefault="003E3BA9">
      <w:pPr>
        <w:spacing w:after="98"/>
        <w:ind w:left="427"/>
      </w:pPr>
      <w:r>
        <w:rPr>
          <w:rFonts w:ascii="Arial" w:eastAsia="Arial" w:hAnsi="Arial" w:cs="Arial"/>
        </w:rPr>
        <w:t xml:space="preserve">  </w:t>
      </w:r>
    </w:p>
    <w:p w:rsidR="00FF384B" w:rsidRDefault="003E3BA9">
      <w:pPr>
        <w:pStyle w:val="Ttulo4"/>
        <w:spacing w:after="103"/>
        <w:ind w:left="767" w:right="342"/>
      </w:pPr>
      <w:r>
        <w:t xml:space="preserve">Antecedentes de hecho </w:t>
      </w:r>
      <w:r>
        <w:rPr>
          <w:b w:val="0"/>
        </w:rPr>
        <w:t xml:space="preserve"> </w:t>
      </w:r>
    </w:p>
    <w:p w:rsidR="00FF384B" w:rsidRDefault="003E3BA9">
      <w:pPr>
        <w:spacing w:after="111" w:line="247" w:lineRule="auto"/>
        <w:ind w:left="1139" w:hanging="3"/>
        <w:jc w:val="both"/>
      </w:pPr>
      <w:r>
        <w:rPr>
          <w:rFonts w:ascii="Arial" w:eastAsia="Arial" w:hAnsi="Arial" w:cs="Arial"/>
          <w:b/>
        </w:rPr>
        <w:t xml:space="preserve">Primero. - Consta expediente incluido en el Pleno ordinario de 29 de abril de 2021 denominado: </w:t>
      </w:r>
    </w:p>
    <w:p w:rsidR="00FF384B" w:rsidRDefault="003E3BA9">
      <w:pPr>
        <w:spacing w:after="111" w:line="247" w:lineRule="auto"/>
        <w:ind w:left="437" w:hanging="10"/>
        <w:jc w:val="both"/>
      </w:pPr>
      <w:r>
        <w:rPr>
          <w:noProof/>
        </w:rPr>
        <mc:AlternateContent>
          <mc:Choice Requires="wpg">
            <w:drawing>
              <wp:anchor distT="0" distB="0" distL="114300" distR="114300" simplePos="0" relativeHeight="251994112" behindDoc="1" locked="0" layoutInCell="1" allowOverlap="1">
                <wp:simplePos x="0" y="0"/>
                <wp:positionH relativeFrom="column">
                  <wp:posOffset>6952743</wp:posOffset>
                </wp:positionH>
                <wp:positionV relativeFrom="paragraph">
                  <wp:posOffset>-304530</wp:posOffset>
                </wp:positionV>
                <wp:extent cx="524148" cy="3797300"/>
                <wp:effectExtent l="0" t="0" r="0" b="0"/>
                <wp:wrapNone/>
                <wp:docPr id="511599" name="Group 511599"/>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311" name="Picture 57311"/>
                          <pic:cNvPicPr/>
                        </pic:nvPicPr>
                        <pic:blipFill>
                          <a:blip r:embed="rId62"/>
                          <a:stretch>
                            <a:fillRect/>
                          </a:stretch>
                        </pic:blipFill>
                        <pic:spPr>
                          <a:xfrm rot="-5399999">
                            <a:off x="-1720849" y="1720850"/>
                            <a:ext cx="3797299" cy="355600"/>
                          </a:xfrm>
                          <a:prstGeom prst="rect">
                            <a:avLst/>
                          </a:prstGeom>
                        </pic:spPr>
                      </pic:pic>
                      <wps:wsp>
                        <wps:cNvPr id="57312" name="Rectangle 57312"/>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313" name="Rectangle 57313"/>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599" style="width:41.2715pt;height:299pt;position:absolute;z-index:-2147483526;mso-position-horizontal-relative:text;mso-position-horizontal:absolute;margin-left:547.46pt;mso-position-vertical-relative:text;margin-top:-23.9788pt;" coordsize="5241,37973">
                <v:shape id="Picture 57311" style="position:absolute;width:37972;height:3556;left:-17208;top:17208;rotation:-89;" filled="f">
                  <v:imagedata r:id="rId63"/>
                </v:shape>
                <v:rect id="Rectangle 57312"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313"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331 de 353 </w:t>
                        </w:r>
                      </w:p>
                    </w:txbxContent>
                  </v:textbox>
                </v:rect>
              </v:group>
            </w:pict>
          </mc:Fallback>
        </mc:AlternateContent>
      </w:r>
      <w:r>
        <w:rPr>
          <w:rFonts w:ascii="Arial" w:eastAsia="Arial" w:hAnsi="Arial" w:cs="Arial"/>
        </w:rPr>
        <w:t>Expediente 2642/2020. Moción del Grupo Mixto por RE (2021-E-R</w:t>
      </w:r>
      <w:r>
        <w:rPr>
          <w:rFonts w:ascii="Arial" w:eastAsia="Arial" w:hAnsi="Arial" w:cs="Arial"/>
        </w:rPr>
        <w:t xml:space="preserve">E-1259) de 18 de abril de 2021 para la reiteración de la Moción del expediente de desafectación de terrenos innecesarios para el dominio público marítimo terrestre en el litoral de Candelaria (Pleno 24-9-2020). </w:t>
      </w:r>
    </w:p>
    <w:p w:rsidR="00FF384B" w:rsidRDefault="003E3BA9">
      <w:pPr>
        <w:spacing w:after="112" w:line="247" w:lineRule="auto"/>
        <w:ind w:left="437" w:right="244" w:hanging="10"/>
        <w:jc w:val="both"/>
      </w:pPr>
      <w:r>
        <w:rPr>
          <w:rFonts w:ascii="Arial" w:eastAsia="Arial" w:hAnsi="Arial" w:cs="Arial"/>
        </w:rPr>
        <w:t>Dicho expediente tiene los siguientes trámit</w:t>
      </w:r>
      <w:r>
        <w:rPr>
          <w:rFonts w:ascii="Arial" w:eastAsia="Arial" w:hAnsi="Arial" w:cs="Arial"/>
        </w:rPr>
        <w:t xml:space="preserve">es: </w:t>
      </w:r>
    </w:p>
    <w:p w:rsidR="00FF384B" w:rsidRDefault="003E3BA9">
      <w:pPr>
        <w:spacing w:after="109" w:line="247" w:lineRule="auto"/>
        <w:ind w:left="437" w:right="244" w:hanging="10"/>
        <w:jc w:val="both"/>
      </w:pPr>
      <w:r>
        <w:rPr>
          <w:rFonts w:ascii="Arial" w:eastAsia="Arial" w:hAnsi="Arial" w:cs="Arial"/>
        </w:rPr>
        <w:t xml:space="preserve">1.- Moción de 13 de marzo de 2020 en cuya parte resolutiva dice: </w:t>
      </w:r>
    </w:p>
    <w:p w:rsidR="00FF384B" w:rsidRDefault="003E3BA9">
      <w:pPr>
        <w:spacing w:after="114" w:line="247" w:lineRule="auto"/>
        <w:ind w:left="437" w:hanging="10"/>
        <w:jc w:val="both"/>
      </w:pPr>
      <w:r>
        <w:rPr>
          <w:rFonts w:ascii="Arial" w:eastAsia="Arial" w:hAnsi="Arial" w:cs="Arial"/>
          <w:i/>
        </w:rPr>
        <w:t>Redactar y solicitar al Ministerio de Transición Ecológica y del Reto Demográfico la declaración de innecesariedad de los terrenos para la protección del dominio público marítimo terres</w:t>
      </w:r>
      <w:r>
        <w:rPr>
          <w:rFonts w:ascii="Arial" w:eastAsia="Arial" w:hAnsi="Arial" w:cs="Arial"/>
          <w:i/>
        </w:rPr>
        <w:t xml:space="preserve">tre entre los mojones M-233 y M-250 del deslinde con referencia DL-107-TF que afecta al litoral de Candelaria. </w:t>
      </w:r>
    </w:p>
    <w:p w:rsidR="00FF384B" w:rsidRDefault="003E3BA9">
      <w:pPr>
        <w:spacing w:after="112" w:line="247" w:lineRule="auto"/>
        <w:ind w:left="437" w:hanging="10"/>
        <w:jc w:val="both"/>
      </w:pPr>
      <w:r>
        <w:rPr>
          <w:rFonts w:ascii="Arial" w:eastAsia="Arial" w:hAnsi="Arial" w:cs="Arial"/>
          <w:i/>
        </w:rPr>
        <w:t>Dar traslado de esta solicitud a la Consejería de Transición Ecológica, Lucha contra el Cambio Climático y Planificación Territorial del Gobiern</w:t>
      </w:r>
      <w:r>
        <w:rPr>
          <w:rFonts w:ascii="Arial" w:eastAsia="Arial" w:hAnsi="Arial" w:cs="Arial"/>
          <w:i/>
        </w:rPr>
        <w:t>o de Canarias instando la realización del informe necesario.</w:t>
      </w:r>
      <w:r>
        <w:rPr>
          <w:rFonts w:ascii="Arial" w:eastAsia="Arial" w:hAnsi="Arial" w:cs="Arial"/>
        </w:rPr>
        <w:t xml:space="preserve"> </w:t>
      </w:r>
    </w:p>
    <w:p w:rsidR="00FF384B" w:rsidRDefault="003E3BA9">
      <w:pPr>
        <w:spacing w:after="98"/>
        <w:ind w:left="427"/>
      </w:pPr>
      <w:r>
        <w:rPr>
          <w:rFonts w:ascii="Arial" w:eastAsia="Arial" w:hAnsi="Arial" w:cs="Arial"/>
          <w:b/>
        </w:rPr>
        <w:t xml:space="preserve"> </w:t>
      </w:r>
    </w:p>
    <w:p w:rsidR="00FF384B" w:rsidRDefault="003E3BA9">
      <w:pPr>
        <w:spacing w:after="129" w:line="247" w:lineRule="auto"/>
        <w:ind w:left="412" w:firstLine="708"/>
        <w:jc w:val="both"/>
      </w:pPr>
      <w:r>
        <w:rPr>
          <w:rFonts w:ascii="Arial" w:eastAsia="Arial" w:hAnsi="Arial" w:cs="Arial"/>
          <w:b/>
        </w:rPr>
        <w:t xml:space="preserve">Segundo.- </w:t>
      </w:r>
      <w:r>
        <w:rPr>
          <w:rFonts w:ascii="Arial" w:eastAsia="Arial" w:hAnsi="Arial" w:cs="Arial"/>
          <w:b/>
        </w:rPr>
        <w:t xml:space="preserve">Consta en el expediente informe técnico de 16 de octubre de 2020 aportado por el mocionante, firmado por el Ingeniero de Caminos, Canales y Puertos José Andrés Domínguez Yanes que en sus conclusiones dice: </w:t>
      </w:r>
    </w:p>
    <w:p w:rsidR="00FF384B" w:rsidRDefault="003E3BA9">
      <w:pPr>
        <w:spacing w:after="4" w:line="247" w:lineRule="auto"/>
        <w:ind w:left="427" w:firstLine="708"/>
        <w:jc w:val="both"/>
      </w:pPr>
      <w:r>
        <w:rPr>
          <w:rFonts w:ascii="Arial" w:eastAsia="Arial" w:hAnsi="Arial" w:cs="Arial"/>
          <w:i/>
        </w:rPr>
        <w:t>“Con lo descrito y los consecuentes efectos antró</w:t>
      </w:r>
      <w:r>
        <w:rPr>
          <w:rFonts w:ascii="Arial" w:eastAsia="Arial" w:hAnsi="Arial" w:cs="Arial"/>
          <w:i/>
        </w:rPr>
        <w:t xml:space="preserve">picos sobre el litoral analizado, extensibles hasta el borde costero situado bajo las instalaciones del Círculo de Amistad XII de Enero, se observa una TOTAL DESNATURALIZACIÓN DEL BORDE COSTERO QUE HEMOS </w:t>
      </w:r>
    </w:p>
    <w:p w:rsidR="00FF384B" w:rsidRDefault="003E3BA9">
      <w:pPr>
        <w:spacing w:after="109" w:line="247" w:lineRule="auto"/>
        <w:ind w:left="437" w:hanging="10"/>
        <w:jc w:val="both"/>
      </w:pPr>
      <w:r>
        <w:rPr>
          <w:rFonts w:ascii="Arial" w:eastAsia="Arial" w:hAnsi="Arial" w:cs="Arial"/>
          <w:i/>
        </w:rPr>
        <w:t>ANALIZADO y, actualmente, en condiciones necesarias</w:t>
      </w:r>
      <w:r>
        <w:rPr>
          <w:rFonts w:ascii="Arial" w:eastAsia="Arial" w:hAnsi="Arial" w:cs="Arial"/>
          <w:i/>
        </w:rPr>
        <w:t xml:space="preserve"> de afianzamiento de taludes superiores, que determinarán una mayor y continuada conservación y revisión de los elementos de protección y estabilización de esas laderas y cantiles inferiores”. </w:t>
      </w:r>
    </w:p>
    <w:p w:rsidR="00FF384B" w:rsidRDefault="003E3BA9">
      <w:pPr>
        <w:spacing w:after="111" w:line="247" w:lineRule="auto"/>
        <w:ind w:left="427" w:firstLine="708"/>
        <w:jc w:val="both"/>
      </w:pPr>
      <w:r>
        <w:rPr>
          <w:rFonts w:ascii="Arial" w:eastAsia="Arial" w:hAnsi="Arial" w:cs="Arial"/>
          <w:i/>
        </w:rPr>
        <w:t>Todo lo anterior ha contribuido a la desaparición de los depós</w:t>
      </w:r>
      <w:r>
        <w:rPr>
          <w:rFonts w:ascii="Arial" w:eastAsia="Arial" w:hAnsi="Arial" w:cs="Arial"/>
          <w:i/>
        </w:rPr>
        <w:t xml:space="preserve">itos sedimentarios primigenios y la presencia de zonas de cantos y bolos procedentes de vertidos antes descritos. </w:t>
      </w:r>
    </w:p>
    <w:p w:rsidR="00FF384B" w:rsidRDefault="003E3BA9">
      <w:pPr>
        <w:spacing w:after="133" w:line="247" w:lineRule="auto"/>
        <w:ind w:left="1146" w:right="244" w:hanging="10"/>
        <w:jc w:val="both"/>
      </w:pPr>
      <w:r>
        <w:rPr>
          <w:rFonts w:ascii="Arial" w:eastAsia="Arial" w:hAnsi="Arial" w:cs="Arial"/>
          <w:i/>
        </w:rPr>
        <w:t xml:space="preserve">Ello ha alterado los pies de cantil, hoy TOTALMENTE MODIFICADOS y alterados. </w:t>
      </w:r>
    </w:p>
    <w:p w:rsidR="00FF384B" w:rsidRDefault="003E3BA9">
      <w:pPr>
        <w:spacing w:after="134" w:line="247" w:lineRule="auto"/>
        <w:ind w:left="1146" w:right="244" w:hanging="10"/>
        <w:jc w:val="both"/>
      </w:pPr>
      <w:r>
        <w:rPr>
          <w:rFonts w:ascii="Arial" w:eastAsia="Arial" w:hAnsi="Arial" w:cs="Arial"/>
          <w:i/>
        </w:rPr>
        <w:t>Entiendo que, con todo, la delimitación del Dominio Público Mar</w:t>
      </w:r>
      <w:r>
        <w:rPr>
          <w:rFonts w:ascii="Arial" w:eastAsia="Arial" w:hAnsi="Arial" w:cs="Arial"/>
          <w:i/>
        </w:rPr>
        <w:t xml:space="preserve">ítimo Terrestre debería adaptarse a las circunstancias intangibles actuales.” </w:t>
      </w:r>
    </w:p>
    <w:p w:rsidR="00FF384B" w:rsidRDefault="003E3BA9">
      <w:pPr>
        <w:spacing w:after="113" w:line="247" w:lineRule="auto"/>
        <w:ind w:left="412" w:firstLine="708"/>
        <w:jc w:val="both"/>
      </w:pPr>
      <w:r>
        <w:rPr>
          <w:rFonts w:ascii="Arial" w:eastAsia="Arial" w:hAnsi="Arial" w:cs="Arial"/>
          <w:b/>
        </w:rPr>
        <w:t>Tercero.- Consta en el expediente “Informes emitidos sobre la Moción del Grupo Mixto por RE (2021-E-RE-1259) de 18-4-2021 de desafectación de terrenos innecesarios para el domin</w:t>
      </w:r>
      <w:r>
        <w:rPr>
          <w:rFonts w:ascii="Arial" w:eastAsia="Arial" w:hAnsi="Arial" w:cs="Arial"/>
          <w:b/>
        </w:rPr>
        <w:t>io público marítimo terrestre en el litoral de Candelaria relacionado con el expediente”, el informe técnico siguiente de fecha de firma electrónica de 27 de abril de 2021 encargado por el Ayuntamiento de Candelaria por el correspondiente contrato menor de</w:t>
      </w:r>
      <w:r>
        <w:rPr>
          <w:rFonts w:ascii="Arial" w:eastAsia="Arial" w:hAnsi="Arial" w:cs="Arial"/>
          <w:b/>
        </w:rPr>
        <w:t xml:space="preserve"> servicios al carecer la Oficina Técnica Municipal de Ingeniero en la materia. </w:t>
      </w:r>
    </w:p>
    <w:p w:rsidR="00FF384B" w:rsidRDefault="003E3BA9">
      <w:pPr>
        <w:spacing w:after="98"/>
        <w:ind w:left="427"/>
      </w:pPr>
      <w:r>
        <w:rPr>
          <w:rFonts w:ascii="Arial" w:eastAsia="Arial" w:hAnsi="Arial" w:cs="Arial"/>
          <w:b/>
        </w:rPr>
        <w:t xml:space="preserve"> </w:t>
      </w:r>
    </w:p>
    <w:p w:rsidR="00FF384B" w:rsidRDefault="003E3BA9">
      <w:pPr>
        <w:spacing w:after="59" w:line="296" w:lineRule="auto"/>
        <w:ind w:left="415" w:hanging="3"/>
        <w:jc w:val="both"/>
      </w:pPr>
      <w:r>
        <w:rPr>
          <w:rFonts w:ascii="Arial" w:eastAsia="Arial" w:hAnsi="Arial" w:cs="Arial"/>
          <w:b/>
        </w:rPr>
        <w:t>Informe sobre la posible innecesariedad de los terrenos dentro del Dominio Público Marítimo Terrestre que han perdido sus características naturales de Zona Marítimo Terrestre</w:t>
      </w:r>
      <w:r>
        <w:rPr>
          <w:rFonts w:ascii="Arial" w:eastAsia="Arial" w:hAnsi="Arial" w:cs="Arial"/>
          <w:b/>
        </w:rPr>
        <w:t xml:space="preserve"> entre los mojones M-233 y M-250 del deslinde con referencia DL-107-TF en el litoral de Candelaria Autor: Don Joaquín Martínez Feo: Ingeniero de Caminos, Canales y Puertos. Colegiado nº 18.335. </w:t>
      </w:r>
    </w:p>
    <w:p w:rsidR="00FF384B" w:rsidRDefault="003E3BA9">
      <w:pPr>
        <w:spacing w:after="111" w:line="247" w:lineRule="auto"/>
        <w:ind w:left="415" w:hanging="3"/>
        <w:jc w:val="both"/>
      </w:pPr>
      <w:r>
        <w:rPr>
          <w:rFonts w:ascii="Arial" w:eastAsia="Arial" w:hAnsi="Arial" w:cs="Arial"/>
          <w:b/>
        </w:rPr>
        <w:t xml:space="preserve">Empresa: Adriale Ingeniería, S.L. </w:t>
      </w:r>
    </w:p>
    <w:p w:rsidR="00FF384B" w:rsidRDefault="003E3BA9">
      <w:pPr>
        <w:spacing w:after="109" w:line="247" w:lineRule="auto"/>
        <w:ind w:left="415" w:hanging="3"/>
        <w:jc w:val="both"/>
      </w:pPr>
      <w:r>
        <w:rPr>
          <w:rFonts w:ascii="Arial" w:eastAsia="Arial" w:hAnsi="Arial" w:cs="Arial"/>
          <w:b/>
        </w:rPr>
        <w:t xml:space="preserve">Conclusiones: </w:t>
      </w:r>
    </w:p>
    <w:p w:rsidR="00FF384B" w:rsidRDefault="003E3BA9">
      <w:pPr>
        <w:spacing w:after="116" w:line="247" w:lineRule="auto"/>
        <w:ind w:left="415" w:hanging="3"/>
        <w:jc w:val="both"/>
      </w:pPr>
      <w:r>
        <w:rPr>
          <w:rFonts w:ascii="Arial" w:eastAsia="Arial" w:hAnsi="Arial" w:cs="Arial"/>
          <w:b/>
        </w:rPr>
        <w:t xml:space="preserve">6. CONCLUSIONES </w:t>
      </w:r>
    </w:p>
    <w:p w:rsidR="00FF384B" w:rsidRDefault="003E3BA9">
      <w:pPr>
        <w:spacing w:after="15" w:line="349" w:lineRule="auto"/>
        <w:ind w:left="415" w:hanging="3"/>
        <w:jc w:val="both"/>
      </w:pPr>
      <w:r>
        <w:rPr>
          <w:rFonts w:ascii="Arial" w:eastAsia="Arial" w:hAnsi="Arial" w:cs="Arial"/>
        </w:rPr>
        <w:t xml:space="preserve">Tal como se ha expuesto con anterioridad, pese a que </w:t>
      </w:r>
      <w:r>
        <w:rPr>
          <w:rFonts w:ascii="Arial" w:eastAsia="Arial" w:hAnsi="Arial" w:cs="Arial"/>
          <w:b/>
        </w:rPr>
        <w:t>los terrenos</w:t>
      </w:r>
      <w:r>
        <w:rPr>
          <w:rFonts w:ascii="Arial" w:eastAsia="Arial" w:hAnsi="Arial" w:cs="Arial"/>
        </w:rPr>
        <w:t xml:space="preserve"> tienen un</w:t>
      </w:r>
      <w:r>
        <w:rPr>
          <w:rFonts w:ascii="Arial" w:eastAsia="Arial" w:hAnsi="Arial" w:cs="Arial"/>
          <w:b/>
        </w:rPr>
        <w:t xml:space="preserve"> uso privado</w:t>
      </w:r>
      <w:r>
        <w:rPr>
          <w:rFonts w:ascii="Arial" w:eastAsia="Arial" w:hAnsi="Arial" w:cs="Arial"/>
        </w:rPr>
        <w:t xml:space="preserve"> contando con un </w:t>
      </w:r>
      <w:r>
        <w:rPr>
          <w:rFonts w:ascii="Arial" w:eastAsia="Arial" w:hAnsi="Arial" w:cs="Arial"/>
          <w:b/>
        </w:rPr>
        <w:t>grado suficiente de Intensidad y consolidación</w:t>
      </w:r>
      <w:r>
        <w:rPr>
          <w:rFonts w:ascii="Arial" w:eastAsia="Arial" w:hAnsi="Arial" w:cs="Arial"/>
        </w:rPr>
        <w:t xml:space="preserve"> </w:t>
      </w:r>
      <w:r>
        <w:rPr>
          <w:rFonts w:ascii="Arial" w:eastAsia="Arial" w:hAnsi="Arial" w:cs="Arial"/>
          <w:b/>
        </w:rPr>
        <w:t>urbanística, y habiendo perdido sus características naturales de acantilado o zona Marít</w:t>
      </w:r>
      <w:r>
        <w:rPr>
          <w:rFonts w:ascii="Arial" w:eastAsia="Arial" w:hAnsi="Arial" w:cs="Arial"/>
          <w:b/>
        </w:rPr>
        <w:t>imo Terrestre</w:t>
      </w:r>
      <w:r>
        <w:rPr>
          <w:rFonts w:ascii="Arial" w:eastAsia="Arial" w:hAnsi="Arial" w:cs="Arial"/>
        </w:rPr>
        <w:t xml:space="preserve">, los mismos </w:t>
      </w:r>
      <w:r>
        <w:rPr>
          <w:rFonts w:ascii="Arial" w:eastAsia="Arial" w:hAnsi="Arial" w:cs="Arial"/>
          <w:b/>
        </w:rPr>
        <w:t>no cumplen dos de los cuatro de los requisitos</w:t>
      </w:r>
      <w:r>
        <w:rPr>
          <w:rFonts w:ascii="Arial" w:eastAsia="Arial" w:hAnsi="Arial" w:cs="Arial"/>
        </w:rPr>
        <w:t xml:space="preserve"> para que puedan </w:t>
      </w:r>
      <w:r>
        <w:rPr>
          <w:rFonts w:ascii="Arial" w:eastAsia="Arial" w:hAnsi="Arial" w:cs="Arial"/>
          <w:b/>
        </w:rPr>
        <w:t>considerarse</w:t>
      </w:r>
      <w:r>
        <w:rPr>
          <w:rFonts w:ascii="Arial" w:eastAsia="Arial" w:hAnsi="Arial" w:cs="Arial"/>
        </w:rPr>
        <w:t xml:space="preserve"> a nivel de propuesta, como </w:t>
      </w:r>
      <w:r>
        <w:rPr>
          <w:rFonts w:ascii="Arial" w:eastAsia="Arial" w:hAnsi="Arial" w:cs="Arial"/>
          <w:b/>
        </w:rPr>
        <w:t>Innecesarios</w:t>
      </w:r>
      <w:r>
        <w:rPr>
          <w:rFonts w:ascii="Arial" w:eastAsia="Arial" w:hAnsi="Arial" w:cs="Arial"/>
        </w:rPr>
        <w:t>.</w:t>
      </w:r>
      <w:r>
        <w:rPr>
          <w:rFonts w:ascii="Times New Roman" w:eastAsia="Times New Roman" w:hAnsi="Times New Roman" w:cs="Times New Roman"/>
          <w:sz w:val="24"/>
        </w:rPr>
        <w:t xml:space="preserve"> </w:t>
      </w:r>
    </w:p>
    <w:p w:rsidR="00FF384B" w:rsidRDefault="003E3BA9">
      <w:pPr>
        <w:numPr>
          <w:ilvl w:val="1"/>
          <w:numId w:val="338"/>
        </w:numPr>
        <w:spacing w:after="5" w:line="362" w:lineRule="auto"/>
        <w:ind w:left="1561" w:right="2" w:hanging="425"/>
        <w:jc w:val="both"/>
      </w:pPr>
      <w:r>
        <w:rPr>
          <w:noProof/>
        </w:rPr>
        <mc:AlternateContent>
          <mc:Choice Requires="wpg">
            <w:drawing>
              <wp:anchor distT="0" distB="0" distL="114300" distR="114300" simplePos="0" relativeHeight="251995136" behindDoc="1" locked="0" layoutInCell="1" allowOverlap="1">
                <wp:simplePos x="0" y="0"/>
                <wp:positionH relativeFrom="column">
                  <wp:posOffset>6952743</wp:posOffset>
                </wp:positionH>
                <wp:positionV relativeFrom="paragraph">
                  <wp:posOffset>-1920052</wp:posOffset>
                </wp:positionV>
                <wp:extent cx="524148" cy="3797300"/>
                <wp:effectExtent l="0" t="0" r="0" b="0"/>
                <wp:wrapNone/>
                <wp:docPr id="511703" name="Group 51170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437" name="Picture 57437"/>
                          <pic:cNvPicPr/>
                        </pic:nvPicPr>
                        <pic:blipFill>
                          <a:blip r:embed="rId62"/>
                          <a:stretch>
                            <a:fillRect/>
                          </a:stretch>
                        </pic:blipFill>
                        <pic:spPr>
                          <a:xfrm rot="-5399999">
                            <a:off x="-1720849" y="1720850"/>
                            <a:ext cx="3797299" cy="355600"/>
                          </a:xfrm>
                          <a:prstGeom prst="rect">
                            <a:avLst/>
                          </a:prstGeom>
                        </pic:spPr>
                      </pic:pic>
                      <wps:wsp>
                        <wps:cNvPr id="57438" name="Rectangle 5743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439" name="Rectangle 5743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1703" style="width:41.2715pt;height:299pt;position:absolute;z-index:-2147483535;mso-position-horizontal-relative:text;mso-position-horizontal:absolute;margin-left:547.46pt;mso-position-vertical-relative:text;margin-top:-151.185pt;" coordsize="5241,37973">
                <v:shape id="Picture 57437" style="position:absolute;width:37972;height:3556;left:-17208;top:17208;rotation:-89;" filled="f">
                  <v:imagedata r:id="rId63"/>
                </v:shape>
                <v:rect id="Rectangle 5743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43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332 de 353 </w:t>
                        </w:r>
                      </w:p>
                    </w:txbxContent>
                  </v:textbox>
                </v:rect>
              </v:group>
            </w:pict>
          </mc:Fallback>
        </mc:AlternateContent>
      </w:r>
      <w:r>
        <w:rPr>
          <w:rFonts w:ascii="Arial" w:eastAsia="Arial" w:hAnsi="Arial" w:cs="Arial"/>
        </w:rPr>
        <w:t xml:space="preserve">Tal como se indica en los datos de partida, la ejecución de los </w:t>
      </w:r>
      <w:r>
        <w:rPr>
          <w:rFonts w:ascii="Arial" w:eastAsia="Arial" w:hAnsi="Arial" w:cs="Arial"/>
          <w:b/>
        </w:rPr>
        <w:t>rellenos</w:t>
      </w:r>
      <w:r>
        <w:rPr>
          <w:rFonts w:ascii="Arial" w:eastAsia="Arial" w:hAnsi="Arial" w:cs="Arial"/>
        </w:rPr>
        <w:t xml:space="preserve"> para establecer la explanada que conforma la </w:t>
      </w:r>
      <w:r>
        <w:rPr>
          <w:rFonts w:ascii="Arial" w:eastAsia="Arial" w:hAnsi="Arial" w:cs="Arial"/>
          <w:b/>
        </w:rPr>
        <w:t>calle Manuel Oliva Martín</w:t>
      </w:r>
      <w:r>
        <w:rPr>
          <w:rFonts w:ascii="Arial" w:eastAsia="Arial" w:hAnsi="Arial" w:cs="Arial"/>
        </w:rPr>
        <w:t xml:space="preserve"> </w:t>
      </w:r>
      <w:r>
        <w:rPr>
          <w:rFonts w:ascii="Arial" w:eastAsia="Arial" w:hAnsi="Arial" w:cs="Arial"/>
          <w:b/>
        </w:rPr>
        <w:t>no consta que dis</w:t>
      </w:r>
      <w:r>
        <w:rPr>
          <w:rFonts w:ascii="Arial" w:eastAsia="Arial" w:hAnsi="Arial" w:cs="Arial"/>
          <w:b/>
        </w:rPr>
        <w:t>pongan de Autorización por parte de la Dirección General de Costas</w:t>
      </w:r>
      <w:r>
        <w:rPr>
          <w:rFonts w:ascii="Arial" w:eastAsia="Arial" w:hAnsi="Arial" w:cs="Arial"/>
        </w:rPr>
        <w:t xml:space="preserve">, motivo por el cual, estos terrenos ganados al mar </w:t>
      </w:r>
      <w:r>
        <w:rPr>
          <w:rFonts w:ascii="Arial" w:eastAsia="Arial" w:hAnsi="Arial" w:cs="Arial"/>
          <w:b/>
        </w:rPr>
        <w:t>carecen de Título Concesional. En caso de disponer</w:t>
      </w:r>
      <w:r>
        <w:rPr>
          <w:rFonts w:ascii="Arial" w:eastAsia="Arial" w:hAnsi="Arial" w:cs="Arial"/>
        </w:rPr>
        <w:t xml:space="preserve"> del mismo, </w:t>
      </w:r>
      <w:r>
        <w:rPr>
          <w:rFonts w:ascii="Arial" w:eastAsia="Arial" w:hAnsi="Arial" w:cs="Arial"/>
          <w:b/>
        </w:rPr>
        <w:t>cumpliría con este requisito</w:t>
      </w:r>
      <w:r>
        <w:rPr>
          <w:rFonts w:ascii="Arial" w:eastAsia="Arial" w:hAnsi="Arial" w:cs="Arial"/>
        </w:rPr>
        <w:t xml:space="preserve"> para poder considerarse como </w:t>
      </w:r>
    </w:p>
    <w:p w:rsidR="00FF384B" w:rsidRDefault="003E3BA9">
      <w:pPr>
        <w:spacing w:after="5" w:line="247" w:lineRule="auto"/>
        <w:ind w:left="1570" w:right="244" w:hanging="10"/>
        <w:jc w:val="both"/>
      </w:pPr>
      <w:r>
        <w:rPr>
          <w:rFonts w:ascii="Arial" w:eastAsia="Arial" w:hAnsi="Arial" w:cs="Arial"/>
        </w:rPr>
        <w:t>Innecesario,</w:t>
      </w:r>
      <w:r>
        <w:rPr>
          <w:rFonts w:ascii="Arial" w:eastAsia="Arial" w:hAnsi="Arial" w:cs="Arial"/>
          <w:b/>
        </w:rPr>
        <w:t xml:space="preserve"> </w:t>
      </w:r>
      <w:r>
        <w:rPr>
          <w:rFonts w:ascii="Times New Roman" w:eastAsia="Times New Roman" w:hAnsi="Times New Roman" w:cs="Times New Roman"/>
          <w:sz w:val="24"/>
        </w:rPr>
        <w:t xml:space="preserve"> </w:t>
      </w:r>
    </w:p>
    <w:p w:rsidR="00FF384B" w:rsidRDefault="003E3BA9">
      <w:pPr>
        <w:numPr>
          <w:ilvl w:val="1"/>
          <w:numId w:val="338"/>
        </w:numPr>
        <w:spacing w:after="5" w:line="355" w:lineRule="auto"/>
        <w:ind w:left="1561" w:right="2" w:hanging="425"/>
        <w:jc w:val="both"/>
      </w:pPr>
      <w:r>
        <w:rPr>
          <w:rFonts w:ascii="Arial" w:eastAsia="Arial" w:hAnsi="Arial" w:cs="Arial"/>
          <w:b/>
        </w:rPr>
        <w:t>La reposición del acantilado a su estado original</w:t>
      </w:r>
      <w:r>
        <w:rPr>
          <w:rFonts w:ascii="Arial" w:eastAsia="Arial" w:hAnsi="Arial" w:cs="Arial"/>
        </w:rPr>
        <w:t xml:space="preserve"> mediante la retirada de los rellenos que dan soporte a las edificaciones y la vía, </w:t>
      </w:r>
      <w:r>
        <w:rPr>
          <w:rFonts w:ascii="Arial" w:eastAsia="Arial" w:hAnsi="Arial" w:cs="Arial"/>
          <w:b/>
        </w:rPr>
        <w:t>conllevará un coste económico importante</w:t>
      </w:r>
      <w:r>
        <w:rPr>
          <w:rFonts w:ascii="Arial" w:eastAsia="Arial" w:hAnsi="Arial" w:cs="Arial"/>
        </w:rPr>
        <w:t>. No obstante, el criterio económico no debería ser el principal elemento de decisi</w:t>
      </w:r>
      <w:r>
        <w:rPr>
          <w:rFonts w:ascii="Arial" w:eastAsia="Arial" w:hAnsi="Arial" w:cs="Arial"/>
        </w:rPr>
        <w:t>ón</w:t>
      </w:r>
      <w:r>
        <w:rPr>
          <w:rFonts w:ascii="Arial" w:eastAsia="Arial" w:hAnsi="Arial" w:cs="Arial"/>
          <w:b/>
        </w:rPr>
        <w:t xml:space="preserve"> debiendo ser la protección del medioambiente. Por tanto </w:t>
      </w:r>
      <w:r>
        <w:rPr>
          <w:rFonts w:ascii="Arial" w:eastAsia="Arial" w:hAnsi="Arial" w:cs="Arial"/>
        </w:rPr>
        <w:t xml:space="preserve">esta debería ser la solución </w:t>
      </w:r>
      <w:r>
        <w:rPr>
          <w:rFonts w:ascii="Arial" w:eastAsia="Arial" w:hAnsi="Arial" w:cs="Arial"/>
          <w:b/>
        </w:rPr>
        <w:t>a adoptar</w:t>
      </w:r>
      <w:r>
        <w:rPr>
          <w:rFonts w:ascii="Arial" w:eastAsia="Arial" w:hAnsi="Arial" w:cs="Arial"/>
        </w:rPr>
        <w:t xml:space="preserve">, </w:t>
      </w:r>
      <w:r>
        <w:rPr>
          <w:rFonts w:ascii="Arial" w:eastAsia="Arial" w:hAnsi="Arial" w:cs="Arial"/>
          <w:b/>
        </w:rPr>
        <w:t>en lugar</w:t>
      </w:r>
      <w:r>
        <w:rPr>
          <w:rFonts w:ascii="Arial" w:eastAsia="Arial" w:hAnsi="Arial" w:cs="Arial"/>
        </w:rPr>
        <w:t xml:space="preserve"> de </w:t>
      </w:r>
      <w:r>
        <w:rPr>
          <w:rFonts w:ascii="Arial" w:eastAsia="Arial" w:hAnsi="Arial" w:cs="Arial"/>
          <w:b/>
        </w:rPr>
        <w:t>intentar legalizar y consolidar construcciones preexistentes</w:t>
      </w:r>
      <w:r>
        <w:rPr>
          <w:rFonts w:ascii="Arial" w:eastAsia="Arial" w:hAnsi="Arial" w:cs="Arial"/>
        </w:rPr>
        <w:t xml:space="preserve">, ya que las mismas </w:t>
      </w:r>
      <w:r>
        <w:rPr>
          <w:rFonts w:ascii="Arial" w:eastAsia="Arial" w:hAnsi="Arial" w:cs="Arial"/>
          <w:b/>
        </w:rPr>
        <w:t xml:space="preserve">carecen </w:t>
      </w:r>
      <w:r>
        <w:rPr>
          <w:rFonts w:ascii="Arial" w:eastAsia="Arial" w:hAnsi="Arial" w:cs="Arial"/>
        </w:rPr>
        <w:t>(tal como se</w:t>
      </w:r>
      <w:r>
        <w:rPr>
          <w:rFonts w:ascii="Arial" w:eastAsia="Arial" w:hAnsi="Arial" w:cs="Arial"/>
          <w:b/>
        </w:rPr>
        <w:t xml:space="preserve"> </w:t>
      </w:r>
      <w:r>
        <w:rPr>
          <w:rFonts w:ascii="Arial" w:eastAsia="Arial" w:hAnsi="Arial" w:cs="Arial"/>
        </w:rPr>
        <w:t xml:space="preserve">indica en los datos de partida) tanto de </w:t>
      </w:r>
      <w:r>
        <w:rPr>
          <w:rFonts w:ascii="Arial" w:eastAsia="Arial" w:hAnsi="Arial" w:cs="Arial"/>
          <w:b/>
        </w:rPr>
        <w:t>Aut</w:t>
      </w:r>
      <w:r>
        <w:rPr>
          <w:rFonts w:ascii="Arial" w:eastAsia="Arial" w:hAnsi="Arial" w:cs="Arial"/>
          <w:b/>
        </w:rPr>
        <w:t>orización</w:t>
      </w:r>
      <w:r>
        <w:rPr>
          <w:rFonts w:ascii="Arial" w:eastAsia="Arial" w:hAnsi="Arial" w:cs="Arial"/>
        </w:rPr>
        <w:t xml:space="preserve"> (vía) como de </w:t>
      </w:r>
      <w:r>
        <w:rPr>
          <w:rFonts w:ascii="Arial" w:eastAsia="Arial" w:hAnsi="Arial" w:cs="Arial"/>
          <w:b/>
        </w:rPr>
        <w:t>títulos de propiedad</w:t>
      </w:r>
      <w:r>
        <w:rPr>
          <w:rFonts w:ascii="Arial" w:eastAsia="Arial" w:hAnsi="Arial" w:cs="Arial"/>
        </w:rPr>
        <w:t xml:space="preserve"> (viviendas).</w:t>
      </w:r>
      <w:r>
        <w:rPr>
          <w:rFonts w:ascii="Times New Roman" w:eastAsia="Times New Roman" w:hAnsi="Times New Roman" w:cs="Times New Roman"/>
          <w:sz w:val="24"/>
        </w:rPr>
        <w:t xml:space="preserve"> </w:t>
      </w:r>
    </w:p>
    <w:p w:rsidR="00FF384B" w:rsidRDefault="003E3BA9">
      <w:pPr>
        <w:spacing w:after="117"/>
        <w:ind w:left="1560"/>
      </w:pPr>
      <w:r>
        <w:rPr>
          <w:rFonts w:ascii="Arial" w:eastAsia="Arial" w:hAnsi="Arial" w:cs="Arial"/>
        </w:rPr>
        <w:t xml:space="preserve"> </w:t>
      </w:r>
    </w:p>
    <w:p w:rsidR="00FF384B" w:rsidRDefault="003E3BA9">
      <w:pPr>
        <w:spacing w:after="129" w:line="247" w:lineRule="auto"/>
        <w:ind w:left="437" w:right="244" w:hanging="10"/>
        <w:jc w:val="both"/>
      </w:pPr>
      <w:r>
        <w:rPr>
          <w:rFonts w:ascii="Arial" w:eastAsia="Arial" w:hAnsi="Arial" w:cs="Arial"/>
        </w:rPr>
        <w:t xml:space="preserve">En lo referente al </w:t>
      </w:r>
      <w:r>
        <w:rPr>
          <w:rFonts w:ascii="Arial" w:eastAsia="Arial" w:hAnsi="Arial" w:cs="Arial"/>
          <w:b/>
        </w:rPr>
        <w:t>tercer requisito</w:t>
      </w:r>
      <w:r>
        <w:rPr>
          <w:rFonts w:ascii="Arial" w:eastAsia="Arial" w:hAnsi="Arial" w:cs="Arial"/>
        </w:rPr>
        <w:t xml:space="preserve"> indicar:</w:t>
      </w:r>
      <w:r>
        <w:rPr>
          <w:rFonts w:ascii="Times New Roman" w:eastAsia="Times New Roman" w:hAnsi="Times New Roman" w:cs="Times New Roman"/>
          <w:sz w:val="24"/>
        </w:rPr>
        <w:t xml:space="preserve"> </w:t>
      </w:r>
    </w:p>
    <w:p w:rsidR="00FF384B" w:rsidRDefault="003E3BA9">
      <w:pPr>
        <w:numPr>
          <w:ilvl w:val="1"/>
          <w:numId w:val="338"/>
        </w:numPr>
        <w:spacing w:after="15" w:line="355" w:lineRule="auto"/>
        <w:ind w:left="1561" w:right="2" w:hanging="425"/>
        <w:jc w:val="both"/>
      </w:pPr>
      <w:r>
        <w:rPr>
          <w:rFonts w:ascii="Arial" w:eastAsia="Arial" w:hAnsi="Arial" w:cs="Arial"/>
        </w:rPr>
        <w:t xml:space="preserve">La Normas Subsidiarias, fueron </w:t>
      </w:r>
      <w:r>
        <w:rPr>
          <w:rFonts w:ascii="Arial" w:eastAsia="Arial" w:hAnsi="Arial" w:cs="Arial"/>
          <w:b/>
        </w:rPr>
        <w:t>aprobadas por el Ayuntamiento Pleno</w:t>
      </w:r>
      <w:r>
        <w:rPr>
          <w:rFonts w:ascii="Arial" w:eastAsia="Arial" w:hAnsi="Arial" w:cs="Arial"/>
        </w:rPr>
        <w:t xml:space="preserve"> en Sesión Ordinaria de </w:t>
      </w:r>
      <w:r>
        <w:rPr>
          <w:rFonts w:ascii="Arial" w:eastAsia="Arial" w:hAnsi="Arial" w:cs="Arial"/>
          <w:b/>
        </w:rPr>
        <w:t xml:space="preserve">fecha 30 de septiembre de 1.988. </w:t>
      </w:r>
      <w:r>
        <w:rPr>
          <w:rFonts w:ascii="Arial" w:eastAsia="Arial" w:hAnsi="Arial" w:cs="Arial"/>
        </w:rPr>
        <w:t>Por su parte la</w:t>
      </w:r>
      <w:r>
        <w:rPr>
          <w:rFonts w:ascii="Arial" w:eastAsia="Arial" w:hAnsi="Arial" w:cs="Arial"/>
          <w:b/>
        </w:rPr>
        <w:t xml:space="preserve"> Ley 22/198</w:t>
      </w:r>
      <w:r>
        <w:rPr>
          <w:rFonts w:ascii="Arial" w:eastAsia="Arial" w:hAnsi="Arial" w:cs="Arial"/>
          <w:b/>
        </w:rPr>
        <w:t xml:space="preserve">8 de 28 de julio, de Costas entró en vigor el 29 de julio de 1988, tras su publicación en el BOE» núm. 181, de 29/07/1988. </w:t>
      </w:r>
      <w:r>
        <w:rPr>
          <w:rFonts w:ascii="Arial" w:eastAsia="Arial" w:hAnsi="Arial" w:cs="Arial"/>
        </w:rPr>
        <w:t>Por tanto,</w:t>
      </w:r>
      <w:r>
        <w:rPr>
          <w:rFonts w:ascii="Arial" w:eastAsia="Arial" w:hAnsi="Arial" w:cs="Arial"/>
          <w:b/>
        </w:rPr>
        <w:t xml:space="preserve"> </w:t>
      </w:r>
      <w:r>
        <w:rPr>
          <w:rFonts w:ascii="Arial" w:eastAsia="Arial" w:hAnsi="Arial" w:cs="Arial"/>
        </w:rPr>
        <w:t xml:space="preserve">Las </w:t>
      </w:r>
      <w:r>
        <w:rPr>
          <w:rFonts w:ascii="Arial" w:eastAsia="Arial" w:hAnsi="Arial" w:cs="Arial"/>
          <w:b/>
        </w:rPr>
        <w:t>Normas Subsidiarias</w:t>
      </w:r>
      <w:r>
        <w:rPr>
          <w:rFonts w:ascii="Arial" w:eastAsia="Arial" w:hAnsi="Arial" w:cs="Arial"/>
        </w:rPr>
        <w:t xml:space="preserve"> (que clasificaban la </w:t>
      </w:r>
      <w:r>
        <w:rPr>
          <w:rFonts w:ascii="Arial" w:eastAsia="Arial" w:hAnsi="Arial" w:cs="Arial"/>
          <w:b/>
        </w:rPr>
        <w:t>calle Manuel Oliva Martín</w:t>
      </w:r>
      <w:r>
        <w:rPr>
          <w:rFonts w:ascii="Arial" w:eastAsia="Arial" w:hAnsi="Arial" w:cs="Arial"/>
        </w:rPr>
        <w:t xml:space="preserve"> y las </w:t>
      </w:r>
      <w:r>
        <w:rPr>
          <w:rFonts w:ascii="Arial" w:eastAsia="Arial" w:hAnsi="Arial" w:cs="Arial"/>
          <w:b/>
        </w:rPr>
        <w:t>viviendas</w:t>
      </w:r>
      <w:r>
        <w:rPr>
          <w:rFonts w:ascii="Arial" w:eastAsia="Arial" w:hAnsi="Arial" w:cs="Arial"/>
        </w:rPr>
        <w:t xml:space="preserve"> como </w:t>
      </w:r>
      <w:r>
        <w:rPr>
          <w:rFonts w:ascii="Arial" w:eastAsia="Arial" w:hAnsi="Arial" w:cs="Arial"/>
          <w:b/>
        </w:rPr>
        <w:t>urbanas) no estaban vigentes</w:t>
      </w:r>
      <w:r>
        <w:rPr>
          <w:rFonts w:ascii="Arial" w:eastAsia="Arial" w:hAnsi="Arial" w:cs="Arial"/>
        </w:rPr>
        <w:t xml:space="preserve"> a</w:t>
      </w:r>
      <w:r>
        <w:rPr>
          <w:rFonts w:ascii="Arial" w:eastAsia="Arial" w:hAnsi="Arial" w:cs="Arial"/>
        </w:rPr>
        <w:t xml:space="preserve"> la </w:t>
      </w:r>
      <w:r>
        <w:rPr>
          <w:rFonts w:ascii="Arial" w:eastAsia="Arial" w:hAnsi="Arial" w:cs="Arial"/>
          <w:b/>
        </w:rPr>
        <w:t xml:space="preserve">fecha de entrada en vigor de la Ley de Costas. </w:t>
      </w:r>
      <w:r>
        <w:rPr>
          <w:rFonts w:ascii="Times New Roman" w:eastAsia="Times New Roman" w:hAnsi="Times New Roman" w:cs="Times New Roman"/>
          <w:sz w:val="24"/>
        </w:rPr>
        <w:t xml:space="preserve"> </w:t>
      </w:r>
    </w:p>
    <w:p w:rsidR="00FF384B" w:rsidRDefault="003E3BA9">
      <w:pPr>
        <w:spacing w:after="15" w:line="339" w:lineRule="auto"/>
        <w:ind w:left="1563" w:hanging="3"/>
        <w:jc w:val="both"/>
      </w:pPr>
      <w:r>
        <w:rPr>
          <w:rFonts w:ascii="Arial" w:eastAsia="Arial" w:hAnsi="Arial" w:cs="Arial"/>
        </w:rPr>
        <w:t xml:space="preserve">De esta manera, </w:t>
      </w:r>
      <w:r>
        <w:rPr>
          <w:rFonts w:ascii="Arial" w:eastAsia="Arial" w:hAnsi="Arial" w:cs="Arial"/>
          <w:b/>
        </w:rPr>
        <w:t>no está acreditado en el Expediente,</w:t>
      </w:r>
      <w:r>
        <w:rPr>
          <w:rFonts w:ascii="Arial" w:eastAsia="Arial" w:hAnsi="Arial" w:cs="Arial"/>
        </w:rPr>
        <w:t xml:space="preserve"> la </w:t>
      </w:r>
      <w:r>
        <w:rPr>
          <w:rFonts w:ascii="Arial" w:eastAsia="Arial" w:hAnsi="Arial" w:cs="Arial"/>
          <w:b/>
        </w:rPr>
        <w:t>calificación de Suelo Urbano</w:t>
      </w:r>
      <w:r>
        <w:rPr>
          <w:rFonts w:ascii="Arial" w:eastAsia="Arial" w:hAnsi="Arial" w:cs="Arial"/>
        </w:rPr>
        <w:t xml:space="preserve"> en el </w:t>
      </w:r>
      <w:r>
        <w:rPr>
          <w:rFonts w:ascii="Arial" w:eastAsia="Arial" w:hAnsi="Arial" w:cs="Arial"/>
          <w:b/>
        </w:rPr>
        <w:t>Plan General de Candelaria</w:t>
      </w:r>
      <w:r>
        <w:rPr>
          <w:rFonts w:ascii="Arial" w:eastAsia="Arial" w:hAnsi="Arial" w:cs="Arial"/>
        </w:rPr>
        <w:t xml:space="preserve"> aprobado en el año 1967 </w:t>
      </w:r>
      <w:r>
        <w:rPr>
          <w:rFonts w:ascii="Arial" w:eastAsia="Arial" w:hAnsi="Arial" w:cs="Arial"/>
          <w:b/>
        </w:rPr>
        <w:t>vigente hasta la aprobación de las Normas Subsidiarias</w:t>
      </w:r>
      <w:r>
        <w:rPr>
          <w:rFonts w:ascii="Arial" w:eastAsia="Arial" w:hAnsi="Arial" w:cs="Arial"/>
        </w:rPr>
        <w:t>, el tramo de costa considerado.</w:t>
      </w:r>
      <w:r>
        <w:rPr>
          <w:rFonts w:ascii="Times New Roman" w:eastAsia="Times New Roman" w:hAnsi="Times New Roman" w:cs="Times New Roman"/>
          <w:sz w:val="24"/>
        </w:rPr>
        <w:t xml:space="preserve"> </w:t>
      </w:r>
    </w:p>
    <w:p w:rsidR="00FF384B" w:rsidRDefault="003E3BA9">
      <w:pPr>
        <w:spacing w:after="117"/>
        <w:ind w:left="1560"/>
      </w:pPr>
      <w:r>
        <w:rPr>
          <w:rFonts w:ascii="Arial" w:eastAsia="Arial" w:hAnsi="Arial" w:cs="Arial"/>
        </w:rPr>
        <w:t xml:space="preserve"> </w:t>
      </w:r>
    </w:p>
    <w:p w:rsidR="00FF384B" w:rsidRDefault="003E3BA9">
      <w:pPr>
        <w:spacing w:after="129" w:line="247" w:lineRule="auto"/>
        <w:ind w:left="415" w:hanging="3"/>
        <w:jc w:val="both"/>
      </w:pPr>
      <w:r>
        <w:rPr>
          <w:rFonts w:ascii="Arial" w:eastAsia="Arial" w:hAnsi="Arial" w:cs="Arial"/>
          <w:b/>
        </w:rPr>
        <w:t>Si cumple</w:t>
      </w:r>
      <w:r>
        <w:rPr>
          <w:rFonts w:ascii="Arial" w:eastAsia="Arial" w:hAnsi="Arial" w:cs="Arial"/>
        </w:rPr>
        <w:t xml:space="preserve"> sin embargo con </w:t>
      </w:r>
      <w:r>
        <w:rPr>
          <w:rFonts w:ascii="Arial" w:eastAsia="Arial" w:hAnsi="Arial" w:cs="Arial"/>
          <w:b/>
        </w:rPr>
        <w:t>el cuarto requisito</w:t>
      </w:r>
      <w:r>
        <w:rPr>
          <w:rFonts w:ascii="Arial" w:eastAsia="Arial" w:hAnsi="Arial" w:cs="Arial"/>
        </w:rPr>
        <w:t xml:space="preserve"> para poder </w:t>
      </w:r>
      <w:r>
        <w:rPr>
          <w:rFonts w:ascii="Arial" w:eastAsia="Arial" w:hAnsi="Arial" w:cs="Arial"/>
          <w:b/>
        </w:rPr>
        <w:t>considerar los terrenos como innecesarios</w:t>
      </w:r>
      <w:r>
        <w:rPr>
          <w:rFonts w:ascii="Arial" w:eastAsia="Arial" w:hAnsi="Arial" w:cs="Arial"/>
        </w:rPr>
        <w:t xml:space="preserve"> siendo:</w:t>
      </w:r>
      <w:r>
        <w:rPr>
          <w:rFonts w:ascii="Times New Roman" w:eastAsia="Times New Roman" w:hAnsi="Times New Roman" w:cs="Times New Roman"/>
          <w:sz w:val="24"/>
        </w:rPr>
        <w:t xml:space="preserve"> </w:t>
      </w:r>
    </w:p>
    <w:p w:rsidR="00FF384B" w:rsidRDefault="003E3BA9">
      <w:pPr>
        <w:numPr>
          <w:ilvl w:val="1"/>
          <w:numId w:val="338"/>
        </w:numPr>
        <w:spacing w:after="15" w:line="354" w:lineRule="auto"/>
        <w:ind w:left="1561" w:right="2" w:hanging="425"/>
        <w:jc w:val="both"/>
      </w:pPr>
      <w:r>
        <w:rPr>
          <w:noProof/>
        </w:rPr>
        <mc:AlternateContent>
          <mc:Choice Requires="wpg">
            <w:drawing>
              <wp:anchor distT="0" distB="0" distL="114300" distR="114300" simplePos="0" relativeHeight="251996160" behindDoc="1" locked="0" layoutInCell="1" allowOverlap="1">
                <wp:simplePos x="0" y="0"/>
                <wp:positionH relativeFrom="column">
                  <wp:posOffset>6952743</wp:posOffset>
                </wp:positionH>
                <wp:positionV relativeFrom="paragraph">
                  <wp:posOffset>-1421705</wp:posOffset>
                </wp:positionV>
                <wp:extent cx="524148" cy="3797300"/>
                <wp:effectExtent l="0" t="0" r="0" b="0"/>
                <wp:wrapNone/>
                <wp:docPr id="512084" name="Group 51208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603" name="Picture 57603"/>
                          <pic:cNvPicPr/>
                        </pic:nvPicPr>
                        <pic:blipFill>
                          <a:blip r:embed="rId62"/>
                          <a:stretch>
                            <a:fillRect/>
                          </a:stretch>
                        </pic:blipFill>
                        <pic:spPr>
                          <a:xfrm rot="-5399999">
                            <a:off x="-1720849" y="1720850"/>
                            <a:ext cx="3797299" cy="355600"/>
                          </a:xfrm>
                          <a:prstGeom prst="rect">
                            <a:avLst/>
                          </a:prstGeom>
                        </pic:spPr>
                      </pic:pic>
                      <wps:wsp>
                        <wps:cNvPr id="57604" name="Rectangle 5760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605" name="Rectangle 5760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084" style="width:41.2715pt;height:299pt;position:absolute;z-index:-2147483500;mso-position-horizontal-relative:text;mso-position-horizontal:absolute;margin-left:547.46pt;mso-position-vertical-relative:text;margin-top:-111.945pt;" coordsize="5241,37973">
                <v:shape id="Picture 57603" style="position:absolute;width:37972;height:3556;left:-17208;top:17208;rotation:-89;" filled="f">
                  <v:imagedata r:id="rId63"/>
                </v:shape>
                <v:rect id="Rectangle 5760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60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333 de 353 </w:t>
                        </w:r>
                      </w:p>
                    </w:txbxContent>
                  </v:textbox>
                </v:rect>
              </v:group>
            </w:pict>
          </mc:Fallback>
        </mc:AlternateContent>
      </w:r>
      <w:r>
        <w:rPr>
          <w:rFonts w:ascii="Arial" w:eastAsia="Arial" w:hAnsi="Arial" w:cs="Arial"/>
        </w:rPr>
        <w:t xml:space="preserve">El </w:t>
      </w:r>
      <w:r>
        <w:rPr>
          <w:rFonts w:ascii="Arial" w:eastAsia="Arial" w:hAnsi="Arial" w:cs="Arial"/>
          <w:b/>
        </w:rPr>
        <w:t>uso residencial existente</w:t>
      </w:r>
      <w:r>
        <w:rPr>
          <w:rFonts w:ascii="Arial" w:eastAsia="Arial" w:hAnsi="Arial" w:cs="Arial"/>
        </w:rPr>
        <w:t xml:space="preserve">, </w:t>
      </w:r>
      <w:r>
        <w:rPr>
          <w:rFonts w:ascii="Arial" w:eastAsia="Arial" w:hAnsi="Arial" w:cs="Arial"/>
          <w:b/>
        </w:rPr>
        <w:t>no tiene cabida dentro del DPMT</w:t>
      </w:r>
      <w:r>
        <w:rPr>
          <w:rFonts w:ascii="Arial" w:eastAsia="Arial" w:hAnsi="Arial" w:cs="Arial"/>
        </w:rPr>
        <w:t xml:space="preserve"> dentro de las condiciones establecidas por la Ley de Costas, ya que </w:t>
      </w:r>
      <w:r>
        <w:rPr>
          <w:rFonts w:ascii="Arial" w:eastAsia="Arial" w:hAnsi="Arial" w:cs="Arial"/>
          <w:b/>
        </w:rPr>
        <w:t xml:space="preserve">no requiere de dicha ubicación </w:t>
      </w:r>
      <w:r>
        <w:rPr>
          <w:rFonts w:ascii="Arial" w:eastAsia="Arial" w:hAnsi="Arial" w:cs="Arial"/>
          <w:b/>
        </w:rPr>
        <w:t>específica ni por la naturaleza de la actividad</w:t>
      </w:r>
      <w:r>
        <w:rPr>
          <w:rFonts w:ascii="Arial" w:eastAsia="Arial" w:hAnsi="Arial" w:cs="Arial"/>
        </w:rPr>
        <w:t xml:space="preserve"> (residencial) </w:t>
      </w:r>
      <w:r>
        <w:rPr>
          <w:rFonts w:ascii="Arial" w:eastAsia="Arial" w:hAnsi="Arial" w:cs="Arial"/>
          <w:b/>
        </w:rPr>
        <w:t>ni</w:t>
      </w:r>
      <w:r>
        <w:rPr>
          <w:rFonts w:ascii="Arial" w:eastAsia="Arial" w:hAnsi="Arial" w:cs="Arial"/>
        </w:rPr>
        <w:t xml:space="preserve"> por la </w:t>
      </w:r>
      <w:r>
        <w:rPr>
          <w:rFonts w:ascii="Arial" w:eastAsia="Arial" w:hAnsi="Arial" w:cs="Arial"/>
          <w:b/>
        </w:rPr>
        <w:t>configuración física del tramo de costa</w:t>
      </w:r>
      <w:r>
        <w:rPr>
          <w:rFonts w:ascii="Arial" w:eastAsia="Arial" w:hAnsi="Arial" w:cs="Arial"/>
        </w:rPr>
        <w:t xml:space="preserve"> (acantilado) en el que se encuentra.</w:t>
      </w:r>
      <w:r>
        <w:rPr>
          <w:rFonts w:ascii="Times New Roman" w:eastAsia="Times New Roman" w:hAnsi="Times New Roman" w:cs="Times New Roman"/>
          <w:sz w:val="24"/>
        </w:rPr>
        <w:t xml:space="preserve"> </w:t>
      </w:r>
    </w:p>
    <w:p w:rsidR="00FF384B" w:rsidRDefault="003E3BA9">
      <w:pPr>
        <w:spacing w:after="103"/>
        <w:ind w:left="427"/>
      </w:pPr>
      <w:r>
        <w:rPr>
          <w:rFonts w:ascii="Arial" w:eastAsia="Arial" w:hAnsi="Arial" w:cs="Arial"/>
        </w:rPr>
        <w:t xml:space="preserve"> </w:t>
      </w:r>
    </w:p>
    <w:p w:rsidR="00FF384B" w:rsidRDefault="003E3BA9">
      <w:pPr>
        <w:spacing w:after="5" w:line="342" w:lineRule="auto"/>
        <w:ind w:left="437" w:hanging="10"/>
        <w:jc w:val="both"/>
      </w:pPr>
      <w:r>
        <w:rPr>
          <w:rFonts w:ascii="Arial" w:eastAsia="Arial" w:hAnsi="Arial" w:cs="Arial"/>
        </w:rPr>
        <w:t xml:space="preserve">Por tanto, a la vista de todo lo anterior, </w:t>
      </w:r>
      <w:r>
        <w:rPr>
          <w:rFonts w:ascii="Arial" w:eastAsia="Arial" w:hAnsi="Arial" w:cs="Arial"/>
          <w:b/>
        </w:rPr>
        <w:t>el abajo firmante INFORMA NEGATIVAMENTE la posible Innecesari</w:t>
      </w:r>
      <w:r>
        <w:rPr>
          <w:rFonts w:ascii="Arial" w:eastAsia="Arial" w:hAnsi="Arial" w:cs="Arial"/>
          <w:b/>
        </w:rPr>
        <w:t>edad</w:t>
      </w:r>
      <w:r>
        <w:rPr>
          <w:rFonts w:ascii="Arial" w:eastAsia="Arial" w:hAnsi="Arial" w:cs="Arial"/>
        </w:rPr>
        <w:t xml:space="preserve"> de los terrenos para la Protección y utilización del DPMT entre los mojones M-233 y M-250 del deslinde con referencia DL-107-TF en el litoral de Candelaria.</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b/>
        </w:rPr>
        <w:t xml:space="preserve"> </w:t>
      </w:r>
    </w:p>
    <w:p w:rsidR="00FF384B" w:rsidRDefault="003E3BA9">
      <w:pPr>
        <w:spacing w:after="98"/>
        <w:ind w:left="3264"/>
      </w:pPr>
      <w:r>
        <w:rPr>
          <w:rFonts w:ascii="Arial" w:eastAsia="Arial" w:hAnsi="Arial" w:cs="Arial"/>
          <w:b/>
        </w:rPr>
        <w:t xml:space="preserve"> </w:t>
      </w:r>
    </w:p>
    <w:p w:rsidR="00FF384B" w:rsidRDefault="003E3BA9">
      <w:pPr>
        <w:spacing w:after="100"/>
        <w:ind w:left="3264"/>
      </w:pPr>
      <w:r>
        <w:rPr>
          <w:rFonts w:ascii="Arial" w:eastAsia="Arial" w:hAnsi="Arial" w:cs="Arial"/>
          <w:b/>
        </w:rPr>
        <w:t xml:space="preserve"> </w:t>
      </w:r>
    </w:p>
    <w:p w:rsidR="00FF384B" w:rsidRDefault="003E3BA9">
      <w:pPr>
        <w:spacing w:after="109" w:line="247" w:lineRule="auto"/>
        <w:ind w:left="3267" w:hanging="3"/>
        <w:jc w:val="both"/>
      </w:pPr>
      <w:r>
        <w:rPr>
          <w:rFonts w:ascii="Arial" w:eastAsia="Arial" w:hAnsi="Arial" w:cs="Arial"/>
          <w:b/>
        </w:rPr>
        <w:t xml:space="preserve">FUNDAMENTOS DE DERECHO </w:t>
      </w:r>
    </w:p>
    <w:p w:rsidR="00FF384B" w:rsidRDefault="003E3BA9">
      <w:pPr>
        <w:spacing w:after="100"/>
        <w:ind w:left="3264"/>
      </w:pPr>
      <w:r>
        <w:rPr>
          <w:rFonts w:ascii="Arial" w:eastAsia="Arial" w:hAnsi="Arial" w:cs="Arial"/>
          <w:b/>
        </w:rPr>
        <w:t xml:space="preserve"> </w:t>
      </w:r>
    </w:p>
    <w:p w:rsidR="00FF384B" w:rsidRDefault="003E3BA9">
      <w:pPr>
        <w:spacing w:after="109" w:line="247" w:lineRule="auto"/>
        <w:ind w:left="1139" w:hanging="3"/>
        <w:jc w:val="both"/>
      </w:pPr>
      <w:r>
        <w:rPr>
          <w:rFonts w:ascii="Arial" w:eastAsia="Arial" w:hAnsi="Arial" w:cs="Arial"/>
          <w:b/>
        </w:rPr>
        <w:t xml:space="preserve">Primero. - FORMAL. </w:t>
      </w:r>
    </w:p>
    <w:p w:rsidR="00FF384B" w:rsidRDefault="003E3BA9">
      <w:pPr>
        <w:spacing w:after="114" w:line="247" w:lineRule="auto"/>
        <w:ind w:left="412" w:firstLine="708"/>
        <w:jc w:val="both"/>
      </w:pPr>
      <w:r>
        <w:rPr>
          <w:rFonts w:ascii="Arial" w:eastAsia="Arial" w:hAnsi="Arial" w:cs="Arial"/>
          <w:b/>
        </w:rPr>
        <w:t>Procedimiento regulado en la Ley 29/1988,</w:t>
      </w:r>
      <w:r>
        <w:rPr>
          <w:rFonts w:ascii="Arial" w:eastAsia="Arial" w:hAnsi="Arial" w:cs="Arial"/>
          <w:b/>
        </w:rPr>
        <w:t xml:space="preserve"> de 28 de julio, de Costas y en el Reglamento General por el que se aprueba la Ley de Costas sobre la declaración de innecesariedad de los terrenos del dominio público marítimo-terrestre: </w:t>
      </w:r>
    </w:p>
    <w:p w:rsidR="00FF384B" w:rsidRDefault="003E3BA9">
      <w:pPr>
        <w:spacing w:after="109" w:line="247" w:lineRule="auto"/>
        <w:ind w:left="1139" w:hanging="3"/>
        <w:jc w:val="both"/>
      </w:pPr>
      <w:r>
        <w:rPr>
          <w:rFonts w:ascii="Arial" w:eastAsia="Arial" w:hAnsi="Arial" w:cs="Arial"/>
          <w:b/>
        </w:rPr>
        <w:t>Reglamento General de la Ley de Costas aprobado por Real Decreto 87</w:t>
      </w:r>
      <w:r>
        <w:rPr>
          <w:rFonts w:ascii="Arial" w:eastAsia="Arial" w:hAnsi="Arial" w:cs="Arial"/>
          <w:b/>
        </w:rPr>
        <w:t xml:space="preserve">6/2014, de 10 de octubre (RGLC): </w:t>
      </w:r>
    </w:p>
    <w:p w:rsidR="00FF384B" w:rsidRDefault="003E3BA9">
      <w:pPr>
        <w:spacing w:after="100"/>
        <w:ind w:left="1136"/>
      </w:pPr>
      <w:r>
        <w:rPr>
          <w:rFonts w:ascii="Arial" w:eastAsia="Arial" w:hAnsi="Arial" w:cs="Arial"/>
          <w:b/>
        </w:rPr>
        <w:t xml:space="preserve"> </w:t>
      </w:r>
    </w:p>
    <w:p w:rsidR="00FF384B" w:rsidRDefault="003E3BA9">
      <w:pPr>
        <w:spacing w:after="171" w:line="247" w:lineRule="auto"/>
        <w:ind w:left="1139" w:hanging="3"/>
        <w:jc w:val="both"/>
      </w:pPr>
      <w:r>
        <w:rPr>
          <w:rFonts w:ascii="Arial" w:eastAsia="Arial" w:hAnsi="Arial" w:cs="Arial"/>
          <w:b/>
        </w:rPr>
        <w:t xml:space="preserve">Artículo 37. Afectación de terrenos: </w:t>
      </w:r>
    </w:p>
    <w:p w:rsidR="00FF384B" w:rsidRDefault="003E3BA9">
      <w:pPr>
        <w:numPr>
          <w:ilvl w:val="0"/>
          <w:numId w:val="337"/>
        </w:numPr>
        <w:spacing w:after="188" w:line="247" w:lineRule="auto"/>
        <w:ind w:right="3" w:firstLine="360"/>
      </w:pPr>
      <w:r>
        <w:rPr>
          <w:noProof/>
        </w:rPr>
        <mc:AlternateContent>
          <mc:Choice Requires="wpg">
            <w:drawing>
              <wp:anchor distT="0" distB="0" distL="114300" distR="114300" simplePos="0" relativeHeight="251997184" behindDoc="1" locked="0" layoutInCell="1" allowOverlap="1">
                <wp:simplePos x="0" y="0"/>
                <wp:positionH relativeFrom="column">
                  <wp:posOffset>6952743</wp:posOffset>
                </wp:positionH>
                <wp:positionV relativeFrom="paragraph">
                  <wp:posOffset>-106410</wp:posOffset>
                </wp:positionV>
                <wp:extent cx="524148" cy="3797300"/>
                <wp:effectExtent l="0" t="0" r="0" b="0"/>
                <wp:wrapNone/>
                <wp:docPr id="512095" name="Group 51209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703" name="Picture 57703"/>
                          <pic:cNvPicPr/>
                        </pic:nvPicPr>
                        <pic:blipFill>
                          <a:blip r:embed="rId62"/>
                          <a:stretch>
                            <a:fillRect/>
                          </a:stretch>
                        </pic:blipFill>
                        <pic:spPr>
                          <a:xfrm rot="-5399999">
                            <a:off x="-1720849" y="1720850"/>
                            <a:ext cx="3797299" cy="355600"/>
                          </a:xfrm>
                          <a:prstGeom prst="rect">
                            <a:avLst/>
                          </a:prstGeom>
                        </pic:spPr>
                      </pic:pic>
                      <wps:wsp>
                        <wps:cNvPr id="57704" name="Rectangle 5770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705" name="Rectangle 5770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095" style="width:41.2715pt;height:299pt;position:absolute;z-index:-2147483576;mso-position-horizontal-relative:text;mso-position-horizontal:absolute;margin-left:547.46pt;mso-position-vertical-relative:text;margin-top:-8.37878pt;" coordsize="5241,37973">
                <v:shape id="Picture 57703" style="position:absolute;width:37972;height:3556;left:-17208;top:17208;rotation:-89;" filled="f">
                  <v:imagedata r:id="rId63"/>
                </v:shape>
                <v:rect id="Rectangle 5770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70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334 de 353 </w:t>
                        </w:r>
                      </w:p>
                    </w:txbxContent>
                  </v:textbox>
                </v:rect>
              </v:group>
            </w:pict>
          </mc:Fallback>
        </mc:AlternateContent>
      </w:r>
      <w:r>
        <w:rPr>
          <w:rFonts w:ascii="Arial" w:eastAsia="Arial" w:hAnsi="Arial" w:cs="Arial"/>
          <w:i/>
        </w:rPr>
        <w:t>Los terrenos del Patrimonio del Estado colindantes con el dominio público marítimo-terrestre o emplazados en su zona de influencia que resulten necesarios para l</w:t>
      </w:r>
      <w:r>
        <w:rPr>
          <w:rFonts w:ascii="Arial" w:eastAsia="Arial" w:hAnsi="Arial" w:cs="Arial"/>
          <w:i/>
        </w:rPr>
        <w:t>a protección o utilización de dicho dominio, serán afectados al uso propio del mismo, en la forma prevista en la legislación del Patrimonio del Estado. No se podrá proceder a su enajenación sin previa declaración de innecesariedad a los mencionados efectos</w:t>
      </w:r>
      <w:r>
        <w:rPr>
          <w:rFonts w:ascii="Arial" w:eastAsia="Arial" w:hAnsi="Arial" w:cs="Arial"/>
          <w:i/>
        </w:rPr>
        <w:t xml:space="preserve"> (artículo 17 de la Ley 22/1988, de 28 de julio). </w:t>
      </w:r>
    </w:p>
    <w:p w:rsidR="00FF384B" w:rsidRDefault="003E3BA9">
      <w:pPr>
        <w:numPr>
          <w:ilvl w:val="0"/>
          <w:numId w:val="337"/>
        </w:numPr>
        <w:spacing w:after="135"/>
        <w:ind w:right="3" w:firstLine="360"/>
      </w:pPr>
      <w:r>
        <w:rPr>
          <w:rFonts w:ascii="Arial" w:eastAsia="Arial" w:hAnsi="Arial" w:cs="Arial"/>
          <w:i/>
          <w:u w:val="single" w:color="000000"/>
        </w:rPr>
        <w:t>La declaración de innecesariedad se hará por el Ministerio de Agricultura, Alimentación y Medio Ambiente y deberá ser motivada.</w:t>
      </w:r>
      <w:r>
        <w:rPr>
          <w:rFonts w:ascii="Times New Roman" w:eastAsia="Times New Roman" w:hAnsi="Times New Roman" w:cs="Times New Roman"/>
          <w:sz w:val="24"/>
        </w:rPr>
        <w:t xml:space="preserve"> </w:t>
      </w:r>
    </w:p>
    <w:p w:rsidR="00FF384B" w:rsidRDefault="003E3BA9">
      <w:pPr>
        <w:spacing w:after="98"/>
        <w:ind w:left="427"/>
      </w:pPr>
      <w:r>
        <w:rPr>
          <w:rFonts w:ascii="Arial" w:eastAsia="Arial" w:hAnsi="Arial" w:cs="Arial"/>
          <w:b/>
        </w:rPr>
        <w:t xml:space="preserve"> </w:t>
      </w:r>
    </w:p>
    <w:p w:rsidR="00FF384B" w:rsidRDefault="003E3BA9">
      <w:pPr>
        <w:spacing w:after="173" w:line="247" w:lineRule="auto"/>
        <w:ind w:left="1139" w:hanging="3"/>
        <w:jc w:val="both"/>
      </w:pPr>
      <w:r>
        <w:rPr>
          <w:rFonts w:ascii="Arial" w:eastAsia="Arial" w:hAnsi="Arial" w:cs="Arial"/>
          <w:b/>
        </w:rPr>
        <w:t xml:space="preserve">Artículo 38. Desafectación de terrenos. </w:t>
      </w:r>
    </w:p>
    <w:p w:rsidR="00FF384B" w:rsidRDefault="003E3BA9">
      <w:pPr>
        <w:numPr>
          <w:ilvl w:val="0"/>
          <w:numId w:val="339"/>
        </w:numPr>
        <w:spacing w:after="154" w:line="247" w:lineRule="auto"/>
        <w:ind w:right="4" w:firstLine="360"/>
        <w:jc w:val="both"/>
      </w:pPr>
      <w:r>
        <w:rPr>
          <w:rFonts w:ascii="Arial" w:eastAsia="Arial" w:hAnsi="Arial" w:cs="Arial"/>
          <w:i/>
        </w:rPr>
        <w:t xml:space="preserve">Solo podrá procederse a la desafectación de terrenos en el supuesto del apartado 5 del artículo 4 de la Ley 22/1988, de 28 de julio, y concordantes de este reglamento, </w:t>
      </w:r>
      <w:r>
        <w:rPr>
          <w:rFonts w:ascii="Arial" w:eastAsia="Arial" w:hAnsi="Arial" w:cs="Arial"/>
          <w:i/>
          <w:u w:val="single" w:color="000000"/>
        </w:rPr>
        <w:t>previo informe preceptivo del Ayuntamiento y de la comunidad autónoma afectados y previa</w:t>
      </w:r>
      <w:r>
        <w:rPr>
          <w:rFonts w:ascii="Arial" w:eastAsia="Arial" w:hAnsi="Arial" w:cs="Arial"/>
          <w:i/>
          <w:u w:val="single" w:color="000000"/>
        </w:rPr>
        <w:t xml:space="preserve"> declaración de innecesariedad</w:t>
      </w:r>
      <w:r>
        <w:rPr>
          <w:rFonts w:ascii="Arial" w:eastAsia="Arial" w:hAnsi="Arial" w:cs="Arial"/>
          <w:i/>
        </w:rPr>
        <w:t xml:space="preserve"> </w:t>
      </w:r>
      <w:r>
        <w:rPr>
          <w:rFonts w:ascii="Arial" w:eastAsia="Arial" w:hAnsi="Arial" w:cs="Arial"/>
          <w:i/>
          <w:u w:val="single" w:color="000000"/>
        </w:rPr>
        <w:t>a los efectos previstos en el artículo anterior.</w:t>
      </w:r>
      <w:r>
        <w:rPr>
          <w:rFonts w:ascii="Times New Roman" w:eastAsia="Times New Roman" w:hAnsi="Times New Roman" w:cs="Times New Roman"/>
          <w:sz w:val="24"/>
        </w:rPr>
        <w:t xml:space="preserve"> </w:t>
      </w:r>
    </w:p>
    <w:p w:rsidR="00FF384B" w:rsidRDefault="003E3BA9">
      <w:pPr>
        <w:spacing w:after="175" w:line="247" w:lineRule="auto"/>
        <w:ind w:left="427" w:firstLine="360"/>
        <w:jc w:val="both"/>
      </w:pPr>
      <w:r>
        <w:rPr>
          <w:rFonts w:ascii="Arial" w:eastAsia="Arial" w:hAnsi="Arial" w:cs="Arial"/>
          <w:i/>
        </w:rPr>
        <w:t xml:space="preserve">La desafectación de bienes de dominio público marítimo-terrestre que tengan la consideración de dominio público portuario estatal se regirá por lo dispuesto en su legislación </w:t>
      </w:r>
      <w:r>
        <w:rPr>
          <w:rFonts w:ascii="Arial" w:eastAsia="Arial" w:hAnsi="Arial" w:cs="Arial"/>
          <w:i/>
        </w:rPr>
        <w:t xml:space="preserve">específica. </w:t>
      </w:r>
    </w:p>
    <w:p w:rsidR="00FF384B" w:rsidRDefault="003E3BA9">
      <w:pPr>
        <w:numPr>
          <w:ilvl w:val="0"/>
          <w:numId w:val="339"/>
        </w:numPr>
        <w:spacing w:after="170" w:line="247" w:lineRule="auto"/>
        <w:ind w:right="4" w:firstLine="360"/>
        <w:jc w:val="both"/>
      </w:pPr>
      <w:r>
        <w:rPr>
          <w:rFonts w:ascii="Arial" w:eastAsia="Arial" w:hAnsi="Arial" w:cs="Arial"/>
          <w:i/>
        </w:rPr>
        <w:t>La declaración de innecesariedad para la protección o utilización del dominio público marítimo-terrestre tendrá carácter excepcional y sólo procederá en aquellos supuestos en que resulte inviable la recuperación de los terrenos o la utilizació</w:t>
      </w:r>
      <w:r>
        <w:rPr>
          <w:rFonts w:ascii="Arial" w:eastAsia="Arial" w:hAnsi="Arial" w:cs="Arial"/>
          <w:i/>
        </w:rPr>
        <w:t>n de los mismos para usos relacionados con la protección y utilización del dominio público marítimo-terrestre. Una vez declarada la innecesariedad de los terrenos podrá solicitarse su desafectación al Ministerio de Hacienda y Administraciones Públicas en l</w:t>
      </w:r>
      <w:r>
        <w:rPr>
          <w:rFonts w:ascii="Arial" w:eastAsia="Arial" w:hAnsi="Arial" w:cs="Arial"/>
          <w:i/>
        </w:rPr>
        <w:t xml:space="preserve">os términos de la Ley 33/2003, de 3 de noviembre, de Patrimonio de las Administraciones Públicas. </w:t>
      </w:r>
    </w:p>
    <w:p w:rsidR="00FF384B" w:rsidRDefault="003E3BA9">
      <w:pPr>
        <w:spacing w:after="171" w:line="247" w:lineRule="auto"/>
        <w:ind w:left="427" w:firstLine="360"/>
        <w:jc w:val="both"/>
      </w:pPr>
      <w:r>
        <w:rPr>
          <w:rFonts w:ascii="Arial" w:eastAsia="Arial" w:hAnsi="Arial" w:cs="Arial"/>
          <w:i/>
        </w:rPr>
        <w:t>La declaración de innecesariedad de bienes de dominio público marítimo-</w:t>
      </w:r>
      <w:r>
        <w:rPr>
          <w:rFonts w:ascii="Arial" w:eastAsia="Arial" w:hAnsi="Arial" w:cs="Arial"/>
          <w:i/>
        </w:rPr>
        <w:t xml:space="preserve">terrestre requerirá informe del Ministerio de Defensa en relación con los intereses públicos tutelados por dicho Ministerio. </w:t>
      </w:r>
    </w:p>
    <w:p w:rsidR="00FF384B" w:rsidRDefault="003E3BA9">
      <w:pPr>
        <w:numPr>
          <w:ilvl w:val="0"/>
          <w:numId w:val="339"/>
        </w:numPr>
        <w:spacing w:after="175" w:line="247" w:lineRule="auto"/>
        <w:ind w:right="4" w:firstLine="360"/>
        <w:jc w:val="both"/>
      </w:pPr>
      <w:r>
        <w:rPr>
          <w:rFonts w:ascii="Arial" w:eastAsia="Arial" w:hAnsi="Arial" w:cs="Arial"/>
          <w:i/>
        </w:rPr>
        <w:t>La desafectación deberá ser expresa y antes de proceder a ella habrán de practicarse los correspondientes deslindes y cumplirse la</w:t>
      </w:r>
      <w:r>
        <w:rPr>
          <w:rFonts w:ascii="Arial" w:eastAsia="Arial" w:hAnsi="Arial" w:cs="Arial"/>
          <w:i/>
        </w:rPr>
        <w:t xml:space="preserve">s restantes condiciones exigidas por la Ley 33/2003, de 3 de noviembre. </w:t>
      </w:r>
    </w:p>
    <w:p w:rsidR="00FF384B" w:rsidRDefault="003E3BA9">
      <w:pPr>
        <w:numPr>
          <w:ilvl w:val="0"/>
          <w:numId w:val="339"/>
        </w:numPr>
        <w:spacing w:after="166" w:line="247" w:lineRule="auto"/>
        <w:ind w:right="4" w:firstLine="360"/>
        <w:jc w:val="both"/>
      </w:pPr>
      <w:r>
        <w:rPr>
          <w:rFonts w:ascii="Arial" w:eastAsia="Arial" w:hAnsi="Arial" w:cs="Arial"/>
          <w:i/>
        </w:rPr>
        <w:t xml:space="preserve">La desafectación se tramitará de acuerdo con lo dispuesto en la legislación patrimonial. </w:t>
      </w:r>
    </w:p>
    <w:p w:rsidR="00FF384B" w:rsidRDefault="003E3BA9">
      <w:pPr>
        <w:spacing w:after="111" w:line="247" w:lineRule="auto"/>
        <w:ind w:left="412" w:firstLine="360"/>
        <w:jc w:val="both"/>
      </w:pPr>
      <w:r>
        <w:rPr>
          <w:rFonts w:ascii="Arial" w:eastAsia="Arial" w:hAnsi="Arial" w:cs="Arial"/>
          <w:b/>
        </w:rPr>
        <w:t>Por tanto, para desafectar del dominio público un bien inmueble para que se convierta en bien</w:t>
      </w:r>
      <w:r>
        <w:rPr>
          <w:rFonts w:ascii="Arial" w:eastAsia="Arial" w:hAnsi="Arial" w:cs="Arial"/>
          <w:b/>
        </w:rPr>
        <w:t xml:space="preserve"> patrimonial pero que, en todo caso, seguirá siendo del titular previo del dominio, o sea del Estado, hacen falta los siguientes trámites: </w:t>
      </w:r>
    </w:p>
    <w:p w:rsidR="00FF384B" w:rsidRDefault="003E3BA9">
      <w:pPr>
        <w:spacing w:after="98"/>
        <w:ind w:left="788"/>
      </w:pPr>
      <w:r>
        <w:rPr>
          <w:rFonts w:ascii="Arial" w:eastAsia="Arial" w:hAnsi="Arial" w:cs="Arial"/>
          <w:b/>
        </w:rPr>
        <w:t xml:space="preserve"> </w:t>
      </w:r>
    </w:p>
    <w:p w:rsidR="00FF384B" w:rsidRDefault="003E3BA9">
      <w:pPr>
        <w:spacing w:after="112" w:line="249" w:lineRule="auto"/>
        <w:ind w:left="798" w:hanging="10"/>
        <w:jc w:val="both"/>
      </w:pPr>
      <w:r>
        <w:rPr>
          <w:rFonts w:ascii="Arial" w:eastAsia="Arial" w:hAnsi="Arial" w:cs="Arial"/>
          <w:b/>
          <w:u w:val="single" w:color="000000"/>
        </w:rPr>
        <w:t>1.- Expediente de declaración de innecesariedad que tiene los siguientes trámites:</w:t>
      </w:r>
      <w:r>
        <w:rPr>
          <w:rFonts w:ascii="Arial" w:eastAsia="Arial" w:hAnsi="Arial" w:cs="Arial"/>
          <w:b/>
        </w:rPr>
        <w:t xml:space="preserve"> </w:t>
      </w:r>
    </w:p>
    <w:p w:rsidR="00FF384B" w:rsidRDefault="003E3BA9">
      <w:pPr>
        <w:spacing w:after="115" w:line="247" w:lineRule="auto"/>
        <w:ind w:left="427" w:firstLine="360"/>
        <w:jc w:val="both"/>
      </w:pPr>
      <w:r>
        <w:rPr>
          <w:noProof/>
        </w:rPr>
        <mc:AlternateContent>
          <mc:Choice Requires="wpg">
            <w:drawing>
              <wp:anchor distT="0" distB="0" distL="114300" distR="114300" simplePos="0" relativeHeight="251998208" behindDoc="1" locked="0" layoutInCell="1" allowOverlap="1">
                <wp:simplePos x="0" y="0"/>
                <wp:positionH relativeFrom="column">
                  <wp:posOffset>6952743</wp:posOffset>
                </wp:positionH>
                <wp:positionV relativeFrom="paragraph">
                  <wp:posOffset>-389874</wp:posOffset>
                </wp:positionV>
                <wp:extent cx="524148" cy="3797300"/>
                <wp:effectExtent l="0" t="0" r="0" b="0"/>
                <wp:wrapNone/>
                <wp:docPr id="512500" name="Group 51250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800" name="Picture 57800"/>
                          <pic:cNvPicPr/>
                        </pic:nvPicPr>
                        <pic:blipFill>
                          <a:blip r:embed="rId62"/>
                          <a:stretch>
                            <a:fillRect/>
                          </a:stretch>
                        </pic:blipFill>
                        <pic:spPr>
                          <a:xfrm rot="-5399999">
                            <a:off x="-1720849" y="1720850"/>
                            <a:ext cx="3797299" cy="355600"/>
                          </a:xfrm>
                          <a:prstGeom prst="rect">
                            <a:avLst/>
                          </a:prstGeom>
                        </pic:spPr>
                      </pic:pic>
                      <wps:wsp>
                        <wps:cNvPr id="57801" name="Rectangle 5780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Validación: 9792ADAG9Q</w:t>
                              </w:r>
                              <w:r>
                                <w:rPr>
                                  <w:rFonts w:ascii="Arial" w:eastAsia="Arial" w:hAnsi="Arial" w:cs="Arial"/>
                                  <w:sz w:val="12"/>
                                </w:rPr>
                                <w:t xml:space="preserve">WZ53RMHD5RCHL7K | Verificación: https://candelaria.sedelectronica.es/ </w:t>
                              </w:r>
                            </w:p>
                          </w:txbxContent>
                        </wps:txbx>
                        <wps:bodyPr horzOverflow="overflow" vert="horz" lIns="0" tIns="0" rIns="0" bIns="0" rtlCol="0">
                          <a:noAutofit/>
                        </wps:bodyPr>
                      </wps:wsp>
                      <wps:wsp>
                        <wps:cNvPr id="57802" name="Rectangle 5780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500" style="width:41.2715pt;height:299pt;position:absolute;z-index:-2147483564;mso-position-horizontal-relative:text;mso-position-horizontal:absolute;margin-left:547.46pt;mso-position-vertical-relative:text;margin-top:-30.6988pt;" coordsize="5241,37973">
                <v:shape id="Picture 57800" style="position:absolute;width:37972;height:3556;left:-17208;top:17208;rotation:-89;" filled="f">
                  <v:imagedata r:id="rId63"/>
                </v:shape>
                <v:rect id="Rectangle 5780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80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335 de 353 </w:t>
                        </w:r>
                      </w:p>
                    </w:txbxContent>
                  </v:textbox>
                </v:rect>
              </v:group>
            </w:pict>
          </mc:Fallback>
        </mc:AlternateContent>
      </w:r>
      <w:r>
        <w:rPr>
          <w:rFonts w:ascii="Arial" w:eastAsia="Arial" w:hAnsi="Arial" w:cs="Arial"/>
        </w:rPr>
        <w:t>1.- Incoación por el titular del bien, o sea, en el caso del dominio público marítimo-te</w:t>
      </w:r>
      <w:r>
        <w:rPr>
          <w:rFonts w:ascii="Arial" w:eastAsia="Arial" w:hAnsi="Arial" w:cs="Arial"/>
        </w:rPr>
        <w:t xml:space="preserve">rrestre (DPMT) del Estado y emisión de los informes internos que correspondan. </w:t>
      </w:r>
    </w:p>
    <w:p w:rsidR="00FF384B" w:rsidRDefault="003E3BA9">
      <w:pPr>
        <w:spacing w:after="109" w:line="247" w:lineRule="auto"/>
        <w:ind w:left="798" w:hanging="10"/>
        <w:jc w:val="both"/>
      </w:pPr>
      <w:r>
        <w:rPr>
          <w:rFonts w:ascii="Arial" w:eastAsia="Arial" w:hAnsi="Arial" w:cs="Arial"/>
        </w:rPr>
        <w:t xml:space="preserve">2.- Solicitud de informes al municipio donde esté radicado el término municipal objeto del expediente y a la Comunidad Autónoma correspondiente. </w:t>
      </w:r>
    </w:p>
    <w:p w:rsidR="00FF384B" w:rsidRDefault="003E3BA9">
      <w:pPr>
        <w:spacing w:after="114" w:line="247" w:lineRule="auto"/>
        <w:ind w:left="427" w:firstLine="360"/>
        <w:jc w:val="both"/>
      </w:pPr>
      <w:r>
        <w:rPr>
          <w:rFonts w:ascii="Arial" w:eastAsia="Arial" w:hAnsi="Arial" w:cs="Arial"/>
        </w:rPr>
        <w:t xml:space="preserve">Este informe del Ayuntamiento debe estar incardinado dentro de un expediente que incoe y tramite el Estado y no en un informe que el Ayuntamiento remita como si el Ayuntamiento fuera el incoador o tramitador del expediente de declaración de innecesariedad </w:t>
      </w:r>
    </w:p>
    <w:p w:rsidR="00FF384B" w:rsidRDefault="003E3BA9">
      <w:pPr>
        <w:spacing w:after="109" w:line="247" w:lineRule="auto"/>
        <w:ind w:left="798" w:right="244" w:hanging="10"/>
        <w:jc w:val="both"/>
      </w:pPr>
      <w:r>
        <w:rPr>
          <w:rFonts w:ascii="Arial" w:eastAsia="Arial" w:hAnsi="Arial" w:cs="Arial"/>
        </w:rPr>
        <w:t xml:space="preserve">3.- Declaración de innecesariedad del dominio público marítimo-terrestre. </w:t>
      </w:r>
    </w:p>
    <w:p w:rsidR="00FF384B" w:rsidRDefault="003E3BA9">
      <w:pPr>
        <w:spacing w:after="98"/>
        <w:ind w:left="788"/>
      </w:pPr>
      <w:r>
        <w:rPr>
          <w:rFonts w:ascii="Arial" w:eastAsia="Arial" w:hAnsi="Arial" w:cs="Arial"/>
        </w:rPr>
        <w:t xml:space="preserve"> </w:t>
      </w:r>
    </w:p>
    <w:p w:rsidR="00FF384B" w:rsidRDefault="003E3BA9">
      <w:pPr>
        <w:spacing w:after="353" w:line="249" w:lineRule="auto"/>
        <w:ind w:left="427" w:firstLine="360"/>
        <w:jc w:val="both"/>
      </w:pPr>
      <w:r>
        <w:rPr>
          <w:rFonts w:ascii="Arial" w:eastAsia="Arial" w:hAnsi="Arial" w:cs="Arial"/>
          <w:b/>
          <w:u w:val="single" w:color="000000"/>
        </w:rPr>
        <w:t>2.- Expediente de desafectación del bien inmueble: se regula para todos los bienes demaniales del Estado en el artículo 70 de la Ley</w:t>
      </w:r>
      <w:r>
        <w:rPr>
          <w:rFonts w:ascii="Arial" w:eastAsia="Arial" w:hAnsi="Arial" w:cs="Arial"/>
          <w:b/>
        </w:rPr>
        <w:t xml:space="preserve"> </w:t>
      </w:r>
      <w:r>
        <w:rPr>
          <w:rFonts w:ascii="Arial" w:eastAsia="Arial" w:hAnsi="Arial" w:cs="Arial"/>
          <w:b/>
          <w:u w:val="single" w:color="000000"/>
        </w:rPr>
        <w:t xml:space="preserve">33/2003, de 3 de noviembre, de Patrimonio de </w:t>
      </w:r>
      <w:r>
        <w:rPr>
          <w:rFonts w:ascii="Arial" w:eastAsia="Arial" w:hAnsi="Arial" w:cs="Arial"/>
          <w:b/>
          <w:u w:val="single" w:color="000000"/>
        </w:rPr>
        <w:t>las Administraciones Públicas.</w:t>
      </w:r>
      <w:r>
        <w:rPr>
          <w:rFonts w:ascii="Arial" w:eastAsia="Arial" w:hAnsi="Arial" w:cs="Arial"/>
          <w:b/>
        </w:rPr>
        <w:t xml:space="preserve"> </w:t>
      </w:r>
    </w:p>
    <w:p w:rsidR="00FF384B" w:rsidRDefault="003E3BA9">
      <w:pPr>
        <w:spacing w:after="171" w:line="247" w:lineRule="auto"/>
        <w:ind w:left="437" w:right="244" w:hanging="10"/>
        <w:jc w:val="both"/>
      </w:pPr>
      <w:r>
        <w:rPr>
          <w:rFonts w:ascii="Arial" w:eastAsia="Arial" w:hAnsi="Arial" w:cs="Arial"/>
        </w:rPr>
        <w:t xml:space="preserve">Artículo 70. Procedimiento para la desafectación de los bienes y derechos demaniales. </w:t>
      </w:r>
    </w:p>
    <w:p w:rsidR="00FF384B" w:rsidRDefault="003E3BA9">
      <w:pPr>
        <w:numPr>
          <w:ilvl w:val="0"/>
          <w:numId w:val="340"/>
        </w:numPr>
        <w:spacing w:after="4" w:line="247" w:lineRule="auto"/>
        <w:ind w:firstLine="360"/>
        <w:jc w:val="both"/>
      </w:pPr>
      <w:r>
        <w:rPr>
          <w:rFonts w:ascii="Arial" w:eastAsia="Arial" w:hAnsi="Arial" w:cs="Arial"/>
          <w:i/>
        </w:rPr>
        <w:t xml:space="preserve">Los bienes y derechos afectados a fines o servicios de los departamentos ministeriales serán desafectados por el Ministro de Hacienda. </w:t>
      </w:r>
    </w:p>
    <w:p w:rsidR="00FF384B" w:rsidRDefault="003E3BA9">
      <w:pPr>
        <w:spacing w:after="154" w:line="247" w:lineRule="auto"/>
        <w:ind w:left="427" w:right="8" w:firstLine="360"/>
        <w:jc w:val="both"/>
      </w:pPr>
      <w:r>
        <w:rPr>
          <w:rFonts w:ascii="Arial" w:eastAsia="Arial" w:hAnsi="Arial" w:cs="Arial"/>
          <w:i/>
          <w:u w:val="single" w:color="000000"/>
        </w:rPr>
        <w:t>L</w:t>
      </w:r>
      <w:r>
        <w:rPr>
          <w:rFonts w:ascii="Arial" w:eastAsia="Arial" w:hAnsi="Arial" w:cs="Arial"/>
          <w:i/>
          <w:u w:val="single" w:color="000000"/>
        </w:rPr>
        <w:t>a incoación e instrucción del procedimiento compete a la Dirección General del Patrimonio del Estado</w:t>
      </w:r>
      <w:r>
        <w:rPr>
          <w:rFonts w:ascii="Arial" w:eastAsia="Arial" w:hAnsi="Arial" w:cs="Arial"/>
          <w:i/>
        </w:rPr>
        <w:t>, a iniciativa propia o a propuesta del departamento que tuviera afectados los bienes o derechos o al que correspondiese su gestión y administración, previa depuración de su situación física y jurídica.</w:t>
      </w:r>
      <w:r>
        <w:rPr>
          <w:rFonts w:ascii="Times New Roman" w:eastAsia="Times New Roman" w:hAnsi="Times New Roman" w:cs="Times New Roman"/>
          <w:sz w:val="24"/>
        </w:rPr>
        <w:t xml:space="preserve"> </w:t>
      </w:r>
    </w:p>
    <w:p w:rsidR="00FF384B" w:rsidRDefault="003E3BA9">
      <w:pPr>
        <w:numPr>
          <w:ilvl w:val="0"/>
          <w:numId w:val="340"/>
        </w:numPr>
        <w:spacing w:after="175" w:line="246" w:lineRule="auto"/>
        <w:ind w:firstLine="360"/>
        <w:jc w:val="both"/>
      </w:pPr>
      <w:r>
        <w:rPr>
          <w:rFonts w:ascii="Arial" w:eastAsia="Arial" w:hAnsi="Arial" w:cs="Arial"/>
          <w:i/>
        </w:rPr>
        <w:t>La desafectación de los bienes y derechos integrados</w:t>
      </w:r>
      <w:r>
        <w:rPr>
          <w:rFonts w:ascii="Arial" w:eastAsia="Arial" w:hAnsi="Arial" w:cs="Arial"/>
          <w:i/>
        </w:rPr>
        <w:t xml:space="preserve"> en el patrimonio de la Administración General del Estado requerirá, para su efectividad, de su recepción formal por el Ministerio de Hacienda, bien mediante acta de entrega suscrita por un representante designado por el departamento al que hubiesen estado</w:t>
      </w:r>
      <w:r>
        <w:rPr>
          <w:rFonts w:ascii="Arial" w:eastAsia="Arial" w:hAnsi="Arial" w:cs="Arial"/>
          <w:i/>
        </w:rPr>
        <w:t xml:space="preserve"> afectados los bienes o derechos y otro designado por la Dirección General del Patrimonio del Estado, o bien mediante acta de toma de posesión levantada por la Dirección General del Patrimonio del Estado. </w:t>
      </w:r>
    </w:p>
    <w:p w:rsidR="00FF384B" w:rsidRDefault="003E3BA9">
      <w:pPr>
        <w:numPr>
          <w:ilvl w:val="0"/>
          <w:numId w:val="340"/>
        </w:numPr>
        <w:spacing w:after="174" w:line="247" w:lineRule="auto"/>
        <w:ind w:firstLine="360"/>
        <w:jc w:val="both"/>
      </w:pPr>
      <w:r>
        <w:rPr>
          <w:rFonts w:ascii="Arial" w:eastAsia="Arial" w:hAnsi="Arial" w:cs="Arial"/>
          <w:i/>
        </w:rPr>
        <w:t xml:space="preserve">Los bienes y derechos demaniales de titularidad de los organismos públicos que éstos tengan afectados para el cumplimiento de sus fines serán desafectados por el Ministro titular del departamento del que dependan, a propuesta de su Presidente o Director. </w:t>
      </w:r>
    </w:p>
    <w:p w:rsidR="00FF384B" w:rsidRDefault="003E3BA9">
      <w:pPr>
        <w:numPr>
          <w:ilvl w:val="0"/>
          <w:numId w:val="340"/>
        </w:numPr>
        <w:spacing w:after="172" w:line="247" w:lineRule="auto"/>
        <w:ind w:firstLine="360"/>
        <w:jc w:val="both"/>
      </w:pPr>
      <w:r>
        <w:rPr>
          <w:rFonts w:ascii="Arial" w:eastAsia="Arial" w:hAnsi="Arial" w:cs="Arial"/>
          <w:i/>
        </w:rPr>
        <w:t xml:space="preserve">La desafectación de los bienes muebles adquiridos por los departamentos ministeriales, o que tuvieran afectados, será competencia del titular del departamento. </w:t>
      </w:r>
    </w:p>
    <w:p w:rsidR="00FF384B" w:rsidRDefault="003E3BA9">
      <w:pPr>
        <w:spacing w:after="98"/>
        <w:ind w:left="427"/>
      </w:pPr>
      <w:r>
        <w:rPr>
          <w:rFonts w:ascii="Arial" w:eastAsia="Arial" w:hAnsi="Arial" w:cs="Arial"/>
          <w:b/>
          <w:i/>
        </w:rPr>
        <w:t xml:space="preserve"> </w:t>
      </w:r>
    </w:p>
    <w:p w:rsidR="00FF384B" w:rsidRDefault="003E3BA9">
      <w:pPr>
        <w:spacing w:after="111" w:line="247" w:lineRule="auto"/>
        <w:ind w:left="791" w:hanging="3"/>
        <w:jc w:val="both"/>
      </w:pPr>
      <w:r>
        <w:rPr>
          <w:rFonts w:ascii="Arial" w:eastAsia="Arial" w:hAnsi="Arial" w:cs="Arial"/>
          <w:b/>
        </w:rPr>
        <w:t>3.- Procedimiento de deslinde de los bienes de dominio público marítimo- terrestre con el res</w:t>
      </w:r>
      <w:r>
        <w:rPr>
          <w:rFonts w:ascii="Arial" w:eastAsia="Arial" w:hAnsi="Arial" w:cs="Arial"/>
          <w:b/>
        </w:rPr>
        <w:t xml:space="preserve">to de los bienes. </w:t>
      </w:r>
    </w:p>
    <w:p w:rsidR="00FF384B" w:rsidRDefault="003E3BA9">
      <w:pPr>
        <w:spacing w:after="100"/>
        <w:ind w:left="788"/>
      </w:pPr>
      <w:r>
        <w:rPr>
          <w:rFonts w:ascii="Arial" w:eastAsia="Arial" w:hAnsi="Arial" w:cs="Arial"/>
          <w:i/>
        </w:rPr>
        <w:t xml:space="preserve"> </w:t>
      </w:r>
    </w:p>
    <w:p w:rsidR="00FF384B" w:rsidRDefault="003E3BA9">
      <w:pPr>
        <w:spacing w:after="170" w:line="247" w:lineRule="auto"/>
        <w:ind w:left="798" w:right="244" w:hanging="10"/>
        <w:jc w:val="both"/>
      </w:pPr>
      <w:r>
        <w:rPr>
          <w:rFonts w:ascii="Arial" w:eastAsia="Arial" w:hAnsi="Arial" w:cs="Arial"/>
          <w:i/>
        </w:rPr>
        <w:t>Artículo 12 de la Ley de Costas.</w:t>
      </w:r>
      <w:r>
        <w:rPr>
          <w:rFonts w:ascii="Arial" w:eastAsia="Arial" w:hAnsi="Arial" w:cs="Arial"/>
        </w:rPr>
        <w:t xml:space="preserve"> </w:t>
      </w:r>
    </w:p>
    <w:p w:rsidR="00FF384B" w:rsidRDefault="003E3BA9">
      <w:pPr>
        <w:numPr>
          <w:ilvl w:val="0"/>
          <w:numId w:val="341"/>
        </w:numPr>
        <w:spacing w:after="169" w:line="247" w:lineRule="auto"/>
        <w:ind w:right="8" w:firstLine="360"/>
        <w:jc w:val="both"/>
      </w:pPr>
      <w:r>
        <w:rPr>
          <w:rFonts w:ascii="Arial" w:eastAsia="Arial" w:hAnsi="Arial" w:cs="Arial"/>
          <w:i/>
        </w:rPr>
        <w:t xml:space="preserve">El deslinde se incoará de oficio o a petición de cualquier persona interesada, y será aprobado por la Administración del Estado. </w:t>
      </w:r>
    </w:p>
    <w:p w:rsidR="00FF384B" w:rsidRDefault="003E3BA9">
      <w:pPr>
        <w:spacing w:after="171" w:line="247" w:lineRule="auto"/>
        <w:ind w:left="798" w:right="244" w:hanging="10"/>
        <w:jc w:val="both"/>
      </w:pPr>
      <w:r>
        <w:rPr>
          <w:rFonts w:ascii="Arial" w:eastAsia="Arial" w:hAnsi="Arial" w:cs="Arial"/>
          <w:i/>
        </w:rPr>
        <w:t>El plazo para notificar la resolución de los procedimientos de deslinde</w:t>
      </w:r>
      <w:r>
        <w:rPr>
          <w:rFonts w:ascii="Arial" w:eastAsia="Arial" w:hAnsi="Arial" w:cs="Arial"/>
          <w:i/>
        </w:rPr>
        <w:t xml:space="preserve"> será de veinticuatro meses. </w:t>
      </w:r>
    </w:p>
    <w:p w:rsidR="00FF384B" w:rsidRDefault="003E3BA9">
      <w:pPr>
        <w:numPr>
          <w:ilvl w:val="0"/>
          <w:numId w:val="341"/>
        </w:numPr>
        <w:spacing w:after="174" w:line="247" w:lineRule="auto"/>
        <w:ind w:right="8" w:firstLine="360"/>
        <w:jc w:val="both"/>
      </w:pPr>
      <w:r>
        <w:rPr>
          <w:rFonts w:ascii="Arial" w:eastAsia="Arial" w:hAnsi="Arial" w:cs="Arial"/>
          <w:i/>
        </w:rPr>
        <w:t>En el procedimiento serán oídos los propietarios colindantes, previa notificación, y demás personas que acrediten la condición de interesados. Asimismo, se solicitará informe a la Comunidad Autónoma y al Ayuntamiento correspon</w:t>
      </w:r>
      <w:r>
        <w:rPr>
          <w:rFonts w:ascii="Arial" w:eastAsia="Arial" w:hAnsi="Arial" w:cs="Arial"/>
          <w:i/>
        </w:rPr>
        <w:t xml:space="preserve">diente, que deberá ser emitido en el plazo de un mes. </w:t>
      </w:r>
    </w:p>
    <w:p w:rsidR="00FF384B" w:rsidRDefault="003E3BA9">
      <w:pPr>
        <w:spacing w:after="175" w:line="247" w:lineRule="auto"/>
        <w:ind w:left="427" w:right="7" w:firstLine="360"/>
        <w:jc w:val="both"/>
      </w:pPr>
      <w:r>
        <w:rPr>
          <w:noProof/>
        </w:rPr>
        <mc:AlternateContent>
          <mc:Choice Requires="wpg">
            <w:drawing>
              <wp:anchor distT="0" distB="0" distL="114300" distR="114300" simplePos="0" relativeHeight="251999232" behindDoc="1" locked="0" layoutInCell="1" allowOverlap="1">
                <wp:simplePos x="0" y="0"/>
                <wp:positionH relativeFrom="column">
                  <wp:posOffset>6952743</wp:posOffset>
                </wp:positionH>
                <wp:positionV relativeFrom="paragraph">
                  <wp:posOffset>-1972040</wp:posOffset>
                </wp:positionV>
                <wp:extent cx="524148" cy="3797300"/>
                <wp:effectExtent l="0" t="0" r="0" b="0"/>
                <wp:wrapNone/>
                <wp:docPr id="512662" name="Group 51266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887" name="Picture 57887"/>
                          <pic:cNvPicPr/>
                        </pic:nvPicPr>
                        <pic:blipFill>
                          <a:blip r:embed="rId62"/>
                          <a:stretch>
                            <a:fillRect/>
                          </a:stretch>
                        </pic:blipFill>
                        <pic:spPr>
                          <a:xfrm rot="-5399999">
                            <a:off x="-1720849" y="1720850"/>
                            <a:ext cx="3797299" cy="355600"/>
                          </a:xfrm>
                          <a:prstGeom prst="rect">
                            <a:avLst/>
                          </a:prstGeom>
                        </pic:spPr>
                      </pic:pic>
                      <wps:wsp>
                        <wps:cNvPr id="57888" name="Rectangle 5788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7889" name="Rectangle 5788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662" style="width:41.2715pt;height:299pt;position:absolute;z-index:-2147483576;mso-position-horizontal-relative:text;mso-position-horizontal:absolute;margin-left:547.46pt;mso-position-vertical-relative:text;margin-top:-155.279pt;" coordsize="5241,37973">
                <v:shape id="Picture 57887" style="position:absolute;width:37972;height:3556;left:-17208;top:17208;rotation:-89;" filled="f">
                  <v:imagedata r:id="rId63"/>
                </v:shape>
                <v:rect id="Rectangle 5788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88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336 de 353 </w:t>
                        </w:r>
                      </w:p>
                    </w:txbxContent>
                  </v:textbox>
                </v:rect>
              </v:group>
            </w:pict>
          </mc:Fallback>
        </mc:AlternateContent>
      </w:r>
      <w:r>
        <w:rPr>
          <w:rFonts w:ascii="Arial" w:eastAsia="Arial" w:hAnsi="Arial" w:cs="Arial"/>
          <w:i/>
        </w:rPr>
        <w:t>Cuando el deslinde afecte al dominio público portuario estatal, se remitirá el expediente de deslinde, antes de su aprobación, al Ministerio de Fomento para que en el plazo de dos meses emita un informe sobre las materias que afecten a sus competencias. En</w:t>
      </w:r>
      <w:r>
        <w:rPr>
          <w:rFonts w:ascii="Arial" w:eastAsia="Arial" w:hAnsi="Arial" w:cs="Arial"/>
          <w:i/>
        </w:rPr>
        <w:t xml:space="preserve"> caso de discrepancia entre ambos Ministerios sobre el deslinde del dominio público portuario, decidirá el Consejo de Ministros. </w:t>
      </w:r>
    </w:p>
    <w:p w:rsidR="00FF384B" w:rsidRDefault="003E3BA9">
      <w:pPr>
        <w:spacing w:after="4" w:line="247" w:lineRule="auto"/>
        <w:ind w:left="427" w:firstLine="360"/>
        <w:jc w:val="both"/>
      </w:pPr>
      <w:r>
        <w:rPr>
          <w:rFonts w:ascii="Arial" w:eastAsia="Arial" w:hAnsi="Arial" w:cs="Arial"/>
          <w:i/>
        </w:rPr>
        <w:t>Asimismo se garantizará la adecuada coordinación entre los planos topográficos empleados en la tramitación del procedimiento y</w:t>
      </w:r>
      <w:r>
        <w:rPr>
          <w:rFonts w:ascii="Arial" w:eastAsia="Arial" w:hAnsi="Arial" w:cs="Arial"/>
          <w:i/>
        </w:rPr>
        <w:t xml:space="preserve"> la cartografía catastral.» </w:t>
      </w:r>
    </w:p>
    <w:p w:rsidR="00FF384B" w:rsidRDefault="003E3BA9">
      <w:pPr>
        <w:numPr>
          <w:ilvl w:val="0"/>
          <w:numId w:val="341"/>
        </w:numPr>
        <w:spacing w:after="172" w:line="247" w:lineRule="auto"/>
        <w:ind w:right="8" w:firstLine="360"/>
        <w:jc w:val="both"/>
      </w:pPr>
      <w:r>
        <w:rPr>
          <w:rFonts w:ascii="Arial" w:eastAsia="Arial" w:hAnsi="Arial" w:cs="Arial"/>
          <w:i/>
        </w:rPr>
        <w:t>La incoación del expediente de deslinde facultará a la Administración del Estado para realizar o autorizar, incluso en terreno privado, trabajos toma de datos y apeos necesarios, sin perjuicio de las indemnizaciones que sean pr</w:t>
      </w:r>
      <w:r>
        <w:rPr>
          <w:rFonts w:ascii="Arial" w:eastAsia="Arial" w:hAnsi="Arial" w:cs="Arial"/>
          <w:i/>
        </w:rPr>
        <w:t xml:space="preserve">ocedentes por los daños y perjuicios causados y a resultas del deslinde que se apruebe definitivamente. </w:t>
      </w:r>
    </w:p>
    <w:p w:rsidR="00FF384B" w:rsidRDefault="003E3BA9">
      <w:pPr>
        <w:numPr>
          <w:ilvl w:val="0"/>
          <w:numId w:val="341"/>
        </w:numPr>
        <w:spacing w:after="175" w:line="247" w:lineRule="auto"/>
        <w:ind w:right="8" w:firstLine="360"/>
        <w:jc w:val="both"/>
      </w:pPr>
      <w:r>
        <w:rPr>
          <w:rFonts w:ascii="Arial" w:eastAsia="Arial" w:hAnsi="Arial" w:cs="Arial"/>
          <w:i/>
        </w:rPr>
        <w:t xml:space="preserve">El acuerdo de incoación del expediente de deslinde, acompañado del plano del área afectada por el mismo y de la relación de propietarios afectados, se </w:t>
      </w:r>
      <w:r>
        <w:rPr>
          <w:rFonts w:ascii="Arial" w:eastAsia="Arial" w:hAnsi="Arial" w:cs="Arial"/>
          <w:i/>
        </w:rPr>
        <w:t>notificará al Registro de la Propiedad, interesando certificación de dominio y cargas de las fincas inscritas a nombre de los titulares que resulten del expediente y de cualesquiera otras fincas que resulten del plano aportado y de los sistemas de georrefe</w:t>
      </w:r>
      <w:r>
        <w:rPr>
          <w:rFonts w:ascii="Arial" w:eastAsia="Arial" w:hAnsi="Arial" w:cs="Arial"/>
          <w:i/>
        </w:rPr>
        <w:t xml:space="preserve">renciación de fincas registrales, así como la constancia de la incoación del expediente en el folio de cada una de ellas. </w:t>
      </w:r>
    </w:p>
    <w:p w:rsidR="00FF384B" w:rsidRDefault="003E3BA9">
      <w:pPr>
        <w:spacing w:after="354" w:line="247" w:lineRule="auto"/>
        <w:ind w:left="427" w:firstLine="360"/>
        <w:jc w:val="both"/>
      </w:pPr>
      <w:r>
        <w:rPr>
          <w:rFonts w:ascii="Arial" w:eastAsia="Arial" w:hAnsi="Arial" w:cs="Arial"/>
          <w:i/>
        </w:rPr>
        <w:t>Con carácter simultáneo a la expedición de la referida certificación, el registrador extenderá nota marginal en el folio de las finca</w:t>
      </w:r>
      <w:r>
        <w:rPr>
          <w:rFonts w:ascii="Arial" w:eastAsia="Arial" w:hAnsi="Arial" w:cs="Arial"/>
          <w:i/>
        </w:rPr>
        <w:t xml:space="preserve">s de las que certifique, en la que hará constar: </w:t>
      </w:r>
    </w:p>
    <w:p w:rsidR="00FF384B" w:rsidRDefault="003E3BA9">
      <w:pPr>
        <w:numPr>
          <w:ilvl w:val="0"/>
          <w:numId w:val="342"/>
        </w:numPr>
        <w:spacing w:after="169" w:line="247" w:lineRule="auto"/>
        <w:ind w:right="122" w:hanging="259"/>
        <w:jc w:val="both"/>
      </w:pPr>
      <w:r>
        <w:rPr>
          <w:rFonts w:ascii="Arial" w:eastAsia="Arial" w:hAnsi="Arial" w:cs="Arial"/>
          <w:i/>
        </w:rPr>
        <w:t xml:space="preserve">La incoación del expediente de deslinde. </w:t>
      </w:r>
    </w:p>
    <w:p w:rsidR="00FF384B" w:rsidRDefault="003E3BA9">
      <w:pPr>
        <w:numPr>
          <w:ilvl w:val="0"/>
          <w:numId w:val="342"/>
        </w:numPr>
        <w:spacing w:after="169" w:line="247" w:lineRule="auto"/>
        <w:ind w:right="122" w:hanging="259"/>
        <w:jc w:val="both"/>
      </w:pPr>
      <w:r>
        <w:rPr>
          <w:rFonts w:ascii="Arial" w:eastAsia="Arial" w:hAnsi="Arial" w:cs="Arial"/>
          <w:i/>
        </w:rPr>
        <w:t xml:space="preserve">La expedición de la certificación de dominio y cargas de las fincas afectadas por el deslinde. </w:t>
      </w:r>
    </w:p>
    <w:p w:rsidR="00FF384B" w:rsidRDefault="003E3BA9">
      <w:pPr>
        <w:numPr>
          <w:ilvl w:val="0"/>
          <w:numId w:val="342"/>
        </w:numPr>
        <w:spacing w:after="4" w:line="247" w:lineRule="auto"/>
        <w:ind w:right="122" w:hanging="259"/>
        <w:jc w:val="both"/>
      </w:pPr>
      <w:r>
        <w:rPr>
          <w:rFonts w:ascii="Arial" w:eastAsia="Arial" w:hAnsi="Arial" w:cs="Arial"/>
          <w:i/>
        </w:rPr>
        <w:t xml:space="preserve">La advertencia de que pueden quedar afectadas por el deslinde, pudiendo así, las fincas incorporarse, en todo o en parte, al dominio público </w:t>
      </w:r>
    </w:p>
    <w:p w:rsidR="00FF384B" w:rsidRDefault="003E3BA9">
      <w:pPr>
        <w:spacing w:after="169" w:line="247" w:lineRule="auto"/>
        <w:ind w:left="437" w:right="244" w:hanging="10"/>
        <w:jc w:val="both"/>
      </w:pPr>
      <w:r>
        <w:rPr>
          <w:rFonts w:ascii="Arial" w:eastAsia="Arial" w:hAnsi="Arial" w:cs="Arial"/>
          <w:i/>
        </w:rPr>
        <w:t xml:space="preserve">marítimo-terrestre o estar incluidas total o parcialmente en la zona de servidumbre de protección. </w:t>
      </w:r>
    </w:p>
    <w:p w:rsidR="00FF384B" w:rsidRDefault="003E3BA9">
      <w:pPr>
        <w:numPr>
          <w:ilvl w:val="0"/>
          <w:numId w:val="342"/>
        </w:numPr>
        <w:spacing w:after="4" w:line="247" w:lineRule="auto"/>
        <w:ind w:right="122" w:hanging="259"/>
        <w:jc w:val="both"/>
      </w:pPr>
      <w:r>
        <w:rPr>
          <w:rFonts w:ascii="Arial" w:eastAsia="Arial" w:hAnsi="Arial" w:cs="Arial"/>
          <w:i/>
        </w:rPr>
        <w:t>La circunstanc</w:t>
      </w:r>
      <w:r>
        <w:rPr>
          <w:rFonts w:ascii="Arial" w:eastAsia="Arial" w:hAnsi="Arial" w:cs="Arial"/>
          <w:i/>
        </w:rPr>
        <w:t xml:space="preserve">ia de que la resolución aprobatoria del procedimiento de deslinde servirá de título para rectificar las situaciones jurídico registrales </w:t>
      </w:r>
    </w:p>
    <w:p w:rsidR="00FF384B" w:rsidRDefault="003E3BA9">
      <w:pPr>
        <w:spacing w:after="169" w:line="247" w:lineRule="auto"/>
        <w:ind w:left="437" w:right="244" w:hanging="10"/>
        <w:jc w:val="both"/>
      </w:pPr>
      <w:r>
        <w:rPr>
          <w:rFonts w:ascii="Arial" w:eastAsia="Arial" w:hAnsi="Arial" w:cs="Arial"/>
          <w:i/>
        </w:rPr>
        <w:t xml:space="preserve">contradictorias con el deslinde. </w:t>
      </w:r>
    </w:p>
    <w:p w:rsidR="00FF384B" w:rsidRDefault="003E3BA9">
      <w:pPr>
        <w:numPr>
          <w:ilvl w:val="0"/>
          <w:numId w:val="343"/>
        </w:numPr>
        <w:spacing w:after="155" w:line="247" w:lineRule="auto"/>
        <w:ind w:right="11" w:firstLine="360"/>
        <w:jc w:val="both"/>
      </w:pPr>
      <w:r>
        <w:rPr>
          <w:noProof/>
        </w:rPr>
        <mc:AlternateContent>
          <mc:Choice Requires="wpg">
            <w:drawing>
              <wp:anchor distT="0" distB="0" distL="114300" distR="114300" simplePos="0" relativeHeight="252000256" behindDoc="1" locked="0" layoutInCell="1" allowOverlap="1">
                <wp:simplePos x="0" y="0"/>
                <wp:positionH relativeFrom="column">
                  <wp:posOffset>6952743</wp:posOffset>
                </wp:positionH>
                <wp:positionV relativeFrom="paragraph">
                  <wp:posOffset>-1100312</wp:posOffset>
                </wp:positionV>
                <wp:extent cx="524148" cy="3797300"/>
                <wp:effectExtent l="0" t="0" r="0" b="0"/>
                <wp:wrapNone/>
                <wp:docPr id="512850" name="Group 51285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7974" name="Picture 57974"/>
                          <pic:cNvPicPr/>
                        </pic:nvPicPr>
                        <pic:blipFill>
                          <a:blip r:embed="rId62"/>
                          <a:stretch>
                            <a:fillRect/>
                          </a:stretch>
                        </pic:blipFill>
                        <pic:spPr>
                          <a:xfrm rot="-5399999">
                            <a:off x="-1720849" y="1720850"/>
                            <a:ext cx="3797299" cy="355600"/>
                          </a:xfrm>
                          <a:prstGeom prst="rect">
                            <a:avLst/>
                          </a:prstGeom>
                        </pic:spPr>
                      </pic:pic>
                      <wps:wsp>
                        <wps:cNvPr id="57975" name="Rectangle 57975"/>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Cód. Validación: 9792ADAG9QWZ53RMHD5RCHL7K | Verificación: https://candelaria.sed</w:t>
                              </w:r>
                              <w:r>
                                <w:rPr>
                                  <w:rFonts w:ascii="Arial" w:eastAsia="Arial" w:hAnsi="Arial" w:cs="Arial"/>
                                  <w:sz w:val="12"/>
                                </w:rPr>
                                <w:t xml:space="preserve">electronica.es/ </w:t>
                              </w:r>
                            </w:p>
                          </w:txbxContent>
                        </wps:txbx>
                        <wps:bodyPr horzOverflow="overflow" vert="horz" lIns="0" tIns="0" rIns="0" bIns="0" rtlCol="0">
                          <a:noAutofit/>
                        </wps:bodyPr>
                      </wps:wsp>
                      <wps:wsp>
                        <wps:cNvPr id="57976" name="Rectangle 57976"/>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850" style="width:41.2715pt;height:299pt;position:absolute;z-index:-2147483578;mso-position-horizontal-relative:text;mso-position-horizontal:absolute;margin-left:547.46pt;mso-position-vertical-relative:text;margin-top:-86.6388pt;" coordsize="5241,37973">
                <v:shape id="Picture 57974" style="position:absolute;width:37972;height:3556;left:-17208;top:17208;rotation:-89;" filled="f">
                  <v:imagedata r:id="rId63"/>
                </v:shape>
                <v:rect id="Rectangle 57975"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7976"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337 de 353 </w:t>
                        </w:r>
                      </w:p>
                    </w:txbxContent>
                  </v:textbox>
                </v:rect>
              </v:group>
            </w:pict>
          </mc:Fallback>
        </mc:AlternateContent>
      </w:r>
      <w:r>
        <w:rPr>
          <w:rFonts w:ascii="Arial" w:eastAsia="Arial" w:hAnsi="Arial" w:cs="Arial"/>
          <w:i/>
        </w:rPr>
        <w:t>La providencia de incoación del expediente de deslinde implicará la suspensión del otorgamiento de concesiones y autorizaciones en el dominio público marítimo-terrestre y en su zona de servidumbre de protección, a cuyo efecto deberá publicarse acompañada d</w:t>
      </w:r>
      <w:r>
        <w:rPr>
          <w:rFonts w:ascii="Arial" w:eastAsia="Arial" w:hAnsi="Arial" w:cs="Arial"/>
          <w:i/>
        </w:rPr>
        <w:t>e plano en que se delimite provisionalmente la superficie estimada de aquél y de ésta. La resolución del expediente de deslinde llevará implícito el levantamiento de la suspensión</w:t>
      </w:r>
      <w:r>
        <w:rPr>
          <w:rFonts w:ascii="Verdana" w:eastAsia="Verdana" w:hAnsi="Verdana" w:cs="Verdana"/>
          <w:sz w:val="24"/>
        </w:rPr>
        <w:t>.</w:t>
      </w:r>
      <w:r>
        <w:rPr>
          <w:rFonts w:ascii="Times New Roman" w:eastAsia="Times New Roman" w:hAnsi="Times New Roman" w:cs="Times New Roman"/>
          <w:sz w:val="24"/>
        </w:rPr>
        <w:t xml:space="preserve"> </w:t>
      </w:r>
    </w:p>
    <w:p w:rsidR="00FF384B" w:rsidRDefault="003E3BA9">
      <w:pPr>
        <w:numPr>
          <w:ilvl w:val="0"/>
          <w:numId w:val="343"/>
        </w:numPr>
        <w:spacing w:after="148" w:line="247" w:lineRule="auto"/>
        <w:ind w:right="11" w:firstLine="360"/>
        <w:jc w:val="both"/>
      </w:pPr>
      <w:r>
        <w:rPr>
          <w:rFonts w:ascii="Arial" w:eastAsia="Arial" w:hAnsi="Arial" w:cs="Arial"/>
          <w:b/>
          <w:i/>
        </w:rPr>
        <w:t>(Suprimido)</w:t>
      </w:r>
      <w:r>
        <w:rPr>
          <w:rFonts w:ascii="Times New Roman" w:eastAsia="Times New Roman" w:hAnsi="Times New Roman" w:cs="Times New Roman"/>
          <w:sz w:val="24"/>
        </w:rPr>
        <w:t xml:space="preserve"> </w:t>
      </w:r>
    </w:p>
    <w:p w:rsidR="00FF384B" w:rsidRDefault="003E3BA9">
      <w:pPr>
        <w:numPr>
          <w:ilvl w:val="0"/>
          <w:numId w:val="343"/>
        </w:numPr>
        <w:spacing w:after="170" w:line="247" w:lineRule="auto"/>
        <w:ind w:right="11" w:firstLine="360"/>
        <w:jc w:val="both"/>
      </w:pPr>
      <w:r>
        <w:rPr>
          <w:rFonts w:ascii="Arial" w:eastAsia="Arial" w:hAnsi="Arial" w:cs="Arial"/>
          <w:i/>
        </w:rPr>
        <w:t>No obstante, podrán realizarse, previa autorización de la Adm</w:t>
      </w:r>
      <w:r>
        <w:rPr>
          <w:rFonts w:ascii="Arial" w:eastAsia="Arial" w:hAnsi="Arial" w:cs="Arial"/>
          <w:i/>
        </w:rPr>
        <w:t xml:space="preserve">inistración del Estado o por ésta, obras de emergencia para prevenir o reparar daños. </w:t>
      </w:r>
    </w:p>
    <w:p w:rsidR="00FF384B" w:rsidRDefault="003E3BA9">
      <w:pPr>
        <w:spacing w:after="98"/>
        <w:ind w:left="788"/>
      </w:pPr>
      <w:r>
        <w:rPr>
          <w:rFonts w:ascii="Arial" w:eastAsia="Arial" w:hAnsi="Arial" w:cs="Arial"/>
          <w:b/>
        </w:rPr>
        <w:t xml:space="preserve"> </w:t>
      </w:r>
    </w:p>
    <w:p w:rsidR="00FF384B" w:rsidRDefault="003E3BA9">
      <w:pPr>
        <w:spacing w:after="122" w:line="238" w:lineRule="auto"/>
        <w:ind w:left="788"/>
      </w:pPr>
      <w:r>
        <w:rPr>
          <w:rFonts w:ascii="Arial" w:eastAsia="Arial" w:hAnsi="Arial" w:cs="Arial"/>
          <w:b/>
          <w:u w:val="single" w:color="000000"/>
        </w:rPr>
        <w:t>Por tanto, los tres procedimientos anteriores sobre el dominio público marítimo terrestre son competencia del titular del dominio público</w:t>
      </w:r>
      <w:r>
        <w:rPr>
          <w:rFonts w:ascii="Arial" w:eastAsia="Arial" w:hAnsi="Arial" w:cs="Arial"/>
          <w:b/>
        </w:rPr>
        <w:t xml:space="preserve"> </w:t>
      </w:r>
      <w:r>
        <w:rPr>
          <w:rFonts w:ascii="Arial" w:eastAsia="Arial" w:hAnsi="Arial" w:cs="Arial"/>
          <w:b/>
          <w:u w:val="single" w:color="000000"/>
        </w:rPr>
        <w:t>marítimo terrestre (DPMT) que es el Estado y es éste el que de manera exclusiva y excluyente el que debe incoar y tramitar los expedientes</w:t>
      </w:r>
      <w:r>
        <w:rPr>
          <w:rFonts w:ascii="Arial" w:eastAsia="Arial" w:hAnsi="Arial" w:cs="Arial"/>
          <w:b/>
        </w:rPr>
        <w:t xml:space="preserve"> </w:t>
      </w:r>
      <w:r>
        <w:rPr>
          <w:rFonts w:ascii="Arial" w:eastAsia="Arial" w:hAnsi="Arial" w:cs="Arial"/>
          <w:b/>
          <w:u w:val="single" w:color="000000"/>
        </w:rPr>
        <w:t>a través del Ministerio de Transición Ecológica (MITECO):</w:t>
      </w:r>
      <w:r>
        <w:rPr>
          <w:rFonts w:ascii="Arial" w:eastAsia="Arial" w:hAnsi="Arial" w:cs="Arial"/>
          <w:b/>
        </w:rPr>
        <w:t xml:space="preserve"> </w:t>
      </w:r>
    </w:p>
    <w:p w:rsidR="00FF384B" w:rsidRDefault="003E3BA9">
      <w:pPr>
        <w:spacing w:after="107" w:line="249" w:lineRule="auto"/>
        <w:ind w:left="437" w:hanging="10"/>
        <w:jc w:val="both"/>
      </w:pPr>
      <w:r>
        <w:rPr>
          <w:rFonts w:ascii="Arial" w:eastAsia="Arial" w:hAnsi="Arial" w:cs="Arial"/>
          <w:b/>
          <w:u w:val="single" w:color="000000"/>
        </w:rPr>
        <w:t>1.- Declaración de innecesariedad.</w:t>
      </w:r>
      <w:r>
        <w:rPr>
          <w:rFonts w:ascii="Arial" w:eastAsia="Arial" w:hAnsi="Arial" w:cs="Arial"/>
          <w:b/>
        </w:rPr>
        <w:t xml:space="preserve"> </w:t>
      </w:r>
    </w:p>
    <w:p w:rsidR="00FF384B" w:rsidRDefault="003E3BA9">
      <w:pPr>
        <w:spacing w:after="110" w:line="249" w:lineRule="auto"/>
        <w:ind w:left="437" w:hanging="10"/>
        <w:jc w:val="both"/>
      </w:pPr>
      <w:r>
        <w:rPr>
          <w:rFonts w:ascii="Arial" w:eastAsia="Arial" w:hAnsi="Arial" w:cs="Arial"/>
          <w:b/>
          <w:u w:val="single" w:color="000000"/>
        </w:rPr>
        <w:t>2.- Desafectación.</w:t>
      </w:r>
      <w:r>
        <w:rPr>
          <w:rFonts w:ascii="Arial" w:eastAsia="Arial" w:hAnsi="Arial" w:cs="Arial"/>
          <w:b/>
        </w:rPr>
        <w:t xml:space="preserve"> </w:t>
      </w:r>
    </w:p>
    <w:p w:rsidR="00FF384B" w:rsidRDefault="003E3BA9">
      <w:pPr>
        <w:spacing w:after="107" w:line="249" w:lineRule="auto"/>
        <w:ind w:left="437" w:hanging="10"/>
        <w:jc w:val="both"/>
      </w:pPr>
      <w:r>
        <w:rPr>
          <w:rFonts w:ascii="Arial" w:eastAsia="Arial" w:hAnsi="Arial" w:cs="Arial"/>
          <w:b/>
          <w:u w:val="single" w:color="000000"/>
        </w:rPr>
        <w:t>3.</w:t>
      </w:r>
      <w:r>
        <w:rPr>
          <w:rFonts w:ascii="Arial" w:eastAsia="Arial" w:hAnsi="Arial" w:cs="Arial"/>
          <w:b/>
          <w:u w:val="single" w:color="000000"/>
        </w:rPr>
        <w:t>- Deslinde.</w:t>
      </w:r>
      <w:r>
        <w:rPr>
          <w:rFonts w:ascii="Arial" w:eastAsia="Arial" w:hAnsi="Arial" w:cs="Arial"/>
          <w:b/>
        </w:rPr>
        <w:t xml:space="preserve"> </w:t>
      </w:r>
    </w:p>
    <w:p w:rsidR="00FF384B" w:rsidRDefault="003E3BA9">
      <w:pPr>
        <w:spacing w:after="98"/>
        <w:ind w:left="427"/>
      </w:pPr>
      <w:r>
        <w:rPr>
          <w:rFonts w:ascii="Arial" w:eastAsia="Arial" w:hAnsi="Arial" w:cs="Arial"/>
          <w:b/>
        </w:rPr>
        <w:t xml:space="preserve"> </w:t>
      </w:r>
    </w:p>
    <w:p w:rsidR="00FF384B" w:rsidRDefault="003E3BA9">
      <w:pPr>
        <w:spacing w:after="110" w:line="249" w:lineRule="auto"/>
        <w:ind w:left="427" w:firstLine="360"/>
        <w:jc w:val="both"/>
      </w:pPr>
      <w:r>
        <w:rPr>
          <w:rFonts w:ascii="Arial" w:eastAsia="Arial" w:hAnsi="Arial" w:cs="Arial"/>
          <w:b/>
          <w:u w:val="single" w:color="000000"/>
        </w:rPr>
        <w:t>Este informe del Ayuntamiento sobre la declaración de innecesariedad debe estar incardinado dentro de un expediente que incoe, inicie</w:t>
      </w:r>
      <w:r>
        <w:rPr>
          <w:rFonts w:ascii="Arial" w:eastAsia="Arial" w:hAnsi="Arial" w:cs="Arial"/>
          <w:b/>
        </w:rPr>
        <w:t xml:space="preserve"> </w:t>
      </w:r>
      <w:r>
        <w:rPr>
          <w:rFonts w:ascii="Arial" w:eastAsia="Arial" w:hAnsi="Arial" w:cs="Arial"/>
          <w:b/>
          <w:u w:val="single" w:color="000000"/>
        </w:rPr>
        <w:t>y tramite el Estado y que se posteriormente el Estado le pida el informe al Ayuntamiento y a la Comunidad A</w:t>
      </w:r>
      <w:r>
        <w:rPr>
          <w:rFonts w:ascii="Arial" w:eastAsia="Arial" w:hAnsi="Arial" w:cs="Arial"/>
          <w:b/>
          <w:u w:val="single" w:color="000000"/>
        </w:rPr>
        <w:t>utónoma no en un informe que</w:t>
      </w:r>
      <w:r>
        <w:rPr>
          <w:rFonts w:ascii="Arial" w:eastAsia="Arial" w:hAnsi="Arial" w:cs="Arial"/>
          <w:b/>
        </w:rPr>
        <w:t xml:space="preserve"> </w:t>
      </w:r>
      <w:r>
        <w:rPr>
          <w:rFonts w:ascii="Arial" w:eastAsia="Arial" w:hAnsi="Arial" w:cs="Arial"/>
          <w:b/>
          <w:u w:val="single" w:color="000000"/>
        </w:rPr>
        <w:t>el Ayuntamiento remita de oficio al Ministerio como si el Ayuntamiento fuera el incoador o tramitador del expediente de declaración de</w:t>
      </w:r>
      <w:r>
        <w:rPr>
          <w:rFonts w:ascii="Arial" w:eastAsia="Arial" w:hAnsi="Arial" w:cs="Arial"/>
          <w:b/>
        </w:rPr>
        <w:t xml:space="preserve"> </w:t>
      </w:r>
      <w:r>
        <w:rPr>
          <w:rFonts w:ascii="Arial" w:eastAsia="Arial" w:hAnsi="Arial" w:cs="Arial"/>
          <w:b/>
          <w:u w:val="single" w:color="000000"/>
        </w:rPr>
        <w:t>innecesariedad ya que no es el titular del DPMT.</w:t>
      </w:r>
      <w:r>
        <w:rPr>
          <w:rFonts w:ascii="Arial" w:eastAsia="Arial" w:hAnsi="Arial" w:cs="Arial"/>
          <w:b/>
        </w:rPr>
        <w:t xml:space="preserve"> </w:t>
      </w:r>
    </w:p>
    <w:p w:rsidR="00FF384B" w:rsidRDefault="003E3BA9">
      <w:pPr>
        <w:spacing w:after="109" w:line="247" w:lineRule="auto"/>
        <w:ind w:left="791" w:hanging="3"/>
        <w:jc w:val="both"/>
      </w:pPr>
      <w:r>
        <w:rPr>
          <w:rFonts w:ascii="Arial" w:eastAsia="Arial" w:hAnsi="Arial" w:cs="Arial"/>
          <w:b/>
        </w:rPr>
        <w:t xml:space="preserve">Segundo.- SUSTANCIAL. </w:t>
      </w:r>
    </w:p>
    <w:p w:rsidR="00FF384B" w:rsidRDefault="003E3BA9">
      <w:pPr>
        <w:spacing w:after="100"/>
        <w:ind w:left="788"/>
      </w:pPr>
      <w:r>
        <w:rPr>
          <w:rFonts w:ascii="Arial" w:eastAsia="Arial" w:hAnsi="Arial" w:cs="Arial"/>
          <w:b/>
        </w:rPr>
        <w:t xml:space="preserve"> </w:t>
      </w:r>
    </w:p>
    <w:p w:rsidR="00FF384B" w:rsidRDefault="003E3BA9">
      <w:pPr>
        <w:spacing w:after="114" w:line="247" w:lineRule="auto"/>
        <w:ind w:left="412" w:firstLine="360"/>
        <w:jc w:val="both"/>
      </w:pPr>
      <w:r>
        <w:rPr>
          <w:rFonts w:ascii="Arial" w:eastAsia="Arial" w:hAnsi="Arial" w:cs="Arial"/>
          <w:b/>
        </w:rPr>
        <w:t>Consta en el expe</w:t>
      </w:r>
      <w:r>
        <w:rPr>
          <w:rFonts w:ascii="Arial" w:eastAsia="Arial" w:hAnsi="Arial" w:cs="Arial"/>
          <w:b/>
        </w:rPr>
        <w:t xml:space="preserve">diente dos informes que hacen que desde el punto de vista del contenido de la declaración de innecesariedad no se pueda informar favorablemente la misma. </w:t>
      </w:r>
    </w:p>
    <w:p w:rsidR="00FF384B" w:rsidRDefault="003E3BA9">
      <w:pPr>
        <w:spacing w:after="133" w:line="247" w:lineRule="auto"/>
        <w:ind w:left="412" w:firstLine="360"/>
        <w:jc w:val="both"/>
      </w:pPr>
      <w:r>
        <w:rPr>
          <w:rFonts w:ascii="Arial" w:eastAsia="Arial" w:hAnsi="Arial" w:cs="Arial"/>
          <w:b/>
          <w:u w:val="single" w:color="000000"/>
        </w:rPr>
        <w:t>-El Informe del Ingeniero de fecha 27 de abril de 2021</w:t>
      </w:r>
      <w:r>
        <w:rPr>
          <w:rFonts w:ascii="Arial" w:eastAsia="Arial" w:hAnsi="Arial" w:cs="Arial"/>
          <w:b/>
        </w:rPr>
        <w:t xml:space="preserve"> cuya parte de conclusiones ha sido reproducida</w:t>
      </w:r>
      <w:r>
        <w:rPr>
          <w:rFonts w:ascii="Arial" w:eastAsia="Arial" w:hAnsi="Arial" w:cs="Arial"/>
          <w:b/>
        </w:rPr>
        <w:t xml:space="preserve"> en los fundamentos de derecho en el que se establece que no se dan dos de los cuatro requisitos que la jurisprudencia ha establecido para determinar </w:t>
      </w:r>
      <w:r>
        <w:rPr>
          <w:rFonts w:ascii="Arial" w:eastAsia="Arial" w:hAnsi="Arial" w:cs="Arial"/>
          <w:b/>
          <w:i/>
        </w:rPr>
        <w:t>“que son innecesarios para el dominio público marítimo-terrestre”:</w:t>
      </w:r>
      <w:r>
        <w:rPr>
          <w:rFonts w:ascii="Arial" w:eastAsia="Arial" w:hAnsi="Arial" w:cs="Arial"/>
        </w:rPr>
        <w:t xml:space="preserve"> </w:t>
      </w:r>
    </w:p>
    <w:p w:rsidR="00FF384B" w:rsidRDefault="003E3BA9">
      <w:pPr>
        <w:spacing w:after="120"/>
        <w:ind w:left="427"/>
      </w:pPr>
      <w:r>
        <w:rPr>
          <w:rFonts w:ascii="Arial" w:eastAsia="Arial" w:hAnsi="Arial" w:cs="Arial"/>
          <w:sz w:val="24"/>
        </w:rPr>
        <w:t xml:space="preserve"> </w:t>
      </w:r>
      <w:r>
        <w:rPr>
          <w:rFonts w:ascii="Arial" w:eastAsia="Arial" w:hAnsi="Arial" w:cs="Arial"/>
          <w:sz w:val="24"/>
        </w:rPr>
        <w:tab/>
        <w:t xml:space="preserve"> </w:t>
      </w:r>
    </w:p>
    <w:p w:rsidR="00FF384B" w:rsidRDefault="003E3BA9">
      <w:pPr>
        <w:spacing w:after="1" w:line="359" w:lineRule="auto"/>
        <w:ind w:left="437" w:right="5" w:hanging="10"/>
        <w:jc w:val="both"/>
      </w:pPr>
      <w:r>
        <w:rPr>
          <w:noProof/>
        </w:rPr>
        <mc:AlternateContent>
          <mc:Choice Requires="wpg">
            <w:drawing>
              <wp:anchor distT="0" distB="0" distL="114300" distR="114300" simplePos="0" relativeHeight="252001280" behindDoc="1" locked="0" layoutInCell="1" allowOverlap="1">
                <wp:simplePos x="0" y="0"/>
                <wp:positionH relativeFrom="column">
                  <wp:posOffset>6952743</wp:posOffset>
                </wp:positionH>
                <wp:positionV relativeFrom="paragraph">
                  <wp:posOffset>-1531238</wp:posOffset>
                </wp:positionV>
                <wp:extent cx="524148" cy="3797300"/>
                <wp:effectExtent l="0" t="0" r="0" b="0"/>
                <wp:wrapNone/>
                <wp:docPr id="513240" name="Group 51324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093" name="Picture 58093"/>
                          <pic:cNvPicPr/>
                        </pic:nvPicPr>
                        <pic:blipFill>
                          <a:blip r:embed="rId62"/>
                          <a:stretch>
                            <a:fillRect/>
                          </a:stretch>
                        </pic:blipFill>
                        <pic:spPr>
                          <a:xfrm rot="-5399999">
                            <a:off x="-1720849" y="1720850"/>
                            <a:ext cx="3797299" cy="355600"/>
                          </a:xfrm>
                          <a:prstGeom prst="rect">
                            <a:avLst/>
                          </a:prstGeom>
                        </pic:spPr>
                      </pic:pic>
                      <wps:wsp>
                        <wps:cNvPr id="58094" name="Rectangle 58094"/>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095" name="Rectangle 58095"/>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240" style="width:41.2715pt;height:299pt;position:absolute;z-index:-2147483547;mso-position-horizontal-relative:text;mso-position-horizontal:absolute;margin-left:547.46pt;mso-position-vertical-relative:text;margin-top:-120.57pt;" coordsize="5241,37973">
                <v:shape id="Picture 58093" style="position:absolute;width:37972;height:3556;left:-17208;top:17208;rotation:-89;" filled="f">
                  <v:imagedata r:id="rId63"/>
                </v:shape>
                <v:rect id="Rectangle 58094"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095"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338 de 353 </w:t>
                        </w:r>
                      </w:p>
                    </w:txbxContent>
                  </v:textbox>
                </v:rect>
              </v:group>
            </w:pict>
          </mc:Fallback>
        </mc:AlternateContent>
      </w:r>
      <w:r>
        <w:rPr>
          <w:rFonts w:ascii="Arial" w:eastAsia="Arial" w:hAnsi="Arial" w:cs="Arial"/>
          <w:i/>
          <w:sz w:val="24"/>
        </w:rPr>
        <w:t xml:space="preserve">1.- </w:t>
      </w:r>
      <w:r>
        <w:rPr>
          <w:rFonts w:ascii="Arial" w:eastAsia="Arial" w:hAnsi="Arial" w:cs="Arial"/>
          <w:i/>
          <w:sz w:val="24"/>
        </w:rPr>
        <w:t xml:space="preserve">Tal como se indica en los datos de partida, la ejecución de los rellenos para establecer la explanada que conforma la calle Manuel Oliva Martín no consta que dispongan de Autorización por parte de la Dirección General de Costas, motivo por el cual, </w:t>
      </w:r>
      <w:r>
        <w:rPr>
          <w:rFonts w:ascii="Arial" w:eastAsia="Arial" w:hAnsi="Arial" w:cs="Arial"/>
          <w:i/>
          <w:sz w:val="24"/>
          <w:u w:val="single" w:color="000000"/>
        </w:rPr>
        <w:t>estos</w:t>
      </w:r>
      <w:r>
        <w:rPr>
          <w:rFonts w:ascii="Arial" w:eastAsia="Arial" w:hAnsi="Arial" w:cs="Arial"/>
          <w:i/>
          <w:sz w:val="24"/>
        </w:rPr>
        <w:t xml:space="preserve"> </w:t>
      </w:r>
      <w:r>
        <w:rPr>
          <w:rFonts w:ascii="Arial" w:eastAsia="Arial" w:hAnsi="Arial" w:cs="Arial"/>
          <w:i/>
          <w:sz w:val="24"/>
          <w:u w:val="single" w:color="000000"/>
        </w:rPr>
        <w:t>t</w:t>
      </w:r>
      <w:r>
        <w:rPr>
          <w:rFonts w:ascii="Arial" w:eastAsia="Arial" w:hAnsi="Arial" w:cs="Arial"/>
          <w:i/>
          <w:sz w:val="24"/>
          <w:u w:val="single" w:color="000000"/>
        </w:rPr>
        <w:t>errenos ganados al</w:t>
      </w:r>
      <w:r>
        <w:rPr>
          <w:rFonts w:ascii="Arial" w:eastAsia="Arial" w:hAnsi="Arial" w:cs="Arial"/>
          <w:i/>
          <w:sz w:val="24"/>
        </w:rPr>
        <w:t xml:space="preserve"> </w:t>
      </w:r>
      <w:r>
        <w:rPr>
          <w:rFonts w:ascii="Arial" w:eastAsia="Arial" w:hAnsi="Arial" w:cs="Arial"/>
          <w:i/>
          <w:sz w:val="24"/>
          <w:u w:val="single" w:color="000000"/>
        </w:rPr>
        <w:t>mar carecen de Título Concesional.</w:t>
      </w:r>
      <w:r>
        <w:rPr>
          <w:rFonts w:ascii="Arial" w:eastAsia="Arial" w:hAnsi="Arial" w:cs="Arial"/>
          <w:i/>
          <w:sz w:val="24"/>
        </w:rPr>
        <w:t xml:space="preserve"> En caso de disponer del mismo, cumpliría con este requisito para poder considerarse como Innecesario. </w:t>
      </w:r>
      <w:r>
        <w:rPr>
          <w:rFonts w:ascii="Times New Roman" w:eastAsia="Times New Roman" w:hAnsi="Times New Roman" w:cs="Times New Roman"/>
          <w:sz w:val="24"/>
        </w:rPr>
        <w:t xml:space="preserve"> </w:t>
      </w:r>
    </w:p>
    <w:p w:rsidR="00FF384B" w:rsidRDefault="003E3BA9">
      <w:pPr>
        <w:spacing w:after="115"/>
        <w:ind w:left="427"/>
      </w:pPr>
      <w:r>
        <w:rPr>
          <w:rFonts w:ascii="Arial" w:eastAsia="Arial" w:hAnsi="Arial" w:cs="Arial"/>
          <w:i/>
          <w:sz w:val="24"/>
        </w:rPr>
        <w:t xml:space="preserve"> </w:t>
      </w:r>
    </w:p>
    <w:p w:rsidR="00FF384B" w:rsidRDefault="003E3BA9">
      <w:pPr>
        <w:spacing w:after="1" w:line="361" w:lineRule="auto"/>
        <w:ind w:left="437" w:hanging="10"/>
        <w:jc w:val="both"/>
      </w:pPr>
      <w:r>
        <w:rPr>
          <w:rFonts w:ascii="Arial" w:eastAsia="Arial" w:hAnsi="Arial" w:cs="Arial"/>
          <w:i/>
          <w:sz w:val="24"/>
        </w:rPr>
        <w:t xml:space="preserve">2.- </w:t>
      </w:r>
      <w:r>
        <w:rPr>
          <w:rFonts w:ascii="Arial" w:eastAsia="Arial" w:hAnsi="Arial" w:cs="Arial"/>
          <w:i/>
          <w:sz w:val="24"/>
          <w:u w:val="single" w:color="000000"/>
        </w:rPr>
        <w:t>La reposición del acantilado a su estado original mediante la retirada de los rellenos que d</w:t>
      </w:r>
      <w:r>
        <w:rPr>
          <w:rFonts w:ascii="Arial" w:eastAsia="Arial" w:hAnsi="Arial" w:cs="Arial"/>
          <w:i/>
          <w:sz w:val="24"/>
          <w:u w:val="single" w:color="000000"/>
        </w:rPr>
        <w:t>an soporte a las edificaciones y la vía, conllevará</w:t>
      </w:r>
      <w:r>
        <w:rPr>
          <w:rFonts w:ascii="Arial" w:eastAsia="Arial" w:hAnsi="Arial" w:cs="Arial"/>
          <w:i/>
          <w:sz w:val="24"/>
        </w:rPr>
        <w:t xml:space="preserve"> </w:t>
      </w:r>
      <w:r>
        <w:rPr>
          <w:rFonts w:ascii="Arial" w:eastAsia="Arial" w:hAnsi="Arial" w:cs="Arial"/>
          <w:i/>
          <w:sz w:val="24"/>
          <w:u w:val="single" w:color="000000"/>
        </w:rPr>
        <w:t>un coste económico importante.</w:t>
      </w:r>
      <w:r>
        <w:rPr>
          <w:rFonts w:ascii="Arial" w:eastAsia="Arial" w:hAnsi="Arial" w:cs="Arial"/>
          <w:i/>
          <w:sz w:val="24"/>
        </w:rPr>
        <w:t xml:space="preserve"> No obstante, el criterio económico no debería ser el principal elemento de decisión debiendo ser la protección del medioambiente. Por tanto esta debería ser la solución a ad</w:t>
      </w:r>
      <w:r>
        <w:rPr>
          <w:rFonts w:ascii="Arial" w:eastAsia="Arial" w:hAnsi="Arial" w:cs="Arial"/>
          <w:i/>
          <w:sz w:val="24"/>
        </w:rPr>
        <w:t>optar, en lugar de intentar legalizar y consolidar construcciones preexistentes, ya que las mismas carecen (tal como se indica en los datos de partida) tanto de Autorización (vía) como de títulos de propiedad (viviendas).</w:t>
      </w:r>
      <w:r>
        <w:rPr>
          <w:rFonts w:ascii="Times New Roman" w:eastAsia="Times New Roman" w:hAnsi="Times New Roman" w:cs="Times New Roman"/>
          <w:sz w:val="24"/>
        </w:rPr>
        <w:t xml:space="preserve"> </w:t>
      </w:r>
    </w:p>
    <w:p w:rsidR="00FF384B" w:rsidRDefault="003E3BA9">
      <w:pPr>
        <w:spacing w:after="111" w:line="249" w:lineRule="auto"/>
        <w:ind w:left="437" w:hanging="10"/>
        <w:jc w:val="both"/>
      </w:pPr>
      <w:r>
        <w:rPr>
          <w:rFonts w:ascii="Arial" w:eastAsia="Arial" w:hAnsi="Arial" w:cs="Arial"/>
          <w:b/>
        </w:rPr>
        <w:t xml:space="preserve">-Consta también igualmente </w:t>
      </w:r>
      <w:r>
        <w:rPr>
          <w:rFonts w:ascii="Arial" w:eastAsia="Arial" w:hAnsi="Arial" w:cs="Arial"/>
          <w:b/>
          <w:u w:val="single" w:color="000000"/>
        </w:rPr>
        <w:t>el inf</w:t>
      </w:r>
      <w:r>
        <w:rPr>
          <w:rFonts w:ascii="Arial" w:eastAsia="Arial" w:hAnsi="Arial" w:cs="Arial"/>
          <w:b/>
          <w:u w:val="single" w:color="000000"/>
        </w:rPr>
        <w:t xml:space="preserve">orme del Arquitecto Técnico de fecha 28 de abril de 2021 </w:t>
      </w:r>
      <w:r>
        <w:rPr>
          <w:rFonts w:ascii="Arial" w:eastAsia="Arial" w:hAnsi="Arial" w:cs="Arial"/>
          <w:b/>
        </w:rPr>
        <w:t xml:space="preserve">en el que se establece como actualmente está clasificado el suelo en el zona objeto de esta moción </w:t>
      </w:r>
      <w:r>
        <w:rPr>
          <w:rFonts w:ascii="Arial" w:eastAsia="Arial" w:hAnsi="Arial" w:cs="Arial"/>
          <w:b/>
          <w:u w:val="single" w:color="000000"/>
        </w:rPr>
        <w:t>que es suelo rústico de protección costera y por tanto esta clasificación es conforme</w:t>
      </w:r>
      <w:r>
        <w:rPr>
          <w:rFonts w:ascii="Arial" w:eastAsia="Arial" w:hAnsi="Arial" w:cs="Arial"/>
          <w:b/>
        </w:rPr>
        <w:t xml:space="preserve"> </w:t>
      </w:r>
      <w:r>
        <w:rPr>
          <w:rFonts w:ascii="Arial" w:eastAsia="Arial" w:hAnsi="Arial" w:cs="Arial"/>
          <w:b/>
          <w:u w:val="single" w:color="000000"/>
        </w:rPr>
        <w:t>con su carácte</w:t>
      </w:r>
      <w:r>
        <w:rPr>
          <w:rFonts w:ascii="Arial" w:eastAsia="Arial" w:hAnsi="Arial" w:cs="Arial"/>
          <w:b/>
          <w:u w:val="single" w:color="000000"/>
        </w:rPr>
        <w:t>r necesario para el dominio público porque es para la protección del mismo</w:t>
      </w:r>
      <w:r>
        <w:rPr>
          <w:rFonts w:ascii="Arial" w:eastAsia="Arial" w:hAnsi="Arial" w:cs="Arial"/>
          <w:b/>
        </w:rPr>
        <w:t xml:space="preserve"> y en el caso de que se declarará de innecesario para el dominio público </w:t>
      </w:r>
      <w:r>
        <w:rPr>
          <w:rFonts w:ascii="Arial" w:eastAsia="Arial" w:hAnsi="Arial" w:cs="Arial"/>
          <w:b/>
          <w:u w:val="single" w:color="000000"/>
        </w:rPr>
        <w:t>sería contradecir al Plan General de Ordenación (BOP 17 de mayo de 2007) ya que lo que es necesario para el</w:t>
      </w:r>
      <w:r>
        <w:rPr>
          <w:rFonts w:ascii="Arial" w:eastAsia="Arial" w:hAnsi="Arial" w:cs="Arial"/>
          <w:b/>
        </w:rPr>
        <w:t xml:space="preserve"> </w:t>
      </w:r>
      <w:r>
        <w:rPr>
          <w:rFonts w:ascii="Arial" w:eastAsia="Arial" w:hAnsi="Arial" w:cs="Arial"/>
          <w:b/>
          <w:u w:val="single" w:color="000000"/>
        </w:rPr>
        <w:t>d</w:t>
      </w:r>
      <w:r>
        <w:rPr>
          <w:rFonts w:ascii="Arial" w:eastAsia="Arial" w:hAnsi="Arial" w:cs="Arial"/>
          <w:b/>
          <w:u w:val="single" w:color="000000"/>
        </w:rPr>
        <w:t>ominio público marítimo-terrestre y para la protección del mismo no puede declararse innecesario para el mismo.</w:t>
      </w:r>
      <w:r>
        <w:rPr>
          <w:rFonts w:ascii="Arial" w:eastAsia="Arial" w:hAnsi="Arial" w:cs="Arial"/>
        </w:rPr>
        <w:t xml:space="preserve"> </w:t>
      </w:r>
    </w:p>
    <w:p w:rsidR="00FF384B" w:rsidRDefault="003E3BA9">
      <w:pPr>
        <w:spacing w:after="98"/>
        <w:ind w:left="3264"/>
      </w:pPr>
      <w:r>
        <w:rPr>
          <w:rFonts w:ascii="Arial" w:eastAsia="Arial" w:hAnsi="Arial" w:cs="Arial"/>
          <w:b/>
        </w:rPr>
        <w:t xml:space="preserve"> </w:t>
      </w:r>
    </w:p>
    <w:p w:rsidR="00FF384B" w:rsidRDefault="003E3BA9">
      <w:pPr>
        <w:spacing w:after="100"/>
        <w:ind w:left="3264"/>
      </w:pPr>
      <w:r>
        <w:rPr>
          <w:rFonts w:ascii="Arial" w:eastAsia="Arial" w:hAnsi="Arial" w:cs="Arial"/>
          <w:b/>
        </w:rPr>
        <w:t xml:space="preserve"> </w:t>
      </w:r>
    </w:p>
    <w:p w:rsidR="00FF384B" w:rsidRDefault="003E3BA9">
      <w:pPr>
        <w:spacing w:after="98"/>
        <w:ind w:left="3264"/>
      </w:pPr>
      <w:r>
        <w:rPr>
          <w:rFonts w:ascii="Arial" w:eastAsia="Arial" w:hAnsi="Arial" w:cs="Arial"/>
          <w:b/>
        </w:rPr>
        <w:t xml:space="preserve"> </w:t>
      </w:r>
    </w:p>
    <w:p w:rsidR="00FF384B" w:rsidRDefault="003E3BA9">
      <w:pPr>
        <w:spacing w:after="111" w:line="247" w:lineRule="auto"/>
        <w:ind w:left="5387" w:hanging="3"/>
        <w:jc w:val="both"/>
      </w:pPr>
      <w:r>
        <w:rPr>
          <w:rFonts w:ascii="Arial" w:eastAsia="Arial" w:hAnsi="Arial" w:cs="Arial"/>
          <w:b/>
        </w:rPr>
        <w:t xml:space="preserve">PROPUESTA DE ACUERDO: </w:t>
      </w:r>
    </w:p>
    <w:p w:rsidR="00FF384B" w:rsidRDefault="003E3BA9">
      <w:pPr>
        <w:spacing w:after="111" w:line="247" w:lineRule="auto"/>
        <w:ind w:left="412" w:firstLine="708"/>
        <w:jc w:val="both"/>
      </w:pPr>
      <w:r>
        <w:rPr>
          <w:noProof/>
        </w:rPr>
        <mc:AlternateContent>
          <mc:Choice Requires="wpg">
            <w:drawing>
              <wp:anchor distT="0" distB="0" distL="114300" distR="114300" simplePos="0" relativeHeight="252002304" behindDoc="1" locked="0" layoutInCell="1" allowOverlap="1">
                <wp:simplePos x="0" y="0"/>
                <wp:positionH relativeFrom="column">
                  <wp:posOffset>6952743</wp:posOffset>
                </wp:positionH>
                <wp:positionV relativeFrom="paragraph">
                  <wp:posOffset>-127745</wp:posOffset>
                </wp:positionV>
                <wp:extent cx="524148" cy="3797300"/>
                <wp:effectExtent l="0" t="0" r="0" b="0"/>
                <wp:wrapNone/>
                <wp:docPr id="512964" name="Group 51296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195" name="Picture 58195"/>
                          <pic:cNvPicPr/>
                        </pic:nvPicPr>
                        <pic:blipFill>
                          <a:blip r:embed="rId62"/>
                          <a:stretch>
                            <a:fillRect/>
                          </a:stretch>
                        </pic:blipFill>
                        <pic:spPr>
                          <a:xfrm rot="-5399999">
                            <a:off x="-1720849" y="1720850"/>
                            <a:ext cx="3797299" cy="355600"/>
                          </a:xfrm>
                          <a:prstGeom prst="rect">
                            <a:avLst/>
                          </a:prstGeom>
                        </pic:spPr>
                      </pic:pic>
                      <wps:wsp>
                        <wps:cNvPr id="58196" name="Rectangle 5819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197" name="Rectangle 5819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339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2964" style="width:41.2715pt;height:299pt;position:absolute;z-index:-2147483553;mso-position-horizontal-relative:text;mso-position-horizontal:absolute;margin-left:547.46pt;mso-position-vertical-relative:text;margin-top:-10.0588pt;" coordsize="5241,37973">
                <v:shape id="Picture 58195" style="position:absolute;width:37972;height:3556;left:-17208;top:17208;rotation:-89;" filled="f">
                  <v:imagedata r:id="rId63"/>
                </v:shape>
                <v:rect id="Rectangle 5819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19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339 de 353 </w:t>
                        </w:r>
                      </w:p>
                    </w:txbxContent>
                  </v:textbox>
                </v:rect>
              </v:group>
            </w:pict>
          </mc:Fallback>
        </mc:AlternateContent>
      </w:r>
      <w:r>
        <w:rPr>
          <w:rFonts w:ascii="Arial" w:eastAsia="Arial" w:hAnsi="Arial" w:cs="Arial"/>
          <w:b/>
        </w:rPr>
        <w:t xml:space="preserve">Desestimar la moción del Grupo Mixto por RE (2021-E-RE-1259) de 18 de abril de 2021 para la reiteración de la Moción del expediente de desafectación de terrenos </w:t>
      </w:r>
      <w:r>
        <w:rPr>
          <w:rFonts w:ascii="Arial" w:eastAsia="Arial" w:hAnsi="Arial" w:cs="Arial"/>
          <w:b/>
        </w:rPr>
        <w:t>innecesarios para el dominio público marítimo terrestre en el litoral de Candelaria (Pleno 24-9-2020), por los fundamentos formales (Competencia exclusiva y excluyente del titular del dominio público marítimo-terrestre que el Estado y no este municipio), s</w:t>
      </w:r>
      <w:r>
        <w:rPr>
          <w:rFonts w:ascii="Arial" w:eastAsia="Arial" w:hAnsi="Arial" w:cs="Arial"/>
          <w:b/>
        </w:rPr>
        <w:t xml:space="preserve">ustanciales ( informe del Ingeniero de fecha 27 de abril de 2021) y urbanísticos (informe del Arquitecto Técnico de fecha 28 de abril que establece que el bien es suelo rústico de protección costera y por tanto para proteger el dominio público y por tanto </w:t>
      </w:r>
      <w:r>
        <w:rPr>
          <w:rFonts w:ascii="Arial" w:eastAsia="Arial" w:hAnsi="Arial" w:cs="Arial"/>
          <w:b/>
        </w:rPr>
        <w:t>es necesario para el mismo por lo que no se puede declarar innecesario y además no admite el uso residencial) que se motivan en el presente informe.”</w:t>
      </w: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DICTAMEN DE LA COMISIÓN INFORMATIVA DE P.G. URBANÍSTICA Y AMBIENTAL, OBRAS y SERVICIOS PÚBLICOS DE 26 DE </w:t>
      </w:r>
      <w:r>
        <w:rPr>
          <w:rFonts w:ascii="Arial" w:eastAsia="Arial" w:hAnsi="Arial" w:cs="Arial"/>
          <w:b/>
        </w:rPr>
        <w:t xml:space="preserve">ABRIL DE </w:t>
      </w:r>
    </w:p>
    <w:p w:rsidR="00FF384B" w:rsidRDefault="003E3BA9">
      <w:pPr>
        <w:spacing w:after="111" w:line="247" w:lineRule="auto"/>
        <w:ind w:left="415" w:hanging="3"/>
        <w:jc w:val="both"/>
      </w:pPr>
      <w:r>
        <w:rPr>
          <w:rFonts w:ascii="Arial" w:eastAsia="Arial" w:hAnsi="Arial" w:cs="Arial"/>
          <w:b/>
        </w:rPr>
        <w:t xml:space="preserve">2021. </w:t>
      </w:r>
      <w:r>
        <w:rPr>
          <w:rFonts w:ascii="Arial" w:eastAsia="Arial" w:hAnsi="Arial" w:cs="Arial"/>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El asunto quedó sobre la mesa sin dictaminar a la espera de la emisión de los informes técnicos y jurídicos.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JUNTA DE PORTAVOCES DE 26 DE ABRIL DE 2021.  </w:t>
      </w:r>
    </w:p>
    <w:p w:rsidR="00FF384B" w:rsidRDefault="003E3BA9">
      <w:pPr>
        <w:spacing w:after="5" w:line="247" w:lineRule="auto"/>
        <w:ind w:left="437" w:right="244" w:hanging="10"/>
        <w:jc w:val="both"/>
      </w:pPr>
      <w:r>
        <w:rPr>
          <w:rFonts w:ascii="Arial" w:eastAsia="Arial" w:hAnsi="Arial" w:cs="Arial"/>
        </w:rPr>
        <w:t xml:space="preserve">Quedó oída.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Se ratificó su inclusión en el orden del día por la unanimidad de los 16 concejales presentes una vez que ya estaban incluidos los informes y al tratarse de una moción que databa desde marzo de 2020 que fue incluida en el pleno del mes de septiembre de 202</w:t>
      </w:r>
      <w:r>
        <w:rPr>
          <w:rFonts w:ascii="Arial" w:eastAsia="Arial" w:hAnsi="Arial" w:cs="Arial"/>
          <w:b/>
        </w:rPr>
        <w:t xml:space="preserve">0 quedando sobre la mesa por la falta de informes.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VOTACIÓN EN EL PLENO DE 29 DE ABRIL DE 2021.  </w:t>
      </w:r>
    </w:p>
    <w:p w:rsidR="00FF384B" w:rsidRDefault="003E3BA9">
      <w:pPr>
        <w:spacing w:after="0"/>
        <w:ind w:left="427"/>
      </w:pPr>
      <w:r>
        <w:rPr>
          <w:rFonts w:ascii="Arial" w:eastAsia="Arial" w:hAnsi="Arial" w:cs="Arial"/>
          <w:b/>
        </w:rPr>
        <w:t xml:space="preserve"> </w:t>
      </w:r>
    </w:p>
    <w:p w:rsidR="00FF384B" w:rsidRDefault="003E3BA9">
      <w:pPr>
        <w:spacing w:after="5" w:line="247" w:lineRule="auto"/>
        <w:ind w:left="437" w:right="244" w:hanging="10"/>
        <w:jc w:val="both"/>
      </w:pPr>
      <w:r>
        <w:rPr>
          <w:rFonts w:ascii="Arial" w:eastAsia="Arial" w:hAnsi="Arial" w:cs="Arial"/>
        </w:rPr>
        <w:t xml:space="preserve">Votos a favor: 4. </w:t>
      </w:r>
    </w:p>
    <w:p w:rsidR="00FF384B" w:rsidRDefault="003E3BA9">
      <w:pPr>
        <w:spacing w:after="109" w:line="247" w:lineRule="auto"/>
        <w:ind w:left="437" w:right="244" w:hanging="10"/>
        <w:jc w:val="both"/>
      </w:pPr>
      <w:r>
        <w:rPr>
          <w:rFonts w:ascii="Arial" w:eastAsia="Arial" w:hAnsi="Arial" w:cs="Arial"/>
        </w:rPr>
        <w:t xml:space="preserve">2 concejales del Grupo Mixto (SSP): Don Antonio Delgado García y Lourdes del Carmen Mondéjar Rondón. </w:t>
      </w:r>
    </w:p>
    <w:p w:rsidR="00FF384B" w:rsidRDefault="003E3BA9">
      <w:pPr>
        <w:spacing w:after="109" w:line="247" w:lineRule="auto"/>
        <w:ind w:left="437" w:right="244" w:hanging="10"/>
        <w:jc w:val="both"/>
      </w:pPr>
      <w:r>
        <w:rPr>
          <w:rFonts w:ascii="Arial" w:eastAsia="Arial" w:hAnsi="Arial" w:cs="Arial"/>
        </w:rPr>
        <w:t xml:space="preserve">1 de la concejal del Grupo Mixto: Doña Ángela Cruz Perera (CC-PNC). </w:t>
      </w:r>
    </w:p>
    <w:p w:rsidR="00FF384B" w:rsidRDefault="003E3BA9">
      <w:pPr>
        <w:spacing w:after="112" w:line="247" w:lineRule="auto"/>
        <w:ind w:left="437" w:right="244" w:hanging="10"/>
        <w:jc w:val="both"/>
      </w:pPr>
      <w:r>
        <w:rPr>
          <w:rFonts w:ascii="Arial" w:eastAsia="Arial" w:hAnsi="Arial" w:cs="Arial"/>
        </w:rPr>
        <w:t xml:space="preserve">1 del concejal del Grupo Mixto (VxC): Don José Fernando Gómez Martín.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Votos en contra: 11. </w:t>
      </w:r>
    </w:p>
    <w:p w:rsidR="00FF384B" w:rsidRDefault="003E3BA9">
      <w:pPr>
        <w:spacing w:after="114" w:line="247" w:lineRule="auto"/>
        <w:ind w:left="437" w:right="10" w:hanging="10"/>
        <w:jc w:val="both"/>
      </w:pPr>
      <w:r>
        <w:rPr>
          <w:rFonts w:ascii="Arial" w:eastAsia="Arial" w:hAnsi="Arial" w:cs="Arial"/>
        </w:rPr>
        <w:t>11 concejales del Grupo Socialista: Doña María Concepción Brito Núñez, Don Jorge Baute Delga</w:t>
      </w:r>
      <w:r>
        <w:rPr>
          <w:rFonts w:ascii="Arial" w:eastAsia="Arial" w:hAnsi="Arial" w:cs="Arial"/>
        </w:rPr>
        <w:t>do, Doña Olivia Concepción Pérez Díaz, Don José Francisco Pinto Ramos, Doña Hilaria Cecilia Otazo González, Don Airam Pérez Chinea, Doña Margarita Eva Tendero Barroso, Don Manuel Alberto González Pestano, Doña María del Carmen Clemente Díaz, Don Olegario F</w:t>
      </w:r>
      <w:r>
        <w:rPr>
          <w:rFonts w:ascii="Arial" w:eastAsia="Arial" w:hAnsi="Arial" w:cs="Arial"/>
        </w:rPr>
        <w:t xml:space="preserve">rancisco Alonso Bello y Don Reinaldo José Triviño Blanco.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 xml:space="preserve">Abstenciones: 1. </w:t>
      </w:r>
    </w:p>
    <w:p w:rsidR="00FF384B" w:rsidRDefault="003E3BA9">
      <w:pPr>
        <w:spacing w:after="5" w:line="247" w:lineRule="auto"/>
        <w:ind w:left="437" w:right="244" w:hanging="10"/>
        <w:jc w:val="both"/>
      </w:pPr>
      <w:r>
        <w:rPr>
          <w:rFonts w:ascii="Arial" w:eastAsia="Arial" w:hAnsi="Arial" w:cs="Arial"/>
        </w:rPr>
        <w:t xml:space="preserve">1 de la  concejal del Grupo Popular, Doña Raquel Martín Castro.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2557" w:hanging="3"/>
        <w:jc w:val="both"/>
      </w:pPr>
      <w:r>
        <w:rPr>
          <w:rFonts w:ascii="Arial" w:eastAsia="Arial" w:hAnsi="Arial" w:cs="Arial"/>
          <w:b/>
        </w:rPr>
        <w:t xml:space="preserve">ACUERDO DEL PLENO DE 29 DE ABRIL DE 2021. </w:t>
      </w:r>
    </w:p>
    <w:p w:rsidR="00FF384B" w:rsidRDefault="003E3BA9">
      <w:pPr>
        <w:spacing w:after="0"/>
        <w:ind w:left="427"/>
      </w:pPr>
      <w:r>
        <w:rPr>
          <w:rFonts w:ascii="Arial" w:eastAsia="Arial" w:hAnsi="Arial" w:cs="Arial"/>
          <w:b/>
        </w:rPr>
        <w:t xml:space="preserve">  </w:t>
      </w:r>
    </w:p>
    <w:p w:rsidR="00FF384B" w:rsidRDefault="003E3BA9">
      <w:pPr>
        <w:spacing w:after="133" w:line="247" w:lineRule="auto"/>
        <w:ind w:left="412" w:firstLine="708"/>
        <w:jc w:val="both"/>
      </w:pPr>
      <w:r>
        <w:rPr>
          <w:noProof/>
        </w:rPr>
        <mc:AlternateContent>
          <mc:Choice Requires="wpg">
            <w:drawing>
              <wp:anchor distT="0" distB="0" distL="114300" distR="114300" simplePos="0" relativeHeight="252003328" behindDoc="1" locked="0" layoutInCell="1" allowOverlap="1">
                <wp:simplePos x="0" y="0"/>
                <wp:positionH relativeFrom="column">
                  <wp:posOffset>6952743</wp:posOffset>
                </wp:positionH>
                <wp:positionV relativeFrom="paragraph">
                  <wp:posOffset>-1292336</wp:posOffset>
                </wp:positionV>
                <wp:extent cx="524148" cy="3797300"/>
                <wp:effectExtent l="0" t="0" r="0" b="0"/>
                <wp:wrapNone/>
                <wp:docPr id="513170" name="Group 51317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298" name="Picture 58298"/>
                          <pic:cNvPicPr/>
                        </pic:nvPicPr>
                        <pic:blipFill>
                          <a:blip r:embed="rId62"/>
                          <a:stretch>
                            <a:fillRect/>
                          </a:stretch>
                        </pic:blipFill>
                        <pic:spPr>
                          <a:xfrm rot="-5399999">
                            <a:off x="-1720849" y="1720850"/>
                            <a:ext cx="3797299" cy="355600"/>
                          </a:xfrm>
                          <a:prstGeom prst="rect">
                            <a:avLst/>
                          </a:prstGeom>
                        </pic:spPr>
                      </pic:pic>
                      <wps:wsp>
                        <wps:cNvPr id="58299" name="Rectangle 5829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300" name="Rectangle 5830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170" style="width:41.2715pt;height:299pt;position:absolute;z-index:-2147483560;mso-position-horizontal-relative:text;mso-position-horizontal:absolute;margin-left:547.46pt;mso-position-vertical-relative:text;margin-top:-101.759pt;" coordsize="5241,37973">
                <v:shape id="Picture 58298" style="position:absolute;width:37972;height:3556;left:-17208;top:17208;rotation:-89;" filled="f">
                  <v:imagedata r:id="rId63"/>
                </v:shape>
                <v:rect id="Rectangle 5829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30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340 de 353 </w:t>
                        </w:r>
                      </w:p>
                    </w:txbxContent>
                  </v:textbox>
                </v:rect>
              </v:group>
            </w:pict>
          </mc:Fallback>
        </mc:AlternateContent>
      </w:r>
      <w:r>
        <w:rPr>
          <w:rFonts w:ascii="Arial" w:eastAsia="Arial" w:hAnsi="Arial" w:cs="Arial"/>
          <w:b/>
        </w:rPr>
        <w:t xml:space="preserve">Desestimar la moción del Grupo Mixto por RE (2021-E-RE-1259) </w:t>
      </w:r>
      <w:r>
        <w:rPr>
          <w:rFonts w:ascii="Arial" w:eastAsia="Arial" w:hAnsi="Arial" w:cs="Arial"/>
          <w:b/>
        </w:rPr>
        <w:t>de 18 de abril de 2021 para la reiteración de la Moción del expediente de desafectación de terrenos innecesarios para el dominio público marítimo terrestre en el litoral de Candelaria (Pleno 24-9-2020), por los fundamentos formales (Competencia exclusiva y</w:t>
      </w:r>
      <w:r>
        <w:rPr>
          <w:rFonts w:ascii="Arial" w:eastAsia="Arial" w:hAnsi="Arial" w:cs="Arial"/>
          <w:b/>
        </w:rPr>
        <w:t xml:space="preserve"> excluyente del titular del dominio público marítimo-terrestre que el Estado y no este municipio), sustanciales ( informe del Ingeniero de fecha 27 de abril de 2021) y urbanísticos (informe del Arquitecto Técnico de fecha 28 de abril que establece que el b</w:t>
      </w:r>
      <w:r>
        <w:rPr>
          <w:rFonts w:ascii="Arial" w:eastAsia="Arial" w:hAnsi="Arial" w:cs="Arial"/>
          <w:b/>
        </w:rPr>
        <w:t>ien es suelo rústico de protección costera y por tanto para proteger el dominio público y por tanto es necesario para el mismo por lo que no se puede declarar innecesario y además no admite el uso residencial) que se motivan en el presente informe.</w:t>
      </w:r>
      <w:r>
        <w:rPr>
          <w:rFonts w:ascii="Arial" w:eastAsia="Arial" w:hAnsi="Arial" w:cs="Arial"/>
        </w:rPr>
        <w:t xml:space="preserve"> </w:t>
      </w:r>
    </w:p>
    <w:p w:rsidR="00FF384B" w:rsidRDefault="003E3BA9">
      <w:pPr>
        <w:spacing w:after="99"/>
        <w:ind w:left="427"/>
      </w:pPr>
      <w:r>
        <w:rPr>
          <w:rFonts w:ascii="Arial" w:eastAsia="Arial" w:hAnsi="Arial" w:cs="Arial"/>
          <w:b/>
          <w:sz w:val="24"/>
        </w:rPr>
        <w:t xml:space="preserve"> </w:t>
      </w:r>
    </w:p>
    <w:p w:rsidR="00FF384B" w:rsidRDefault="003E3BA9">
      <w:pPr>
        <w:spacing w:after="95"/>
        <w:ind w:left="427"/>
      </w:pPr>
      <w:r>
        <w:rPr>
          <w:rFonts w:ascii="Arial" w:eastAsia="Arial" w:hAnsi="Arial" w:cs="Arial"/>
          <w:b/>
          <w:sz w:val="24"/>
        </w:rPr>
        <w:t xml:space="preserve"> </w:t>
      </w:r>
    </w:p>
    <w:p w:rsidR="00FF384B" w:rsidRDefault="003E3BA9">
      <w:pPr>
        <w:spacing w:after="0"/>
        <w:ind w:left="427"/>
      </w:pPr>
      <w:r>
        <w:rPr>
          <w:rFonts w:ascii="Arial" w:eastAsia="Arial" w:hAnsi="Arial" w:cs="Arial"/>
          <w:b/>
          <w:sz w:val="24"/>
        </w:rPr>
        <w:t xml:space="preserve"> </w:t>
      </w:r>
    </w:p>
    <w:p w:rsidR="00FF384B" w:rsidRDefault="003E3BA9">
      <w:pPr>
        <w:spacing w:after="98"/>
        <w:ind w:left="427"/>
      </w:pPr>
      <w:r>
        <w:rPr>
          <w:rFonts w:ascii="Arial" w:eastAsia="Arial" w:hAnsi="Arial" w:cs="Arial"/>
          <w:b/>
          <w:sz w:val="24"/>
        </w:rPr>
        <w:t xml:space="preserve"> </w:t>
      </w:r>
    </w:p>
    <w:p w:rsidR="00FF384B" w:rsidRDefault="003E3BA9">
      <w:pPr>
        <w:spacing w:after="98"/>
        <w:ind w:left="427"/>
      </w:pPr>
      <w:r>
        <w:rPr>
          <w:rFonts w:ascii="Arial" w:eastAsia="Arial" w:hAnsi="Arial" w:cs="Arial"/>
          <w:b/>
          <w:sz w:val="24"/>
        </w:rPr>
        <w:t xml:space="preserve"> </w:t>
      </w:r>
    </w:p>
    <w:p w:rsidR="00FF384B" w:rsidRDefault="003E3BA9">
      <w:pPr>
        <w:spacing w:after="102" w:line="240" w:lineRule="auto"/>
        <w:ind w:left="422" w:right="-3" w:hanging="10"/>
        <w:jc w:val="both"/>
      </w:pPr>
      <w:r>
        <w:rPr>
          <w:rFonts w:ascii="Arial" w:eastAsia="Arial" w:hAnsi="Arial" w:cs="Arial"/>
          <w:b/>
          <w:sz w:val="24"/>
        </w:rPr>
        <w:t>13.-</w:t>
      </w:r>
      <w:r>
        <w:rPr>
          <w:rFonts w:ascii="Arial" w:eastAsia="Arial" w:hAnsi="Arial" w:cs="Arial"/>
          <w:sz w:val="24"/>
        </w:rPr>
        <w:t xml:space="preserve"> </w:t>
      </w:r>
      <w:r>
        <w:rPr>
          <w:rFonts w:ascii="Arial" w:eastAsia="Arial" w:hAnsi="Arial" w:cs="Arial"/>
          <w:b/>
          <w:sz w:val="24"/>
        </w:rPr>
        <w:t>Expediente 3468/2021. Toma de conocimiento de la renuncia a la condición de concejal de Don José Fernando Gómez Martín por registro de entrada de 19 de abril de 2021 y posteriores renuncias de los candidatos 2,3,4 y 5 de la lista electoral de "Vec</w:t>
      </w:r>
      <w:r>
        <w:rPr>
          <w:rFonts w:ascii="Arial" w:eastAsia="Arial" w:hAnsi="Arial" w:cs="Arial"/>
          <w:b/>
          <w:sz w:val="24"/>
        </w:rPr>
        <w:t>inos por Candelaria" por registro de entrada de 20 y 21 de abril de 2021.</w:t>
      </w:r>
      <w:r>
        <w:rPr>
          <w:rFonts w:ascii="Arial" w:eastAsia="Arial" w:hAnsi="Arial" w:cs="Arial"/>
        </w:rPr>
        <w:t xml:space="preserve"> </w:t>
      </w:r>
    </w:p>
    <w:p w:rsidR="00FF384B" w:rsidRDefault="003E3BA9">
      <w:pPr>
        <w:spacing w:after="98"/>
        <w:ind w:left="427"/>
      </w:pPr>
      <w:r>
        <w:rPr>
          <w:rFonts w:ascii="Arial" w:eastAsia="Arial" w:hAnsi="Arial" w:cs="Arial"/>
          <w:b/>
        </w:rPr>
        <w:t xml:space="preserve"> </w:t>
      </w:r>
    </w:p>
    <w:p w:rsidR="00FF384B" w:rsidRDefault="003E3BA9">
      <w:pPr>
        <w:spacing w:after="111" w:line="247" w:lineRule="auto"/>
        <w:ind w:left="415" w:hanging="3"/>
        <w:jc w:val="both"/>
      </w:pPr>
      <w:r>
        <w:rPr>
          <w:rFonts w:ascii="Arial" w:eastAsia="Arial" w:hAnsi="Arial" w:cs="Arial"/>
          <w:b/>
        </w:rPr>
        <w:t xml:space="preserve">Consta en el expediente informe jurídico emitido por D. Octavio Manuel Fernández Hernández, que desempeña el puesto de trabajo de Secretario General, de 21 de abril de 2021, </w:t>
      </w:r>
      <w:r>
        <w:rPr>
          <w:rFonts w:ascii="Arial" w:eastAsia="Arial" w:hAnsi="Arial" w:cs="Arial"/>
          <w:b/>
        </w:rPr>
        <w:t>del siguiente tenor literal:</w:t>
      </w:r>
      <w:r>
        <w:rPr>
          <w:rFonts w:ascii="Arial" w:eastAsia="Arial" w:hAnsi="Arial" w:cs="Arial"/>
        </w:rPr>
        <w:t xml:space="preserve"> </w:t>
      </w:r>
    </w:p>
    <w:p w:rsidR="00FF384B" w:rsidRDefault="003E3BA9">
      <w:pPr>
        <w:spacing w:after="98"/>
        <w:ind w:left="427"/>
      </w:pPr>
      <w:r>
        <w:rPr>
          <w:rFonts w:ascii="Arial" w:eastAsia="Arial" w:hAnsi="Arial" w:cs="Arial"/>
          <w:b/>
        </w:rPr>
        <w:t xml:space="preserve"> </w:t>
      </w:r>
    </w:p>
    <w:p w:rsidR="00FF384B" w:rsidRDefault="003E3BA9">
      <w:pPr>
        <w:spacing w:after="110"/>
        <w:ind w:left="427"/>
      </w:pPr>
      <w:r>
        <w:rPr>
          <w:rFonts w:ascii="Arial" w:eastAsia="Arial" w:hAnsi="Arial" w:cs="Arial"/>
          <w:b/>
        </w:rPr>
        <w:t xml:space="preserve"> </w:t>
      </w:r>
    </w:p>
    <w:p w:rsidR="00FF384B" w:rsidRDefault="003E3BA9">
      <w:pPr>
        <w:pStyle w:val="Ttulo3"/>
        <w:shd w:val="clear" w:color="auto" w:fill="auto"/>
        <w:spacing w:after="104" w:line="253" w:lineRule="auto"/>
        <w:ind w:left="767" w:right="0"/>
      </w:pPr>
      <w:r>
        <w:rPr>
          <w:i w:val="0"/>
        </w:rPr>
        <w:t xml:space="preserve">  “INFORME DE SECRETARÍA GENERAL       </w:t>
      </w:r>
    </w:p>
    <w:p w:rsidR="00FF384B" w:rsidRDefault="003E3BA9">
      <w:pPr>
        <w:spacing w:after="100"/>
        <w:ind w:left="1245"/>
        <w:jc w:val="center"/>
      </w:pPr>
      <w:r>
        <w:rPr>
          <w:rFonts w:ascii="Arial" w:eastAsia="Arial" w:hAnsi="Arial" w:cs="Arial"/>
          <w:b/>
        </w:rPr>
        <w:t xml:space="preserve">                    </w:t>
      </w:r>
      <w:r>
        <w:rPr>
          <w:rFonts w:ascii="Arial" w:eastAsia="Arial" w:hAnsi="Arial" w:cs="Arial"/>
        </w:rPr>
        <w:t xml:space="preserve"> </w:t>
      </w:r>
    </w:p>
    <w:p w:rsidR="00FF384B" w:rsidRDefault="003E3BA9">
      <w:pPr>
        <w:spacing w:after="111" w:line="247" w:lineRule="auto"/>
        <w:ind w:left="1139" w:hanging="3"/>
        <w:jc w:val="both"/>
      </w:pPr>
      <w:r>
        <w:rPr>
          <w:rFonts w:ascii="Arial" w:eastAsia="Arial" w:hAnsi="Arial" w:cs="Arial"/>
          <w:b/>
        </w:rPr>
        <w:t xml:space="preserve">Visto el expediente antedicho se emite el siguiente informe jurídico: </w:t>
      </w:r>
    </w:p>
    <w:p w:rsidR="00FF384B" w:rsidRDefault="003E3BA9">
      <w:pPr>
        <w:spacing w:after="98"/>
        <w:ind w:left="1136"/>
      </w:pPr>
      <w:r>
        <w:rPr>
          <w:rFonts w:ascii="Arial" w:eastAsia="Arial" w:hAnsi="Arial" w:cs="Arial"/>
        </w:rPr>
        <w:t xml:space="preserve"> </w:t>
      </w:r>
    </w:p>
    <w:p w:rsidR="00FF384B" w:rsidRDefault="003E3BA9">
      <w:pPr>
        <w:spacing w:after="109" w:line="247" w:lineRule="auto"/>
        <w:ind w:left="2557" w:hanging="3"/>
        <w:jc w:val="both"/>
      </w:pPr>
      <w:r>
        <w:rPr>
          <w:rFonts w:ascii="Arial" w:eastAsia="Arial" w:hAnsi="Arial" w:cs="Arial"/>
        </w:rPr>
        <w:t xml:space="preserve">                   </w:t>
      </w:r>
      <w:r>
        <w:rPr>
          <w:rFonts w:ascii="Arial" w:eastAsia="Arial" w:hAnsi="Arial" w:cs="Arial"/>
          <w:b/>
        </w:rPr>
        <w:t>ANTECEDENTES DE HECHO</w:t>
      </w:r>
      <w:r>
        <w:rPr>
          <w:rFonts w:ascii="Arial" w:eastAsia="Arial" w:hAnsi="Arial" w:cs="Arial"/>
        </w:rPr>
        <w:t xml:space="preserve"> </w:t>
      </w:r>
    </w:p>
    <w:p w:rsidR="00FF384B" w:rsidRDefault="003E3BA9">
      <w:pPr>
        <w:spacing w:after="25" w:line="247" w:lineRule="auto"/>
        <w:ind w:left="1146" w:hanging="10"/>
        <w:jc w:val="both"/>
      </w:pPr>
      <w:r>
        <w:rPr>
          <w:rFonts w:ascii="Arial" w:eastAsia="Arial" w:hAnsi="Arial" w:cs="Arial"/>
          <w:b/>
        </w:rPr>
        <w:t>Primero. -</w:t>
      </w:r>
      <w:r>
        <w:rPr>
          <w:rFonts w:ascii="Arial" w:eastAsia="Arial" w:hAnsi="Arial" w:cs="Arial"/>
        </w:rPr>
        <w:t xml:space="preserve"> </w:t>
      </w:r>
      <w:r>
        <w:rPr>
          <w:rFonts w:ascii="Arial" w:eastAsia="Arial" w:hAnsi="Arial" w:cs="Arial"/>
        </w:rPr>
        <w:t xml:space="preserve">Consta en el expediente instancia presentada por registro de entrada de 19 de abril de 2021 por el concejal Don José Fernando </w:t>
      </w:r>
    </w:p>
    <w:p w:rsidR="00FF384B" w:rsidRDefault="003E3BA9">
      <w:pPr>
        <w:spacing w:after="111" w:line="247" w:lineRule="auto"/>
        <w:ind w:left="437" w:hanging="10"/>
        <w:jc w:val="both"/>
      </w:pPr>
      <w:r>
        <w:rPr>
          <w:rFonts w:ascii="Arial" w:eastAsia="Arial" w:hAnsi="Arial" w:cs="Arial"/>
        </w:rPr>
        <w:t>Gómez Martín (número 1 de la lista de la candidatura de “Vecinos por Candelaria” en las elecciones de 26 de mayo de 2019 que obtu</w:t>
      </w:r>
      <w:r>
        <w:rPr>
          <w:rFonts w:ascii="Arial" w:eastAsia="Arial" w:hAnsi="Arial" w:cs="Arial"/>
        </w:rPr>
        <w:t xml:space="preserve">vo un concejal en dichas elecciones) en el que renuncia a la condición de concejal del Ayuntamiento de Candelaria  </w:t>
      </w:r>
    </w:p>
    <w:p w:rsidR="00FF384B" w:rsidRDefault="003E3BA9">
      <w:pPr>
        <w:spacing w:after="98"/>
        <w:ind w:left="1136"/>
      </w:pPr>
      <w:r>
        <w:rPr>
          <w:rFonts w:ascii="Arial" w:eastAsia="Arial" w:hAnsi="Arial" w:cs="Arial"/>
        </w:rPr>
        <w:t xml:space="preserve"> </w:t>
      </w:r>
    </w:p>
    <w:p w:rsidR="00FF384B" w:rsidRDefault="003E3BA9">
      <w:pPr>
        <w:spacing w:after="5" w:line="247" w:lineRule="auto"/>
        <w:ind w:left="1146" w:hanging="10"/>
        <w:jc w:val="both"/>
      </w:pPr>
      <w:r>
        <w:rPr>
          <w:rFonts w:ascii="Arial" w:eastAsia="Arial" w:hAnsi="Arial" w:cs="Arial"/>
          <w:b/>
        </w:rPr>
        <w:t>Segundo. -</w:t>
      </w:r>
      <w:r>
        <w:rPr>
          <w:rFonts w:ascii="Arial" w:eastAsia="Arial" w:hAnsi="Arial" w:cs="Arial"/>
        </w:rPr>
        <w:t xml:space="preserve"> Consta en el expediente instancia presentada por registro de entrada de 20 de abril de 2021 por el que la candidata Doña </w:t>
      </w:r>
    </w:p>
    <w:p w:rsidR="00FF384B" w:rsidRDefault="003E3BA9">
      <w:pPr>
        <w:spacing w:after="107" w:line="247" w:lineRule="auto"/>
        <w:ind w:left="437" w:hanging="10"/>
        <w:jc w:val="both"/>
      </w:pPr>
      <w:r>
        <w:rPr>
          <w:rFonts w:ascii="Arial" w:eastAsia="Arial" w:hAnsi="Arial" w:cs="Arial"/>
        </w:rPr>
        <w:t>Jacqu</w:t>
      </w:r>
      <w:r>
        <w:rPr>
          <w:rFonts w:ascii="Arial" w:eastAsia="Arial" w:hAnsi="Arial" w:cs="Arial"/>
        </w:rPr>
        <w:t xml:space="preserve">eline Álvarez Darias desiste del acta de Concejal del Ayuntamiento de Candelaria (candidata número 2 de la lista de “Vecinos por Candelaria”) </w:t>
      </w:r>
    </w:p>
    <w:p w:rsidR="00FF384B" w:rsidRDefault="003E3BA9">
      <w:pPr>
        <w:spacing w:after="111" w:line="247" w:lineRule="auto"/>
        <w:ind w:left="427" w:right="6" w:firstLine="708"/>
        <w:jc w:val="both"/>
      </w:pPr>
      <w:r>
        <w:rPr>
          <w:noProof/>
        </w:rPr>
        <mc:AlternateContent>
          <mc:Choice Requires="wpg">
            <w:drawing>
              <wp:anchor distT="0" distB="0" distL="114300" distR="114300" simplePos="0" relativeHeight="252004352" behindDoc="1" locked="0" layoutInCell="1" allowOverlap="1">
                <wp:simplePos x="0" y="0"/>
                <wp:positionH relativeFrom="column">
                  <wp:posOffset>6952743</wp:posOffset>
                </wp:positionH>
                <wp:positionV relativeFrom="paragraph">
                  <wp:posOffset>-2363708</wp:posOffset>
                </wp:positionV>
                <wp:extent cx="524148" cy="3797300"/>
                <wp:effectExtent l="0" t="0" r="0" b="0"/>
                <wp:wrapNone/>
                <wp:docPr id="513524" name="Group 513524"/>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428" name="Picture 58428"/>
                          <pic:cNvPicPr/>
                        </pic:nvPicPr>
                        <pic:blipFill>
                          <a:blip r:embed="rId62"/>
                          <a:stretch>
                            <a:fillRect/>
                          </a:stretch>
                        </pic:blipFill>
                        <pic:spPr>
                          <a:xfrm rot="-5399999">
                            <a:off x="-1720849" y="1720850"/>
                            <a:ext cx="3797299" cy="355600"/>
                          </a:xfrm>
                          <a:prstGeom prst="rect">
                            <a:avLst/>
                          </a:prstGeom>
                        </pic:spPr>
                      </pic:pic>
                      <wps:wsp>
                        <wps:cNvPr id="58429" name="Rectangle 5842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430" name="Rectangle 5843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524" style="width:41.2715pt;height:299pt;position:absolute;z-index:-2147483539;mso-position-horizontal-relative:text;mso-position-horizontal:absolute;margin-left:547.46pt;mso-position-vertical-relative:text;margin-top:-186.119pt;" coordsize="5241,37973">
                <v:shape id="Picture 58428" style="position:absolute;width:37972;height:3556;left:-17208;top:17208;rotation:-89;" filled="f">
                  <v:imagedata r:id="rId63"/>
                </v:shape>
                <v:rect id="Rectangle 5842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43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341 de 353 </w:t>
                        </w:r>
                      </w:p>
                    </w:txbxContent>
                  </v:textbox>
                </v:rect>
              </v:group>
            </w:pict>
          </mc:Fallback>
        </mc:AlternateContent>
      </w:r>
      <w:r>
        <w:rPr>
          <w:rFonts w:ascii="Arial" w:eastAsia="Arial" w:hAnsi="Arial" w:cs="Arial"/>
          <w:b/>
        </w:rPr>
        <w:t>Tercero. -</w:t>
      </w:r>
      <w:r>
        <w:rPr>
          <w:rFonts w:ascii="Arial" w:eastAsia="Arial" w:hAnsi="Arial" w:cs="Arial"/>
        </w:rPr>
        <w:t xml:space="preserve"> Consta en el expediente instancias presentadas por registro de entrada del día 21 de abril de 2021 en el que desisten del acta de concejal del Ayuntam</w:t>
      </w:r>
      <w:r>
        <w:rPr>
          <w:rFonts w:ascii="Arial" w:eastAsia="Arial" w:hAnsi="Arial" w:cs="Arial"/>
        </w:rPr>
        <w:t xml:space="preserve">iento de Candelaria los candidatos 3, 4 y 5 de la lista de dicha formación política: Doña María Candelaria González Alonso, Don Norberto Javier Higueras Martín y Doña María Esther Acosta Ramos. </w:t>
      </w:r>
    </w:p>
    <w:p w:rsidR="00FF384B" w:rsidRDefault="003E3BA9">
      <w:pPr>
        <w:spacing w:after="5" w:line="247" w:lineRule="auto"/>
        <w:ind w:left="1146" w:hanging="10"/>
        <w:jc w:val="both"/>
      </w:pPr>
      <w:r>
        <w:rPr>
          <w:rFonts w:ascii="Arial" w:eastAsia="Arial" w:hAnsi="Arial" w:cs="Arial"/>
          <w:b/>
        </w:rPr>
        <w:t>Cuarto. -</w:t>
      </w:r>
      <w:r>
        <w:rPr>
          <w:rFonts w:ascii="Arial" w:eastAsia="Arial" w:hAnsi="Arial" w:cs="Arial"/>
        </w:rPr>
        <w:t xml:space="preserve"> Consta en el expediente el Boletín Oficial de la Pr</w:t>
      </w:r>
      <w:r>
        <w:rPr>
          <w:rFonts w:ascii="Arial" w:eastAsia="Arial" w:hAnsi="Arial" w:cs="Arial"/>
        </w:rPr>
        <w:t xml:space="preserve">ovincia de 30 de abril de 2019 de la lista de proclamación de candidaturas de la </w:t>
      </w:r>
    </w:p>
    <w:p w:rsidR="00FF384B" w:rsidRDefault="003E3BA9">
      <w:pPr>
        <w:spacing w:after="109" w:line="247" w:lineRule="auto"/>
        <w:ind w:left="437" w:hanging="10"/>
        <w:jc w:val="both"/>
      </w:pPr>
      <w:r>
        <w:rPr>
          <w:rFonts w:ascii="Arial" w:eastAsia="Arial" w:hAnsi="Arial" w:cs="Arial"/>
        </w:rPr>
        <w:t xml:space="preserve">Junta electoral de Santa Cruz de Tenerife (municipio de Candelaria) en el que figura la lista de la candidatura número 3 denominada “Vecinos por Candelaria” compuesta por: </w:t>
      </w:r>
    </w:p>
    <w:p w:rsidR="00FF384B" w:rsidRDefault="003E3BA9">
      <w:pPr>
        <w:spacing w:after="98"/>
        <w:ind w:left="1136"/>
      </w:pPr>
      <w:r>
        <w:rPr>
          <w:rFonts w:ascii="Arial" w:eastAsia="Arial" w:hAnsi="Arial" w:cs="Arial"/>
        </w:rPr>
        <w:t xml:space="preserve"> </w:t>
      </w:r>
    </w:p>
    <w:p w:rsidR="00FF384B" w:rsidRDefault="003E3BA9">
      <w:pPr>
        <w:spacing w:after="111" w:line="247" w:lineRule="auto"/>
        <w:ind w:left="1146" w:right="244" w:hanging="10"/>
        <w:jc w:val="both"/>
      </w:pPr>
      <w:r>
        <w:rPr>
          <w:rFonts w:ascii="Arial" w:eastAsia="Arial" w:hAnsi="Arial" w:cs="Arial"/>
        </w:rPr>
        <w:t xml:space="preserve">1.- Don José Fernando Gómez Martín </w:t>
      </w:r>
    </w:p>
    <w:p w:rsidR="00FF384B" w:rsidRDefault="003E3BA9">
      <w:pPr>
        <w:spacing w:after="109" w:line="247" w:lineRule="auto"/>
        <w:ind w:left="1146" w:right="244" w:hanging="10"/>
        <w:jc w:val="both"/>
      </w:pPr>
      <w:r>
        <w:rPr>
          <w:rFonts w:ascii="Arial" w:eastAsia="Arial" w:hAnsi="Arial" w:cs="Arial"/>
        </w:rPr>
        <w:t xml:space="preserve">2.- Doña Jacqueline Álvarez Darias </w:t>
      </w:r>
    </w:p>
    <w:p w:rsidR="00FF384B" w:rsidRDefault="003E3BA9">
      <w:pPr>
        <w:spacing w:after="109" w:line="247" w:lineRule="auto"/>
        <w:ind w:left="1146" w:right="244" w:hanging="10"/>
        <w:jc w:val="both"/>
      </w:pPr>
      <w:r>
        <w:rPr>
          <w:rFonts w:ascii="Arial" w:eastAsia="Arial" w:hAnsi="Arial" w:cs="Arial"/>
        </w:rPr>
        <w:t xml:space="preserve">3.- Doña María Candelaria González Alonso </w:t>
      </w:r>
    </w:p>
    <w:p w:rsidR="00FF384B" w:rsidRDefault="003E3BA9">
      <w:pPr>
        <w:spacing w:after="111" w:line="247" w:lineRule="auto"/>
        <w:ind w:left="1146" w:right="244" w:hanging="10"/>
        <w:jc w:val="both"/>
      </w:pPr>
      <w:r>
        <w:rPr>
          <w:rFonts w:ascii="Arial" w:eastAsia="Arial" w:hAnsi="Arial" w:cs="Arial"/>
        </w:rPr>
        <w:t xml:space="preserve">4.- Don Norberto Javier Higueras Martín </w:t>
      </w:r>
    </w:p>
    <w:p w:rsidR="00FF384B" w:rsidRDefault="003E3BA9">
      <w:pPr>
        <w:spacing w:after="109" w:line="247" w:lineRule="auto"/>
        <w:ind w:left="1146" w:right="244" w:hanging="10"/>
        <w:jc w:val="both"/>
      </w:pPr>
      <w:r>
        <w:rPr>
          <w:rFonts w:ascii="Arial" w:eastAsia="Arial" w:hAnsi="Arial" w:cs="Arial"/>
        </w:rPr>
        <w:t xml:space="preserve">5.- Doña María Esther Acosta Ramos. </w:t>
      </w:r>
    </w:p>
    <w:p w:rsidR="00FF384B" w:rsidRDefault="003E3BA9">
      <w:pPr>
        <w:spacing w:after="145" w:line="247" w:lineRule="auto"/>
        <w:ind w:left="1146" w:right="244" w:hanging="10"/>
        <w:jc w:val="both"/>
      </w:pPr>
      <w:r>
        <w:rPr>
          <w:rFonts w:ascii="Arial" w:eastAsia="Arial" w:hAnsi="Arial" w:cs="Arial"/>
        </w:rPr>
        <w:t xml:space="preserve">6.- Doña Alicia Mercedes Marrero Meneses. </w:t>
      </w:r>
    </w:p>
    <w:p w:rsidR="00FF384B" w:rsidRDefault="003E3BA9">
      <w:pPr>
        <w:spacing w:after="109" w:line="247" w:lineRule="auto"/>
        <w:ind w:left="1146" w:right="244" w:hanging="10"/>
        <w:jc w:val="both"/>
      </w:pPr>
      <w:r>
        <w:rPr>
          <w:rFonts w:ascii="Arial" w:eastAsia="Arial" w:hAnsi="Arial" w:cs="Arial"/>
        </w:rPr>
        <w:t xml:space="preserve">(…) </w:t>
      </w:r>
    </w:p>
    <w:p w:rsidR="00FF384B" w:rsidRDefault="003E3BA9">
      <w:pPr>
        <w:spacing w:after="98"/>
        <w:ind w:left="1136"/>
      </w:pPr>
      <w:r>
        <w:rPr>
          <w:rFonts w:ascii="Arial" w:eastAsia="Arial" w:hAnsi="Arial" w:cs="Arial"/>
        </w:rPr>
        <w:t xml:space="preserve"> </w:t>
      </w:r>
    </w:p>
    <w:p w:rsidR="00FF384B" w:rsidRDefault="003E3BA9">
      <w:pPr>
        <w:spacing w:after="114" w:line="247" w:lineRule="auto"/>
        <w:ind w:left="427" w:right="7" w:firstLine="708"/>
        <w:jc w:val="both"/>
      </w:pPr>
      <w:r>
        <w:rPr>
          <w:noProof/>
        </w:rPr>
        <mc:AlternateContent>
          <mc:Choice Requires="wpg">
            <w:drawing>
              <wp:anchor distT="0" distB="0" distL="114300" distR="114300" simplePos="0" relativeHeight="252005376" behindDoc="1" locked="0" layoutInCell="1" allowOverlap="1">
                <wp:simplePos x="0" y="0"/>
                <wp:positionH relativeFrom="column">
                  <wp:posOffset>6952743</wp:posOffset>
                </wp:positionH>
                <wp:positionV relativeFrom="paragraph">
                  <wp:posOffset>-304530</wp:posOffset>
                </wp:positionV>
                <wp:extent cx="524148" cy="3797300"/>
                <wp:effectExtent l="0" t="0" r="0" b="0"/>
                <wp:wrapNone/>
                <wp:docPr id="513300" name="Group 513300"/>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515" name="Picture 58515"/>
                          <pic:cNvPicPr/>
                        </pic:nvPicPr>
                        <pic:blipFill>
                          <a:blip r:embed="rId62"/>
                          <a:stretch>
                            <a:fillRect/>
                          </a:stretch>
                        </pic:blipFill>
                        <pic:spPr>
                          <a:xfrm rot="-5399999">
                            <a:off x="-1720849" y="1720850"/>
                            <a:ext cx="3797299" cy="355600"/>
                          </a:xfrm>
                          <a:prstGeom prst="rect">
                            <a:avLst/>
                          </a:prstGeom>
                        </pic:spPr>
                      </pic:pic>
                      <wps:wsp>
                        <wps:cNvPr id="58516" name="Rectangle 5851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517" name="Rectangle 5851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300" style="width:41.2715pt;height:299pt;position:absolute;z-index:-2147483568;mso-position-horizontal-relative:text;mso-position-horizontal:absolute;margin-left:547.46pt;mso-position-vertical-relative:text;margin-top:-23.9788pt;" coordsize="5241,37973">
                <v:shape id="Picture 58515" style="position:absolute;width:37972;height:3556;left:-17208;top:17208;rotation:-89;" filled="f">
                  <v:imagedata r:id="rId63"/>
                </v:shape>
                <v:rect id="Rectangle 5851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51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342 de 353 </w:t>
                        </w:r>
                      </w:p>
                    </w:txbxContent>
                  </v:textbox>
                </v:rect>
              </v:group>
            </w:pict>
          </mc:Fallback>
        </mc:AlternateContent>
      </w:r>
      <w:r>
        <w:rPr>
          <w:rFonts w:ascii="Arial" w:eastAsia="Arial" w:hAnsi="Arial" w:cs="Arial"/>
        </w:rPr>
        <w:t>Por tanto, la candidata a la que le corresponde que el Ayunta</w:t>
      </w:r>
      <w:r>
        <w:rPr>
          <w:rFonts w:ascii="Arial" w:eastAsia="Arial" w:hAnsi="Arial" w:cs="Arial"/>
        </w:rPr>
        <w:t>miento de Candelaria le tramite la credencial es la número 6 de la lista por renuncia del concejal que ocupa el número 1 de la lista y de los candidatos que ocupan los números 2,3,4 y 5 de la lista, salvo que de aquí al Pleno se produzca también su renunci</w:t>
      </w:r>
      <w:r>
        <w:rPr>
          <w:rFonts w:ascii="Arial" w:eastAsia="Arial" w:hAnsi="Arial" w:cs="Arial"/>
        </w:rPr>
        <w:t xml:space="preserve">a que pasaría a la siguiente y así sucesivamente. </w:t>
      </w:r>
    </w:p>
    <w:p w:rsidR="00FF384B" w:rsidRDefault="003E3BA9">
      <w:pPr>
        <w:spacing w:after="95"/>
        <w:ind w:left="1136"/>
      </w:pPr>
      <w:r>
        <w:rPr>
          <w:rFonts w:ascii="Arial" w:eastAsia="Arial" w:hAnsi="Arial" w:cs="Arial"/>
        </w:rPr>
        <w:t xml:space="preserve"> </w:t>
      </w:r>
    </w:p>
    <w:p w:rsidR="00FF384B" w:rsidRDefault="003E3BA9">
      <w:pPr>
        <w:spacing w:after="111" w:line="247" w:lineRule="auto"/>
        <w:ind w:left="2557" w:hanging="3"/>
        <w:jc w:val="both"/>
      </w:pPr>
      <w:r>
        <w:rPr>
          <w:rFonts w:ascii="Arial" w:eastAsia="Arial" w:hAnsi="Arial" w:cs="Arial"/>
          <w:b/>
        </w:rPr>
        <w:t xml:space="preserve">       FUNDAMENTOS DE DERECHO  </w:t>
      </w:r>
    </w:p>
    <w:p w:rsidR="00FF384B" w:rsidRDefault="003E3BA9">
      <w:pPr>
        <w:spacing w:after="98"/>
        <w:ind w:left="1136"/>
      </w:pPr>
      <w:r>
        <w:rPr>
          <w:rFonts w:ascii="Arial" w:eastAsia="Arial" w:hAnsi="Arial" w:cs="Arial"/>
        </w:rPr>
        <w:t xml:space="preserve"> </w:t>
      </w:r>
    </w:p>
    <w:p w:rsidR="00FF384B" w:rsidRDefault="003E3BA9">
      <w:pPr>
        <w:spacing w:after="111" w:line="247" w:lineRule="auto"/>
        <w:ind w:left="1139" w:hanging="3"/>
        <w:jc w:val="both"/>
      </w:pPr>
      <w:r>
        <w:rPr>
          <w:rFonts w:ascii="Arial" w:eastAsia="Arial" w:hAnsi="Arial" w:cs="Arial"/>
          <w:b/>
        </w:rPr>
        <w:t xml:space="preserve"> Primero. - La pérdida de la condición de miembro de la Corporación local.  </w:t>
      </w:r>
    </w:p>
    <w:p w:rsidR="00FF384B" w:rsidRDefault="003E3BA9">
      <w:pPr>
        <w:spacing w:after="111" w:line="247" w:lineRule="auto"/>
        <w:ind w:left="1146" w:right="244" w:hanging="10"/>
        <w:jc w:val="both"/>
      </w:pPr>
      <w:r>
        <w:rPr>
          <w:rFonts w:ascii="Arial" w:eastAsia="Arial" w:hAnsi="Arial" w:cs="Arial"/>
        </w:rPr>
        <w:t xml:space="preserve">Art. 9. El Concejal, Diputado o miembro de cualquier entidad local perderá su condición de tal por las siguientes causas:  </w:t>
      </w:r>
    </w:p>
    <w:p w:rsidR="00FF384B" w:rsidRDefault="003E3BA9">
      <w:pPr>
        <w:spacing w:after="109" w:line="247" w:lineRule="auto"/>
        <w:ind w:left="1146" w:right="244" w:hanging="10"/>
        <w:jc w:val="both"/>
      </w:pPr>
      <w:r>
        <w:rPr>
          <w:rFonts w:ascii="Arial" w:eastAsia="Arial" w:hAnsi="Arial" w:cs="Arial"/>
          <w:i/>
        </w:rPr>
        <w:t xml:space="preserve">(...) Por renuncia, que deberá hacerse efectiva por escrito ante el Pleno de la Corporación.  </w:t>
      </w:r>
    </w:p>
    <w:p w:rsidR="00FF384B" w:rsidRDefault="003E3BA9">
      <w:pPr>
        <w:spacing w:after="114" w:line="247" w:lineRule="auto"/>
        <w:ind w:left="427" w:firstLine="708"/>
        <w:jc w:val="both"/>
      </w:pPr>
      <w:r>
        <w:rPr>
          <w:rFonts w:ascii="Arial" w:eastAsia="Arial" w:hAnsi="Arial" w:cs="Arial"/>
        </w:rPr>
        <w:t xml:space="preserve">Por tanto, de la renuncia presentada </w:t>
      </w:r>
      <w:r>
        <w:rPr>
          <w:rFonts w:ascii="Arial" w:eastAsia="Arial" w:hAnsi="Arial" w:cs="Arial"/>
        </w:rPr>
        <w:t xml:space="preserve">por el concejal Don José Fernando Gómez Martín, el Pleno debe tomar conocimiento para que se haga efectiva. </w:t>
      </w:r>
    </w:p>
    <w:p w:rsidR="00FF384B" w:rsidRDefault="003E3BA9">
      <w:pPr>
        <w:spacing w:after="131"/>
        <w:ind w:left="1136"/>
      </w:pPr>
      <w:r>
        <w:rPr>
          <w:rFonts w:ascii="Arial" w:eastAsia="Arial" w:hAnsi="Arial" w:cs="Arial"/>
        </w:rPr>
        <w:t xml:space="preserve"> </w:t>
      </w:r>
    </w:p>
    <w:p w:rsidR="00FF384B" w:rsidRDefault="003E3BA9">
      <w:pPr>
        <w:spacing w:after="15" w:line="247" w:lineRule="auto"/>
        <w:ind w:left="1139" w:hanging="3"/>
        <w:jc w:val="both"/>
      </w:pPr>
      <w:r>
        <w:rPr>
          <w:rFonts w:ascii="Arial" w:eastAsia="Arial" w:hAnsi="Arial" w:cs="Arial"/>
          <w:b/>
        </w:rPr>
        <w:t xml:space="preserve">Segundo. - Procedimiento de la toma de posesión de la candidata nº 6 de la lista de la candidatura de “Vecinos por Candelaria”, Doña </w:t>
      </w:r>
    </w:p>
    <w:p w:rsidR="00FF384B" w:rsidRDefault="003E3BA9">
      <w:pPr>
        <w:spacing w:after="111" w:line="247" w:lineRule="auto"/>
        <w:ind w:left="415" w:hanging="3"/>
        <w:jc w:val="both"/>
      </w:pPr>
      <w:r>
        <w:rPr>
          <w:rFonts w:ascii="Arial" w:eastAsia="Arial" w:hAnsi="Arial" w:cs="Arial"/>
          <w:b/>
        </w:rPr>
        <w:t>Alicia Merc</w:t>
      </w:r>
      <w:r>
        <w:rPr>
          <w:rFonts w:ascii="Arial" w:eastAsia="Arial" w:hAnsi="Arial" w:cs="Arial"/>
          <w:b/>
        </w:rPr>
        <w:t xml:space="preserve">edes Marrero Meneses, como concejal del Ayuntamiento de Candelaria.  </w:t>
      </w:r>
    </w:p>
    <w:p w:rsidR="00FF384B" w:rsidRDefault="003E3BA9">
      <w:pPr>
        <w:spacing w:after="129" w:line="247" w:lineRule="auto"/>
        <w:ind w:left="427" w:firstLine="708"/>
        <w:jc w:val="both"/>
      </w:pPr>
      <w:r>
        <w:rPr>
          <w:rFonts w:ascii="Arial" w:eastAsia="Arial" w:hAnsi="Arial" w:cs="Arial"/>
        </w:rPr>
        <w:t xml:space="preserve">1.- Toma de conocimiento por el Pleno de la renuncia del concejal que ocupa el primer puesto de la lista y de los candidatos que ocupan los puestos 2,3,4 y 5 de la lista. </w:t>
      </w:r>
    </w:p>
    <w:p w:rsidR="00FF384B" w:rsidRDefault="003E3BA9">
      <w:pPr>
        <w:spacing w:after="106" w:line="247" w:lineRule="auto"/>
        <w:ind w:left="427" w:firstLine="708"/>
        <w:jc w:val="both"/>
      </w:pPr>
      <w:r>
        <w:rPr>
          <w:rFonts w:ascii="Arial" w:eastAsia="Arial" w:hAnsi="Arial" w:cs="Arial"/>
        </w:rPr>
        <w:t>2.- Notificaci</w:t>
      </w:r>
      <w:r>
        <w:rPr>
          <w:rFonts w:ascii="Arial" w:eastAsia="Arial" w:hAnsi="Arial" w:cs="Arial"/>
        </w:rPr>
        <w:t xml:space="preserve">ón de este acuerdo plenario a la Junta electoral Central en el que se especifica que el número 6 de la lista de “Vecinos por Candelaria” es Doña Alicia Mercedes Marrero Meneses. </w:t>
      </w:r>
    </w:p>
    <w:p w:rsidR="00FF384B" w:rsidRDefault="003E3BA9">
      <w:pPr>
        <w:spacing w:after="115" w:line="247" w:lineRule="auto"/>
        <w:ind w:left="427" w:firstLine="708"/>
        <w:jc w:val="both"/>
      </w:pPr>
      <w:r>
        <w:rPr>
          <w:rFonts w:ascii="Arial" w:eastAsia="Arial" w:hAnsi="Arial" w:cs="Arial"/>
        </w:rPr>
        <w:t>3.- Expedición por la Junta Electoral Central de la credencial de concejal el</w:t>
      </w:r>
      <w:r>
        <w:rPr>
          <w:rFonts w:ascii="Arial" w:eastAsia="Arial" w:hAnsi="Arial" w:cs="Arial"/>
        </w:rPr>
        <w:t xml:space="preserve">ecta Doña Alicia Mercedes Marrero Meneses y notificación a esta Corporación municipal. </w:t>
      </w:r>
    </w:p>
    <w:p w:rsidR="00FF384B" w:rsidRDefault="003E3BA9">
      <w:pPr>
        <w:spacing w:after="114" w:line="247" w:lineRule="auto"/>
        <w:ind w:left="427" w:firstLine="708"/>
        <w:jc w:val="both"/>
      </w:pPr>
      <w:r>
        <w:rPr>
          <w:rFonts w:ascii="Arial" w:eastAsia="Arial" w:hAnsi="Arial" w:cs="Arial"/>
        </w:rPr>
        <w:t>4.- Presentación por Alicia Mercedes Marrero Meneses de la declaración de bienes, actividades y causas de posible incompatibilidad, declaración de relación electrónica,</w:t>
      </w:r>
      <w:r>
        <w:rPr>
          <w:rFonts w:ascii="Arial" w:eastAsia="Arial" w:hAnsi="Arial" w:cs="Arial"/>
        </w:rPr>
        <w:t xml:space="preserve"> así como del resto de sus datos personales en el registro electrónico para la Secretaría General.  </w:t>
      </w:r>
    </w:p>
    <w:p w:rsidR="00FF384B" w:rsidRDefault="003E3BA9">
      <w:pPr>
        <w:spacing w:after="112" w:line="247" w:lineRule="auto"/>
        <w:ind w:left="427" w:firstLine="708"/>
        <w:jc w:val="both"/>
      </w:pPr>
      <w:r>
        <w:rPr>
          <w:rFonts w:ascii="Arial" w:eastAsia="Arial" w:hAnsi="Arial" w:cs="Arial"/>
        </w:rPr>
        <w:t xml:space="preserve">5.- </w:t>
      </w:r>
      <w:r>
        <w:rPr>
          <w:rFonts w:ascii="Arial" w:eastAsia="Arial" w:hAnsi="Arial" w:cs="Arial"/>
        </w:rPr>
        <w:t xml:space="preserve">Toma posesión en el Pleno del Ayuntamiento de Candelaria de Doña Alicia Mercedes Marrero Meneses como concejal del Ayuntamiento de Candelaria mediante el juramento o promesa. </w:t>
      </w:r>
    </w:p>
    <w:p w:rsidR="00FF384B" w:rsidRDefault="003E3BA9">
      <w:pPr>
        <w:spacing w:after="98"/>
        <w:ind w:left="477"/>
        <w:jc w:val="center"/>
      </w:pPr>
      <w:r>
        <w:rPr>
          <w:rFonts w:ascii="Arial" w:eastAsia="Arial" w:hAnsi="Arial" w:cs="Arial"/>
        </w:rPr>
        <w:t xml:space="preserve">  </w:t>
      </w:r>
    </w:p>
    <w:p w:rsidR="00FF384B" w:rsidRDefault="003E3BA9">
      <w:pPr>
        <w:spacing w:after="98"/>
        <w:ind w:left="3264"/>
      </w:pPr>
      <w:r>
        <w:rPr>
          <w:rFonts w:ascii="Arial" w:eastAsia="Arial" w:hAnsi="Arial" w:cs="Arial"/>
          <w:b/>
        </w:rPr>
        <w:t xml:space="preserve"> </w:t>
      </w:r>
    </w:p>
    <w:p w:rsidR="00FF384B" w:rsidRDefault="003E3BA9">
      <w:pPr>
        <w:spacing w:after="111" w:line="247" w:lineRule="auto"/>
        <w:ind w:left="3267" w:hanging="3"/>
        <w:jc w:val="both"/>
      </w:pPr>
      <w:r>
        <w:rPr>
          <w:rFonts w:ascii="Arial" w:eastAsia="Arial" w:hAnsi="Arial" w:cs="Arial"/>
          <w:b/>
        </w:rPr>
        <w:t xml:space="preserve">Propuesta de resolución </w:t>
      </w:r>
      <w:r>
        <w:rPr>
          <w:rFonts w:ascii="Arial" w:eastAsia="Arial" w:hAnsi="Arial" w:cs="Arial"/>
        </w:rPr>
        <w:t xml:space="preserve"> </w:t>
      </w:r>
    </w:p>
    <w:p w:rsidR="00FF384B" w:rsidRDefault="003E3BA9">
      <w:pPr>
        <w:spacing w:after="109" w:line="247" w:lineRule="auto"/>
        <w:ind w:left="1139" w:hanging="3"/>
        <w:jc w:val="both"/>
      </w:pPr>
      <w:r>
        <w:rPr>
          <w:rFonts w:ascii="Arial" w:eastAsia="Arial" w:hAnsi="Arial" w:cs="Arial"/>
          <w:b/>
        </w:rPr>
        <w:t>Primero. - Tomar conocimiento por el Pleno del Ay</w:t>
      </w:r>
      <w:r>
        <w:rPr>
          <w:rFonts w:ascii="Arial" w:eastAsia="Arial" w:hAnsi="Arial" w:cs="Arial"/>
          <w:b/>
        </w:rPr>
        <w:t xml:space="preserve">untamiento de Candelaria de las instancias presentadas por: </w:t>
      </w:r>
    </w:p>
    <w:p w:rsidR="00FF384B" w:rsidRDefault="003E3BA9">
      <w:pPr>
        <w:spacing w:after="135"/>
        <w:ind w:left="1136"/>
      </w:pPr>
      <w:r>
        <w:rPr>
          <w:rFonts w:ascii="Arial" w:eastAsia="Arial" w:hAnsi="Arial" w:cs="Arial"/>
          <w:b/>
        </w:rPr>
        <w:t xml:space="preserve"> </w:t>
      </w:r>
    </w:p>
    <w:p w:rsidR="00FF384B" w:rsidRDefault="003E3BA9">
      <w:pPr>
        <w:spacing w:after="114" w:line="247" w:lineRule="auto"/>
        <w:ind w:left="427" w:right="4" w:firstLine="708"/>
        <w:jc w:val="both"/>
      </w:pPr>
      <w:r>
        <w:rPr>
          <w:rFonts w:ascii="Arial" w:eastAsia="Arial" w:hAnsi="Arial" w:cs="Arial"/>
        </w:rPr>
        <w:t>1.- El concejal Don José Fernando Gómez Martín (número 1 de la lista de la candidatura de “Vecinos por Candelaria” en las elecciones de 26 de mayo de 2019 que obtuvo un concejal en dichas elecc</w:t>
      </w:r>
      <w:r>
        <w:rPr>
          <w:rFonts w:ascii="Arial" w:eastAsia="Arial" w:hAnsi="Arial" w:cs="Arial"/>
        </w:rPr>
        <w:t xml:space="preserve">iones) en el que renuncia a la condición de concejal del Ayuntamiento de Candelaria por registro de entrada de 19 de abril de 2021. </w:t>
      </w:r>
    </w:p>
    <w:p w:rsidR="00FF384B" w:rsidRDefault="003E3BA9">
      <w:pPr>
        <w:spacing w:after="111"/>
        <w:ind w:left="1136"/>
      </w:pPr>
      <w:r>
        <w:rPr>
          <w:rFonts w:ascii="Arial" w:eastAsia="Arial" w:hAnsi="Arial" w:cs="Arial"/>
        </w:rPr>
        <w:t xml:space="preserve"> </w:t>
      </w:r>
    </w:p>
    <w:p w:rsidR="00FF384B" w:rsidRDefault="003E3BA9">
      <w:pPr>
        <w:spacing w:after="109" w:line="247" w:lineRule="auto"/>
        <w:ind w:left="427" w:firstLine="708"/>
        <w:jc w:val="both"/>
      </w:pPr>
      <w:r>
        <w:rPr>
          <w:rFonts w:ascii="Arial" w:eastAsia="Arial" w:hAnsi="Arial" w:cs="Arial"/>
        </w:rPr>
        <w:t xml:space="preserve">2.- La candidata Doña Jacqueline Álvarez Darias desiste del acta de Concejal del Ayuntamiento de Candelaria (número 2 de </w:t>
      </w:r>
      <w:r>
        <w:rPr>
          <w:rFonts w:ascii="Arial" w:eastAsia="Arial" w:hAnsi="Arial" w:cs="Arial"/>
        </w:rPr>
        <w:t xml:space="preserve">la lista de “Vecinos por Candelaria”) por registro de entrada de 20 de abril de 2021. </w:t>
      </w:r>
    </w:p>
    <w:p w:rsidR="00FF384B" w:rsidRDefault="003E3BA9">
      <w:pPr>
        <w:spacing w:after="98"/>
        <w:ind w:left="1136"/>
      </w:pPr>
      <w:r>
        <w:rPr>
          <w:rFonts w:ascii="Arial" w:eastAsia="Arial" w:hAnsi="Arial" w:cs="Arial"/>
        </w:rPr>
        <w:t xml:space="preserve"> </w:t>
      </w:r>
    </w:p>
    <w:p w:rsidR="00FF384B" w:rsidRDefault="003E3BA9">
      <w:pPr>
        <w:spacing w:after="5" w:line="247" w:lineRule="auto"/>
        <w:ind w:left="427" w:right="6" w:firstLine="708"/>
        <w:jc w:val="both"/>
      </w:pPr>
      <w:r>
        <w:rPr>
          <w:noProof/>
        </w:rPr>
        <mc:AlternateContent>
          <mc:Choice Requires="wpg">
            <w:drawing>
              <wp:anchor distT="0" distB="0" distL="114300" distR="114300" simplePos="0" relativeHeight="252006400" behindDoc="1" locked="0" layoutInCell="1" allowOverlap="1">
                <wp:simplePos x="0" y="0"/>
                <wp:positionH relativeFrom="column">
                  <wp:posOffset>6952743</wp:posOffset>
                </wp:positionH>
                <wp:positionV relativeFrom="paragraph">
                  <wp:posOffset>-2614025</wp:posOffset>
                </wp:positionV>
                <wp:extent cx="524148" cy="3797300"/>
                <wp:effectExtent l="0" t="0" r="0" b="0"/>
                <wp:wrapNone/>
                <wp:docPr id="513376" name="Group 51337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617" name="Picture 58617"/>
                          <pic:cNvPicPr/>
                        </pic:nvPicPr>
                        <pic:blipFill>
                          <a:blip r:embed="rId62"/>
                          <a:stretch>
                            <a:fillRect/>
                          </a:stretch>
                        </pic:blipFill>
                        <pic:spPr>
                          <a:xfrm rot="-5399999">
                            <a:off x="-1720849" y="1720850"/>
                            <a:ext cx="3797299" cy="355600"/>
                          </a:xfrm>
                          <a:prstGeom prst="rect">
                            <a:avLst/>
                          </a:prstGeom>
                        </pic:spPr>
                      </pic:pic>
                      <wps:wsp>
                        <wps:cNvPr id="58618" name="Rectangle 5861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619" name="Rectangle 5861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343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376" style="width:41.2715pt;height:299pt;position:absolute;z-index:-2147483558;mso-position-horizontal-relative:text;mso-position-horizontal:absolute;margin-left:547.46pt;mso-position-vertical-relative:text;margin-top:-205.829pt;" coordsize="5241,37973">
                <v:shape id="Picture 58617" style="position:absolute;width:37972;height:3556;left:-17208;top:17208;rotation:-89;" filled="f">
                  <v:imagedata r:id="rId63"/>
                </v:shape>
                <v:rect id="Rectangle 5861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61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343 de 353 </w:t>
                        </w:r>
                      </w:p>
                    </w:txbxContent>
                  </v:textbox>
                </v:rect>
              </v:group>
            </w:pict>
          </mc:Fallback>
        </mc:AlternateContent>
      </w:r>
      <w:r>
        <w:rPr>
          <w:rFonts w:ascii="Arial" w:eastAsia="Arial" w:hAnsi="Arial" w:cs="Arial"/>
        </w:rPr>
        <w:t>3.- Los candidatos que además desisten del acta de concejal del Ayuntamiento de Candelaria: Doña María Candelaria González Alonso, Don Norberto Javier Higueras M</w:t>
      </w:r>
      <w:r>
        <w:rPr>
          <w:rFonts w:ascii="Arial" w:eastAsia="Arial" w:hAnsi="Arial" w:cs="Arial"/>
        </w:rPr>
        <w:t xml:space="preserve">artín y Doña María Esther Acosta Ramos (números 3,4 y 5 de la lista de “Vecinos por Candelaria) por registro de entrada de 21 de abril de 2021.” </w:t>
      </w:r>
    </w:p>
    <w:p w:rsidR="00FF384B" w:rsidRDefault="003E3BA9">
      <w:pPr>
        <w:spacing w:after="95"/>
        <w:ind w:left="1136"/>
      </w:pPr>
      <w:r>
        <w:rPr>
          <w:rFonts w:ascii="Arial" w:eastAsia="Arial" w:hAnsi="Arial" w:cs="Arial"/>
        </w:rPr>
        <w:t xml:space="preserve"> </w:t>
      </w:r>
    </w:p>
    <w:p w:rsidR="00FF384B" w:rsidRDefault="003E3BA9">
      <w:pPr>
        <w:spacing w:after="0"/>
        <w:ind w:left="10" w:right="9" w:hanging="10"/>
        <w:jc w:val="right"/>
      </w:pPr>
      <w:r>
        <w:rPr>
          <w:rFonts w:ascii="Arial" w:eastAsia="Arial" w:hAnsi="Arial" w:cs="Arial"/>
          <w:b/>
        </w:rPr>
        <w:t>Segundo.- Comunicar a la Junta Electoral Central sita en la Carrera de San Jerónimo, 36, CP 28071, Madrid, e</w:t>
      </w:r>
      <w:r>
        <w:rPr>
          <w:rFonts w:ascii="Arial" w:eastAsia="Arial" w:hAnsi="Arial" w:cs="Arial"/>
          <w:b/>
        </w:rPr>
        <w:t xml:space="preserve">n el Congreso de los </w:t>
      </w:r>
    </w:p>
    <w:p w:rsidR="00FF384B" w:rsidRDefault="003E3BA9">
      <w:pPr>
        <w:spacing w:after="114" w:line="247" w:lineRule="auto"/>
        <w:ind w:left="415" w:hanging="3"/>
        <w:jc w:val="both"/>
      </w:pPr>
      <w:r>
        <w:rPr>
          <w:rFonts w:ascii="Arial" w:eastAsia="Arial" w:hAnsi="Arial" w:cs="Arial"/>
          <w:b/>
        </w:rPr>
        <w:t xml:space="preserve">Diputados, que la número 6 de la candidatura de “Vecinos por Candelaria” en las elecciones municipales del Ayuntamiento de Candelaria de 26 de mayo de 2019 es Doña Alicia Mercedes Marrero Meneses (página 7570 del BOP de Santa Cruz de </w:t>
      </w:r>
      <w:r>
        <w:rPr>
          <w:rFonts w:ascii="Arial" w:eastAsia="Arial" w:hAnsi="Arial" w:cs="Arial"/>
          <w:b/>
        </w:rPr>
        <w:t xml:space="preserve">Tenerife de 30 de abril de 2019) a los efectos de que se expida la credencial como concejal electa para con posterioridad realizar el procedimiento posesorio explicado en el fundamento de derecho segundo. </w:t>
      </w:r>
    </w:p>
    <w:p w:rsidR="00FF384B" w:rsidRDefault="003E3BA9">
      <w:pPr>
        <w:spacing w:after="98"/>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DICTAMEN DE LA COMISIÓN INFORMATIVA DE HACIENDA,</w:t>
      </w:r>
      <w:r>
        <w:rPr>
          <w:rFonts w:ascii="Arial" w:eastAsia="Arial" w:hAnsi="Arial" w:cs="Arial"/>
          <w:b/>
        </w:rPr>
        <w:t xml:space="preserve"> RECURSOS HUMANOS Y SERVICIOS GENERALES DE 26 DE ABRIL DE 2021.  </w:t>
      </w:r>
    </w:p>
    <w:p w:rsidR="00FF384B" w:rsidRDefault="003E3BA9">
      <w:pPr>
        <w:spacing w:after="5" w:line="247" w:lineRule="auto"/>
        <w:ind w:left="437" w:right="244" w:hanging="10"/>
        <w:jc w:val="both"/>
      </w:pPr>
      <w:r>
        <w:rPr>
          <w:rFonts w:ascii="Arial" w:eastAsia="Arial" w:hAnsi="Arial" w:cs="Arial"/>
        </w:rPr>
        <w:t xml:space="preserve">La Comisión Informativa quedó enterada.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JUNTA DE PORTAVOCES DE  26 DE ABRIL DE 2021.  </w:t>
      </w:r>
    </w:p>
    <w:p w:rsidR="00FF384B" w:rsidRDefault="003E3BA9">
      <w:pPr>
        <w:spacing w:after="5" w:line="247" w:lineRule="auto"/>
        <w:ind w:left="437" w:right="244" w:hanging="10"/>
        <w:jc w:val="both"/>
      </w:pPr>
      <w:r>
        <w:rPr>
          <w:rFonts w:ascii="Arial" w:eastAsia="Arial" w:hAnsi="Arial" w:cs="Arial"/>
        </w:rPr>
        <w:t xml:space="preserve">Quedó oída.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415" w:right="3161" w:hanging="3"/>
        <w:jc w:val="both"/>
      </w:pPr>
      <w:r>
        <w:rPr>
          <w:rFonts w:ascii="Arial" w:eastAsia="Arial" w:hAnsi="Arial" w:cs="Arial"/>
          <w:b/>
        </w:rPr>
        <w:t xml:space="preserve">TOMA DE CONOCIMIENTO EN EL PLENO DE 29 DE ABRIL DE 2021.  </w:t>
      </w:r>
    </w:p>
    <w:p w:rsidR="00FF384B" w:rsidRDefault="003E3BA9">
      <w:pPr>
        <w:spacing w:after="0"/>
        <w:ind w:left="427" w:right="3161"/>
      </w:pPr>
      <w:r>
        <w:rPr>
          <w:rFonts w:ascii="Arial" w:eastAsia="Arial" w:hAnsi="Arial" w:cs="Arial"/>
          <w:b/>
        </w:rPr>
        <w:t xml:space="preserve"> </w:t>
      </w:r>
    </w:p>
    <w:p w:rsidR="00FF384B" w:rsidRDefault="003E3BA9">
      <w:pPr>
        <w:spacing w:after="5" w:line="247" w:lineRule="auto"/>
        <w:ind w:left="437" w:right="3161" w:hanging="10"/>
        <w:jc w:val="both"/>
      </w:pPr>
      <w:r>
        <w:rPr>
          <w:rFonts w:ascii="Arial" w:eastAsia="Arial" w:hAnsi="Arial" w:cs="Arial"/>
        </w:rPr>
        <w:t xml:space="preserve">Los 16 concejales presentes tomaron conocimiento. </w:t>
      </w:r>
    </w:p>
    <w:p w:rsidR="00FF384B" w:rsidRDefault="003E3BA9">
      <w:pPr>
        <w:spacing w:after="0"/>
        <w:ind w:left="427" w:right="3161"/>
      </w:pPr>
      <w:r>
        <w:rPr>
          <w:rFonts w:ascii="Arial" w:eastAsia="Arial" w:hAnsi="Arial" w:cs="Arial"/>
        </w:rPr>
        <w:t xml:space="preserve"> </w:t>
      </w:r>
    </w:p>
    <w:p w:rsidR="00FF384B" w:rsidRDefault="003E3BA9">
      <w:pPr>
        <w:spacing w:after="114" w:line="247" w:lineRule="auto"/>
        <w:ind w:left="437" w:right="11" w:hanging="10"/>
        <w:jc w:val="both"/>
      </w:pPr>
      <w:r>
        <w:rPr>
          <w:noProof/>
        </w:rPr>
        <mc:AlternateContent>
          <mc:Choice Requires="wpg">
            <w:drawing>
              <wp:anchor distT="0" distB="0" distL="114300" distR="114300" simplePos="0" relativeHeight="252007424" behindDoc="0" locked="0" layoutInCell="1" allowOverlap="1">
                <wp:simplePos x="0" y="0"/>
                <wp:positionH relativeFrom="column">
                  <wp:posOffset>6952743</wp:posOffset>
                </wp:positionH>
                <wp:positionV relativeFrom="paragraph">
                  <wp:posOffset>-1057640</wp:posOffset>
                </wp:positionV>
                <wp:extent cx="524148" cy="3797300"/>
                <wp:effectExtent l="0" t="0" r="0" b="0"/>
                <wp:wrapSquare wrapText="bothSides"/>
                <wp:docPr id="513752" name="Group 51375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700" name="Picture 58700"/>
                          <pic:cNvPicPr/>
                        </pic:nvPicPr>
                        <pic:blipFill>
                          <a:blip r:embed="rId62"/>
                          <a:stretch>
                            <a:fillRect/>
                          </a:stretch>
                        </pic:blipFill>
                        <pic:spPr>
                          <a:xfrm rot="-5399999">
                            <a:off x="-1720849" y="1720850"/>
                            <a:ext cx="3797299" cy="355600"/>
                          </a:xfrm>
                          <a:prstGeom prst="rect">
                            <a:avLst/>
                          </a:prstGeom>
                        </pic:spPr>
                      </pic:pic>
                      <wps:wsp>
                        <wps:cNvPr id="58701" name="Rectangle 5870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702" name="Rectangle 5870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344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3752" style="width:41.2715pt;height:299pt;position:absolute;mso-position-horizontal-relative:text;mso-position-horizontal:absolute;margin-left:547.46pt;mso-position-vertical-relative:text;margin-top:-83.2788pt;" coordsize="5241,37973">
                <v:shape id="Picture 58700" style="position:absolute;width:37972;height:3556;left:-17208;top:17208;rotation:-89;" filled="f">
                  <v:imagedata r:id="rId63"/>
                </v:shape>
                <v:rect id="Rectangle 5870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70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344 de 353 </w:t>
                        </w:r>
                      </w:p>
                    </w:txbxContent>
                  </v:textbox>
                </v:rect>
                <w10:wrap type="square"/>
              </v:group>
            </w:pict>
          </mc:Fallback>
        </mc:AlternateContent>
      </w:r>
      <w:r>
        <w:rPr>
          <w:rFonts w:ascii="Arial" w:eastAsia="Arial" w:hAnsi="Arial" w:cs="Arial"/>
        </w:rPr>
        <w:t>11 co</w:t>
      </w:r>
      <w:r>
        <w:rPr>
          <w:rFonts w:ascii="Arial" w:eastAsia="Arial" w:hAnsi="Arial" w:cs="Arial"/>
        </w:rPr>
        <w:t>ncejales del Grupo Socialista: Doña María Concepción Brito Núñez, Don Jorge Baute Delgado, Doña Olivia Concepción Pérez Díaz, Don José Francisco Pinto Ramos, Doña Hilaria Cecilia Otazo González, Don Airam Pérez Chinea, Doña Margarita Eva Tendero Barroso, D</w:t>
      </w:r>
      <w:r>
        <w:rPr>
          <w:rFonts w:ascii="Arial" w:eastAsia="Arial" w:hAnsi="Arial" w:cs="Arial"/>
        </w:rPr>
        <w:t xml:space="preserve">on Manuel Alberto González Pestano, Doña María del Carmen Clemente Díaz, Don Olegario Francisco Alonso Bello y Don Reinaldo José Triviño Blanco. </w:t>
      </w:r>
    </w:p>
    <w:p w:rsidR="00FF384B" w:rsidRDefault="003E3BA9">
      <w:pPr>
        <w:spacing w:after="109" w:line="247" w:lineRule="auto"/>
        <w:ind w:left="437" w:right="3161" w:hanging="10"/>
        <w:jc w:val="both"/>
      </w:pPr>
      <w:r>
        <w:rPr>
          <w:rFonts w:ascii="Arial" w:eastAsia="Arial" w:hAnsi="Arial" w:cs="Arial"/>
        </w:rPr>
        <w:t xml:space="preserve">2 concejales del Grupo Mixto (SSP): Don Antonio Delgado García y Lourdes del Carmen Mondéjar Rondón. </w:t>
      </w:r>
    </w:p>
    <w:p w:rsidR="00FF384B" w:rsidRDefault="003E3BA9">
      <w:pPr>
        <w:spacing w:after="111" w:line="247" w:lineRule="auto"/>
        <w:ind w:left="437" w:right="3161" w:hanging="10"/>
        <w:jc w:val="both"/>
      </w:pPr>
      <w:r>
        <w:rPr>
          <w:rFonts w:ascii="Arial" w:eastAsia="Arial" w:hAnsi="Arial" w:cs="Arial"/>
        </w:rPr>
        <w:t xml:space="preserve">1 de la </w:t>
      </w:r>
      <w:r>
        <w:rPr>
          <w:rFonts w:ascii="Arial" w:eastAsia="Arial" w:hAnsi="Arial" w:cs="Arial"/>
        </w:rPr>
        <w:t xml:space="preserve">concejal del Grupo Mixto: Doña Ángela Cruz Perera (CC-PNC). </w:t>
      </w:r>
    </w:p>
    <w:p w:rsidR="00FF384B" w:rsidRDefault="003E3BA9">
      <w:pPr>
        <w:spacing w:after="109" w:line="247" w:lineRule="auto"/>
        <w:ind w:left="437" w:right="3161" w:hanging="10"/>
        <w:jc w:val="both"/>
      </w:pPr>
      <w:r>
        <w:rPr>
          <w:rFonts w:ascii="Arial" w:eastAsia="Arial" w:hAnsi="Arial" w:cs="Arial"/>
        </w:rPr>
        <w:t xml:space="preserve">1 del concejal del Grupo Mixto (VxC): Don José Fernando Gómez Martín. </w:t>
      </w:r>
    </w:p>
    <w:p w:rsidR="00FF384B" w:rsidRDefault="003E3BA9">
      <w:pPr>
        <w:spacing w:after="5" w:line="247" w:lineRule="auto"/>
        <w:ind w:left="437" w:right="3161" w:hanging="10"/>
        <w:jc w:val="both"/>
      </w:pPr>
      <w:r>
        <w:rPr>
          <w:rFonts w:ascii="Arial" w:eastAsia="Arial" w:hAnsi="Arial" w:cs="Arial"/>
        </w:rPr>
        <w:t xml:space="preserve">1 de la concejal del Grupo Popular, Doña Raquel Martín Castro. </w:t>
      </w:r>
    </w:p>
    <w:p w:rsidR="00FF384B" w:rsidRDefault="003E3BA9">
      <w:pPr>
        <w:spacing w:after="0"/>
        <w:ind w:left="427" w:right="3161"/>
      </w:pPr>
      <w:r>
        <w:rPr>
          <w:rFonts w:ascii="Arial" w:eastAsia="Arial" w:hAnsi="Arial" w:cs="Arial"/>
          <w:b/>
        </w:rPr>
        <w:t xml:space="preserve"> </w:t>
      </w:r>
    </w:p>
    <w:p w:rsidR="00FF384B" w:rsidRDefault="003E3BA9">
      <w:pPr>
        <w:spacing w:after="0"/>
        <w:ind w:left="427" w:right="3161"/>
      </w:pPr>
      <w:r>
        <w:rPr>
          <w:rFonts w:ascii="Arial" w:eastAsia="Arial" w:hAnsi="Arial" w:cs="Arial"/>
          <w:b/>
        </w:rPr>
        <w:t xml:space="preserve"> </w:t>
      </w:r>
    </w:p>
    <w:p w:rsidR="00FF384B" w:rsidRDefault="003E3BA9">
      <w:pPr>
        <w:spacing w:after="15" w:line="247" w:lineRule="auto"/>
        <w:ind w:left="1849" w:right="3161" w:hanging="3"/>
        <w:jc w:val="both"/>
      </w:pPr>
      <w:r>
        <w:rPr>
          <w:rFonts w:ascii="Arial" w:eastAsia="Arial" w:hAnsi="Arial" w:cs="Arial"/>
          <w:b/>
        </w:rPr>
        <w:t xml:space="preserve">ACUERDO DEL PLENO DE 29 DE ABRIL DE 2021. </w:t>
      </w:r>
    </w:p>
    <w:p w:rsidR="00FF384B" w:rsidRDefault="003E3BA9">
      <w:pPr>
        <w:spacing w:after="0"/>
        <w:ind w:left="427"/>
      </w:pPr>
      <w:r>
        <w:rPr>
          <w:rFonts w:ascii="Arial" w:eastAsia="Arial" w:hAnsi="Arial" w:cs="Arial"/>
        </w:rPr>
        <w:t xml:space="preserve"> </w:t>
      </w:r>
    </w:p>
    <w:p w:rsidR="00FF384B" w:rsidRDefault="003E3BA9">
      <w:pPr>
        <w:spacing w:after="138"/>
        <w:ind w:left="426" w:right="45" w:hanging="10"/>
        <w:jc w:val="center"/>
      </w:pPr>
      <w:r>
        <w:rPr>
          <w:rFonts w:ascii="Arial" w:eastAsia="Arial" w:hAnsi="Arial" w:cs="Arial"/>
          <w:b/>
          <w:u w:val="single" w:color="000000"/>
        </w:rPr>
        <w:t xml:space="preserve">Primero. - </w:t>
      </w:r>
      <w:r>
        <w:rPr>
          <w:rFonts w:ascii="Arial" w:eastAsia="Arial" w:hAnsi="Arial" w:cs="Arial"/>
          <w:b/>
          <w:u w:val="single" w:color="000000"/>
        </w:rPr>
        <w:t>Tomar conocimiento por el Pleno del Ayuntamiento de Candelaria de las instancias de renuncias presentadas por:</w:t>
      </w:r>
      <w:r>
        <w:rPr>
          <w:rFonts w:ascii="Arial" w:eastAsia="Arial" w:hAnsi="Arial" w:cs="Arial"/>
          <w:b/>
        </w:rPr>
        <w:t xml:space="preserve"> </w:t>
      </w:r>
    </w:p>
    <w:p w:rsidR="00FF384B" w:rsidRDefault="003E3BA9">
      <w:pPr>
        <w:spacing w:after="111" w:line="247" w:lineRule="auto"/>
        <w:ind w:left="412" w:firstLine="708"/>
        <w:jc w:val="both"/>
      </w:pPr>
      <w:r>
        <w:rPr>
          <w:rFonts w:ascii="Arial" w:eastAsia="Arial" w:hAnsi="Arial" w:cs="Arial"/>
          <w:b/>
        </w:rPr>
        <w:t>1.- El concejal Don José Fernando Gómez Martín (número 1 de la lista de la candidatura de “Vecinos por Candelaria” en las elecciones de 26 de ma</w:t>
      </w:r>
      <w:r>
        <w:rPr>
          <w:rFonts w:ascii="Arial" w:eastAsia="Arial" w:hAnsi="Arial" w:cs="Arial"/>
          <w:b/>
        </w:rPr>
        <w:t xml:space="preserve">yo de 2019 que obtuvo un concejal en dichas elecciones) en el que renuncia a la condición de concejal del Ayuntamiento de Candelaria por registro de entrada de 19 de abril de 2021. </w:t>
      </w:r>
    </w:p>
    <w:p w:rsidR="00FF384B" w:rsidRDefault="003E3BA9">
      <w:pPr>
        <w:spacing w:after="109" w:line="247" w:lineRule="auto"/>
        <w:ind w:left="412" w:firstLine="708"/>
        <w:jc w:val="both"/>
      </w:pPr>
      <w:r>
        <w:rPr>
          <w:rFonts w:ascii="Arial" w:eastAsia="Arial" w:hAnsi="Arial" w:cs="Arial"/>
          <w:b/>
        </w:rPr>
        <w:t>2.- La candidata Doña Jacqueline Álvarez Darias desiste del acta de Concej</w:t>
      </w:r>
      <w:r>
        <w:rPr>
          <w:rFonts w:ascii="Arial" w:eastAsia="Arial" w:hAnsi="Arial" w:cs="Arial"/>
          <w:b/>
        </w:rPr>
        <w:t xml:space="preserve">al del Ayuntamiento de Candelaria (número 2 de la lista de “Vecinos por Candelaria”) por registro de entrada de 20 de abril de 2021. </w:t>
      </w:r>
    </w:p>
    <w:p w:rsidR="00FF384B" w:rsidRDefault="003E3BA9">
      <w:pPr>
        <w:spacing w:after="106" w:line="247" w:lineRule="auto"/>
        <w:ind w:left="412" w:firstLine="708"/>
        <w:jc w:val="both"/>
      </w:pPr>
      <w:r>
        <w:rPr>
          <w:rFonts w:ascii="Arial" w:eastAsia="Arial" w:hAnsi="Arial" w:cs="Arial"/>
          <w:b/>
        </w:rPr>
        <w:t>3.- Los candidatos que además desisten del acta de concejal del Ayuntamiento de Candelaria: Doña María Candelaria González</w:t>
      </w:r>
      <w:r>
        <w:rPr>
          <w:rFonts w:ascii="Arial" w:eastAsia="Arial" w:hAnsi="Arial" w:cs="Arial"/>
          <w:b/>
        </w:rPr>
        <w:t xml:space="preserve"> Alonso, Don Norberto Javier Higueras Martín y Doña María Esther Acosta Ramos (números 3,4 y 5 de la lista de “Vecinos por Candelaria) por registro de entrada de 21 de abril de 2021.” </w:t>
      </w:r>
    </w:p>
    <w:p w:rsidR="00FF384B" w:rsidRDefault="003E3BA9">
      <w:pPr>
        <w:pStyle w:val="Ttulo4"/>
        <w:spacing w:after="14" w:line="259" w:lineRule="auto"/>
        <w:ind w:left="0" w:right="14" w:firstLine="0"/>
        <w:jc w:val="right"/>
      </w:pPr>
      <w:r>
        <w:rPr>
          <w:u w:val="single" w:color="000000"/>
        </w:rPr>
        <w:t xml:space="preserve">Segundo.- </w:t>
      </w:r>
      <w:r>
        <w:rPr>
          <w:u w:val="single" w:color="000000"/>
        </w:rPr>
        <w:t>Comunicar a la Junta Electoral Central sita en la Carrera de San Jerónimo, 36, CP 28071, Madrid, en el Congreso de los</w:t>
      </w:r>
      <w:r>
        <w:t xml:space="preserve"> </w:t>
      </w:r>
    </w:p>
    <w:p w:rsidR="00FF384B" w:rsidRDefault="003E3BA9">
      <w:pPr>
        <w:spacing w:after="111" w:line="247" w:lineRule="auto"/>
        <w:ind w:left="415" w:hanging="3"/>
        <w:jc w:val="both"/>
      </w:pPr>
      <w:r>
        <w:rPr>
          <w:noProof/>
        </w:rPr>
        <mc:AlternateContent>
          <mc:Choice Requires="wpg">
            <w:drawing>
              <wp:anchor distT="0" distB="0" distL="114300" distR="114300" simplePos="0" relativeHeight="252008448" behindDoc="1" locked="0" layoutInCell="1" allowOverlap="1">
                <wp:simplePos x="0" y="0"/>
                <wp:positionH relativeFrom="column">
                  <wp:posOffset>6952743</wp:posOffset>
                </wp:positionH>
                <wp:positionV relativeFrom="paragraph">
                  <wp:posOffset>130921</wp:posOffset>
                </wp:positionV>
                <wp:extent cx="524148" cy="3797300"/>
                <wp:effectExtent l="0" t="0" r="0" b="0"/>
                <wp:wrapNone/>
                <wp:docPr id="514386" name="Group 514386"/>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815" name="Picture 58815"/>
                          <pic:cNvPicPr/>
                        </pic:nvPicPr>
                        <pic:blipFill>
                          <a:blip r:embed="rId62"/>
                          <a:stretch>
                            <a:fillRect/>
                          </a:stretch>
                        </pic:blipFill>
                        <pic:spPr>
                          <a:xfrm rot="-5399999">
                            <a:off x="-1720849" y="1720850"/>
                            <a:ext cx="3797299" cy="355600"/>
                          </a:xfrm>
                          <a:prstGeom prst="rect">
                            <a:avLst/>
                          </a:prstGeom>
                        </pic:spPr>
                      </pic:pic>
                      <wps:wsp>
                        <wps:cNvPr id="58816" name="Rectangle 58816"/>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817" name="Rectangle 58817"/>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firmado electrónicament</w:t>
                              </w:r>
                              <w:r>
                                <w:rPr>
                                  <w:rFonts w:ascii="Arial" w:eastAsia="Arial" w:hAnsi="Arial" w:cs="Arial"/>
                                  <w:sz w:val="12"/>
                                </w:rPr>
                                <w:t xml:space="preserve">e desde la plataforma esPublico Gestiona | Página 345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4386" style="width:41.2715pt;height:299pt;position:absolute;z-index:-2147483553;mso-position-horizontal-relative:text;mso-position-horizontal:absolute;margin-left:547.46pt;mso-position-vertical-relative:text;margin-top:10.3087pt;" coordsize="5241,37973">
                <v:shape id="Picture 58815" style="position:absolute;width:37972;height:3556;left:-17208;top:17208;rotation:-89;" filled="f">
                  <v:imagedata r:id="rId63"/>
                </v:shape>
                <v:rect id="Rectangle 58816"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817"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345 de 353 </w:t>
                        </w:r>
                      </w:p>
                    </w:txbxContent>
                  </v:textbox>
                </v:rect>
              </v:group>
            </w:pict>
          </mc:Fallback>
        </mc:AlternateContent>
      </w:r>
      <w:r>
        <w:rPr>
          <w:rFonts w:ascii="Arial" w:eastAsia="Arial" w:hAnsi="Arial" w:cs="Arial"/>
          <w:b/>
          <w:u w:val="single" w:color="000000"/>
        </w:rPr>
        <w:t>Diputados, que la número 6 de la candidatura de “Vecinos por Candelaria” en las elecciones municipales del Ayuntamiento de Candelaria</w:t>
      </w:r>
      <w:r>
        <w:rPr>
          <w:rFonts w:ascii="Arial" w:eastAsia="Arial" w:hAnsi="Arial" w:cs="Arial"/>
          <w:b/>
        </w:rPr>
        <w:t xml:space="preserve"> </w:t>
      </w:r>
      <w:r>
        <w:rPr>
          <w:rFonts w:ascii="Arial" w:eastAsia="Arial" w:hAnsi="Arial" w:cs="Arial"/>
          <w:b/>
          <w:u w:val="single" w:color="000000"/>
        </w:rPr>
        <w:t>de 26 de mayo de 2019 es Doña Alicia Mercedes Marrero Menese</w:t>
      </w:r>
      <w:r>
        <w:rPr>
          <w:rFonts w:ascii="Arial" w:eastAsia="Arial" w:hAnsi="Arial" w:cs="Arial"/>
          <w:b/>
          <w:u w:val="single" w:color="000000"/>
        </w:rPr>
        <w:t>s</w:t>
      </w:r>
      <w:r>
        <w:rPr>
          <w:rFonts w:ascii="Arial" w:eastAsia="Arial" w:hAnsi="Arial" w:cs="Arial"/>
          <w:b/>
        </w:rPr>
        <w:t xml:space="preserve"> (página 7570 del BOP de Santa Cruz de Tenerife de 30 de abril de 2019) a los efectos de que se expida la credencial como concejal electa para con posterioridad realizar el procedimiento posesorio explicado en el fundamento de derecho segundo.</w:t>
      </w:r>
      <w:r>
        <w:rPr>
          <w:rFonts w:ascii="Arial" w:eastAsia="Arial" w:hAnsi="Arial" w:cs="Arial"/>
        </w:rPr>
        <w:t xml:space="preserve"> </w:t>
      </w:r>
    </w:p>
    <w:p w:rsidR="00FF384B" w:rsidRDefault="003E3BA9">
      <w:pPr>
        <w:spacing w:after="98"/>
        <w:ind w:left="1136"/>
      </w:pPr>
      <w:r>
        <w:rPr>
          <w:rFonts w:ascii="Arial" w:eastAsia="Arial" w:hAnsi="Arial" w:cs="Arial"/>
          <w:b/>
        </w:rPr>
        <w:t xml:space="preserve"> </w:t>
      </w:r>
    </w:p>
    <w:p w:rsidR="00FF384B" w:rsidRDefault="003E3BA9">
      <w:pPr>
        <w:spacing w:after="111" w:line="247" w:lineRule="auto"/>
        <w:ind w:left="415" w:hanging="3"/>
        <w:jc w:val="both"/>
      </w:pPr>
      <w:r>
        <w:rPr>
          <w:rFonts w:ascii="Arial" w:eastAsia="Arial" w:hAnsi="Arial" w:cs="Arial"/>
          <w:b/>
        </w:rPr>
        <w:t xml:space="preserve"> 14.- Ur</w:t>
      </w:r>
      <w:r>
        <w:rPr>
          <w:rFonts w:ascii="Arial" w:eastAsia="Arial" w:hAnsi="Arial" w:cs="Arial"/>
          <w:b/>
        </w:rPr>
        <w:t xml:space="preserve">gencias </w:t>
      </w:r>
    </w:p>
    <w:p w:rsidR="00FF384B" w:rsidRDefault="003E3BA9">
      <w:pPr>
        <w:spacing w:after="98"/>
        <w:ind w:left="427"/>
      </w:pPr>
      <w:r>
        <w:rPr>
          <w:rFonts w:ascii="Arial" w:eastAsia="Arial" w:hAnsi="Arial" w:cs="Arial"/>
          <w:b/>
        </w:rPr>
        <w:t xml:space="preserve"> </w:t>
      </w:r>
    </w:p>
    <w:p w:rsidR="00FF384B" w:rsidRDefault="003E3BA9">
      <w:pPr>
        <w:spacing w:after="111" w:line="247" w:lineRule="auto"/>
        <w:ind w:left="415" w:hanging="3"/>
        <w:jc w:val="both"/>
      </w:pPr>
      <w:r>
        <w:rPr>
          <w:rFonts w:ascii="Arial" w:eastAsia="Arial" w:hAnsi="Arial" w:cs="Arial"/>
          <w:b/>
        </w:rPr>
        <w:t xml:space="preserve">No hubo </w:t>
      </w:r>
    </w:p>
    <w:p w:rsidR="00FF384B" w:rsidRDefault="003E3BA9">
      <w:pPr>
        <w:spacing w:after="98"/>
        <w:ind w:left="427"/>
      </w:pPr>
      <w:r>
        <w:rPr>
          <w:rFonts w:ascii="Arial" w:eastAsia="Arial" w:hAnsi="Arial" w:cs="Arial"/>
          <w:b/>
        </w:rPr>
        <w:t xml:space="preserve"> </w:t>
      </w:r>
    </w:p>
    <w:p w:rsidR="00FF384B" w:rsidRDefault="003E3BA9">
      <w:pPr>
        <w:numPr>
          <w:ilvl w:val="0"/>
          <w:numId w:val="344"/>
        </w:numPr>
        <w:spacing w:after="15" w:line="247" w:lineRule="auto"/>
        <w:ind w:hanging="360"/>
        <w:jc w:val="both"/>
      </w:pPr>
      <w:r>
        <w:rPr>
          <w:rFonts w:ascii="Arial" w:eastAsia="Arial" w:hAnsi="Arial" w:cs="Arial"/>
          <w:b/>
        </w:rPr>
        <w:t xml:space="preserve">ACTIVIDAD DE CONTROL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15.- Dación de Cuenta de los Decretos de la Alcaldía-Presidencia y de los Concejales delegados.</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16.- </w:t>
      </w:r>
      <w:r>
        <w:rPr>
          <w:rFonts w:ascii="Arial" w:eastAsia="Arial" w:hAnsi="Arial" w:cs="Arial"/>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rFonts w:ascii="Arial" w:eastAsia="Arial" w:hAnsi="Arial" w:cs="Arial"/>
          <w:b/>
        </w:rPr>
        <w:t>cal.</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Times New Roman" w:eastAsia="Times New Roman" w:hAnsi="Times New Roman" w:cs="Times New Roman"/>
          <w:sz w:val="24"/>
        </w:rPr>
        <w:t xml:space="preserve"> </w:t>
      </w:r>
    </w:p>
    <w:p w:rsidR="00FF384B" w:rsidRDefault="003E3BA9">
      <w:pPr>
        <w:numPr>
          <w:ilvl w:val="0"/>
          <w:numId w:val="344"/>
        </w:numPr>
        <w:spacing w:after="109" w:line="247" w:lineRule="auto"/>
        <w:ind w:hanging="360"/>
        <w:jc w:val="both"/>
      </w:pPr>
      <w:r>
        <w:rPr>
          <w:rFonts w:ascii="Arial" w:eastAsia="Arial" w:hAnsi="Arial" w:cs="Arial"/>
          <w:b/>
        </w:rPr>
        <w:t xml:space="preserve">RUEGOS Y PREGUNTAS </w:t>
      </w:r>
    </w:p>
    <w:p w:rsidR="00FF384B" w:rsidRDefault="003E3BA9">
      <w:pPr>
        <w:spacing w:after="100"/>
        <w:ind w:left="427"/>
      </w:pPr>
      <w:r>
        <w:rPr>
          <w:rFonts w:ascii="Arial" w:eastAsia="Arial" w:hAnsi="Arial" w:cs="Arial"/>
          <w:b/>
        </w:rPr>
        <w:t xml:space="preserve"> </w:t>
      </w:r>
    </w:p>
    <w:p w:rsidR="00FF384B" w:rsidRDefault="003E3BA9">
      <w:pPr>
        <w:spacing w:after="109" w:line="247" w:lineRule="auto"/>
        <w:ind w:left="415" w:hanging="3"/>
        <w:jc w:val="both"/>
      </w:pPr>
      <w:r>
        <w:rPr>
          <w:rFonts w:ascii="Arial" w:eastAsia="Arial" w:hAnsi="Arial" w:cs="Arial"/>
          <w:b/>
        </w:rPr>
        <w:t xml:space="preserve">17.- Ruegos y preguntas. </w:t>
      </w:r>
    </w:p>
    <w:p w:rsidR="00FF384B" w:rsidRDefault="003E3BA9">
      <w:pPr>
        <w:spacing w:after="100"/>
        <w:ind w:left="427"/>
      </w:pPr>
      <w:r>
        <w:rPr>
          <w:rFonts w:ascii="Arial" w:eastAsia="Arial" w:hAnsi="Arial" w:cs="Arial"/>
          <w:b/>
        </w:rPr>
        <w:t xml:space="preserve"> </w:t>
      </w:r>
    </w:p>
    <w:p w:rsidR="00FF384B" w:rsidRDefault="003E3BA9">
      <w:pPr>
        <w:spacing w:after="117"/>
        <w:ind w:left="427"/>
      </w:pPr>
      <w:r>
        <w:rPr>
          <w:rFonts w:ascii="Arial" w:eastAsia="Arial" w:hAnsi="Arial" w:cs="Arial"/>
          <w:b/>
        </w:rPr>
        <w:t xml:space="preserve"> </w:t>
      </w:r>
    </w:p>
    <w:p w:rsidR="00FF384B" w:rsidRDefault="003E3BA9">
      <w:pPr>
        <w:spacing w:after="0"/>
        <w:ind w:left="427"/>
      </w:pPr>
      <w:r>
        <w:rPr>
          <w:rFonts w:ascii="Arial" w:eastAsia="Arial" w:hAnsi="Arial" w:cs="Arial"/>
        </w:rPr>
        <w:t>…..</w:t>
      </w:r>
      <w:r>
        <w:rPr>
          <w:rFonts w:ascii="Arial" w:eastAsia="Arial" w:hAnsi="Arial" w:cs="Arial"/>
          <w:b/>
          <w:color w:val="141823"/>
        </w:rPr>
        <w:t xml:space="preserve"> - RUEGOS Y PREGUNTAS. –</w:t>
      </w:r>
      <w:r>
        <w:rPr>
          <w:rFonts w:ascii="Times New Roman" w:eastAsia="Times New Roman" w:hAnsi="Times New Roman" w:cs="Times New Roman"/>
          <w:sz w:val="24"/>
        </w:rPr>
        <w:t xml:space="preserve"> </w:t>
      </w:r>
    </w:p>
    <w:p w:rsidR="00FF384B" w:rsidRDefault="003E3BA9">
      <w:pPr>
        <w:spacing w:after="10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28" w:line="247" w:lineRule="auto"/>
        <w:ind w:left="437" w:right="244" w:hanging="10"/>
        <w:jc w:val="both"/>
      </w:pPr>
      <w:r>
        <w:rPr>
          <w:rFonts w:ascii="Arial" w:eastAsia="Arial" w:hAnsi="Arial" w:cs="Arial"/>
        </w:rPr>
        <w:t xml:space="preserve">Pasamos al apartado de Ruegos y Preguntas, ruegos Doña Ángela. – </w:t>
      </w:r>
    </w:p>
    <w:p w:rsidR="00FF384B" w:rsidRDefault="003E3BA9">
      <w:pPr>
        <w:spacing w:after="16"/>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DOÑA ÁNGELA CRUZ PÉRERA. - </w:t>
      </w:r>
    </w:p>
    <w:p w:rsidR="00FF384B" w:rsidRDefault="003E3BA9">
      <w:pPr>
        <w:spacing w:after="25" w:line="247" w:lineRule="auto"/>
        <w:ind w:left="437" w:hanging="10"/>
        <w:jc w:val="both"/>
      </w:pPr>
      <w:r>
        <w:rPr>
          <w:noProof/>
        </w:rPr>
        <mc:AlternateContent>
          <mc:Choice Requires="wpg">
            <w:drawing>
              <wp:anchor distT="0" distB="0" distL="114300" distR="114300" simplePos="0" relativeHeight="252009472" behindDoc="0" locked="0" layoutInCell="1" allowOverlap="1">
                <wp:simplePos x="0" y="0"/>
                <wp:positionH relativeFrom="column">
                  <wp:posOffset>6952743</wp:posOffset>
                </wp:positionH>
                <wp:positionV relativeFrom="paragraph">
                  <wp:posOffset>-248142</wp:posOffset>
                </wp:positionV>
                <wp:extent cx="524148" cy="3797300"/>
                <wp:effectExtent l="0" t="0" r="0" b="0"/>
                <wp:wrapSquare wrapText="bothSides"/>
                <wp:docPr id="514585" name="Group 51458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907" name="Picture 58907"/>
                          <pic:cNvPicPr/>
                        </pic:nvPicPr>
                        <pic:blipFill>
                          <a:blip r:embed="rId62"/>
                          <a:stretch>
                            <a:fillRect/>
                          </a:stretch>
                        </pic:blipFill>
                        <pic:spPr>
                          <a:xfrm rot="-5399999">
                            <a:off x="-1720849" y="1720850"/>
                            <a:ext cx="3797299" cy="355600"/>
                          </a:xfrm>
                          <a:prstGeom prst="rect">
                            <a:avLst/>
                          </a:prstGeom>
                        </pic:spPr>
                      </pic:pic>
                      <wps:wsp>
                        <wps:cNvPr id="58908" name="Rectangle 5890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8909" name="Rectangle 5890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346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4585" style="width:41.2715pt;height:299pt;position:absolute;mso-position-horizontal-relative:text;mso-position-horizontal:absolute;margin-left:547.46pt;mso-position-vertical-relative:text;margin-top:-19.5388pt;" coordsize="5241,37973">
                <v:shape id="Picture 58907" style="position:absolute;width:37972;height:3556;left:-17208;top:17208;rotation:-89;" filled="f">
                  <v:imagedata r:id="rId63"/>
                </v:shape>
                <v:rect id="Rectangle 5890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890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346 de 353 </w:t>
                        </w:r>
                      </w:p>
                    </w:txbxContent>
                  </v:textbox>
                </v:rect>
                <w10:wrap type="square"/>
              </v:group>
            </w:pict>
          </mc:Fallback>
        </mc:AlternateContent>
      </w:r>
      <w:r>
        <w:rPr>
          <w:rFonts w:ascii="Arial" w:eastAsia="Arial" w:hAnsi="Arial" w:cs="Arial"/>
        </w:rPr>
        <w:t>Rogamos al Concejal de Servicios que incluya en esta fase una</w:t>
      </w:r>
      <w:r>
        <w:rPr>
          <w:rFonts w:ascii="Arial" w:eastAsia="Arial" w:hAnsi="Arial" w:cs="Arial"/>
        </w:rPr>
        <w:t xml:space="preserve"> de asfaltado municipal, cuyos proyectos están aún por redactar, a la Calle los Fariña en la zona de Santa Ana, que presenta actualmente un estado lamentable.  </w:t>
      </w:r>
    </w:p>
    <w:p w:rsidR="00FF384B" w:rsidRDefault="003E3BA9">
      <w:pPr>
        <w:spacing w:after="14"/>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LA SEÑORA ALCALDESA-PRESIDENTA. - </w:t>
      </w:r>
    </w:p>
    <w:p w:rsidR="00FF384B" w:rsidRDefault="003E3BA9">
      <w:pPr>
        <w:spacing w:after="25" w:line="247" w:lineRule="auto"/>
        <w:ind w:left="437" w:right="3161" w:hanging="10"/>
        <w:jc w:val="both"/>
      </w:pPr>
      <w:r>
        <w:rPr>
          <w:rFonts w:ascii="Arial" w:eastAsia="Arial" w:hAnsi="Arial" w:cs="Arial"/>
        </w:rPr>
        <w:t>Gracias, lo tenemos en cuenta, Jorge en la prop</w:t>
      </w:r>
      <w:r>
        <w:rPr>
          <w:rFonts w:ascii="Arial" w:eastAsia="Arial" w:hAnsi="Arial" w:cs="Arial"/>
        </w:rPr>
        <w:t xml:space="preserve">uesta que se está redactando. Gracias, Doña Lourdes, ah no, Don Antonio, perdón, si. - </w:t>
      </w:r>
    </w:p>
    <w:p w:rsidR="00FF384B" w:rsidRDefault="003E3BA9">
      <w:pPr>
        <w:spacing w:after="14"/>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DON ANTONIO DELGADO GARCÍA - </w:t>
      </w:r>
    </w:p>
    <w:p w:rsidR="00FF384B" w:rsidRDefault="003E3BA9">
      <w:pPr>
        <w:spacing w:after="28" w:line="247" w:lineRule="auto"/>
        <w:ind w:left="437" w:right="3161" w:hanging="10"/>
        <w:jc w:val="both"/>
      </w:pPr>
      <w:r>
        <w:rPr>
          <w:rFonts w:ascii="Arial" w:eastAsia="Arial" w:hAnsi="Arial" w:cs="Arial"/>
        </w:rPr>
        <w:t xml:space="preserve">(No se entiende el ruego formulado por D. Antonio Delgado García). – </w:t>
      </w:r>
    </w:p>
    <w:p w:rsidR="00FF384B" w:rsidRDefault="003E3BA9">
      <w:pPr>
        <w:spacing w:after="14"/>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LA SEÑORA ALCALDESA-PRESIDENTA. - </w:t>
      </w:r>
    </w:p>
    <w:p w:rsidR="00FF384B" w:rsidRDefault="003E3BA9">
      <w:pPr>
        <w:spacing w:after="27" w:line="247" w:lineRule="auto"/>
        <w:ind w:left="437" w:hanging="10"/>
        <w:jc w:val="both"/>
      </w:pPr>
      <w:r>
        <w:rPr>
          <w:rFonts w:ascii="Arial" w:eastAsia="Arial" w:hAnsi="Arial" w:cs="Arial"/>
        </w:rPr>
        <w:t xml:space="preserve">Perdón, si, claro, yo le rogaría que en los ruegos nos limitáramos a los ruegos que no son preguntas, en este caso es una pregunta, estamos en los ruegos, en las peticiones. Gracias,  </w:t>
      </w:r>
    </w:p>
    <w:p w:rsidR="00FF384B" w:rsidRDefault="003E3BA9">
      <w:pPr>
        <w:spacing w:after="14"/>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DON ANTONIO DELGADO GARCÍA. - </w:t>
      </w:r>
    </w:p>
    <w:p w:rsidR="00FF384B" w:rsidRDefault="003E3BA9">
      <w:pPr>
        <w:spacing w:after="27" w:line="247" w:lineRule="auto"/>
        <w:ind w:left="437" w:right="244" w:hanging="10"/>
        <w:jc w:val="both"/>
      </w:pPr>
      <w:r>
        <w:rPr>
          <w:rFonts w:ascii="Arial" w:eastAsia="Arial" w:hAnsi="Arial" w:cs="Arial"/>
        </w:rPr>
        <w:t xml:space="preserve">Solicitamos la colocación de paneles informativos en las obras realizadas por el Ayuntamiento… </w:t>
      </w:r>
    </w:p>
    <w:p w:rsidR="00FF384B" w:rsidRDefault="003E3BA9">
      <w:pPr>
        <w:spacing w:after="14"/>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25" w:line="247" w:lineRule="auto"/>
        <w:ind w:left="437" w:right="1343" w:hanging="10"/>
        <w:jc w:val="both"/>
      </w:pPr>
      <w:r>
        <w:rPr>
          <w:rFonts w:ascii="Arial" w:eastAsia="Arial" w:hAnsi="Arial" w:cs="Arial"/>
        </w:rPr>
        <w:t>Si hay alguna en la que no se dé, eso es obligación del contrato, bien miraremos si hay alguna en la que no se h</w:t>
      </w:r>
      <w:r>
        <w:rPr>
          <w:rFonts w:ascii="Arial" w:eastAsia="Arial" w:hAnsi="Arial" w:cs="Arial"/>
        </w:rPr>
        <w:t xml:space="preserve">aya colocado. Ruegos por parte del Partido Popular, Doña Raquel. - </w:t>
      </w:r>
    </w:p>
    <w:p w:rsidR="00FF384B" w:rsidRDefault="003E3BA9">
      <w:pPr>
        <w:spacing w:after="14"/>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28" w:line="247" w:lineRule="auto"/>
        <w:ind w:left="437" w:right="7" w:hanging="10"/>
        <w:jc w:val="both"/>
      </w:pPr>
      <w:r>
        <w:rPr>
          <w:noProof/>
        </w:rPr>
        <mc:AlternateContent>
          <mc:Choice Requires="wpg">
            <w:drawing>
              <wp:anchor distT="0" distB="0" distL="114300" distR="114300" simplePos="0" relativeHeight="252010496" behindDoc="1" locked="0" layoutInCell="1" allowOverlap="1">
                <wp:simplePos x="0" y="0"/>
                <wp:positionH relativeFrom="column">
                  <wp:posOffset>6952743</wp:posOffset>
                </wp:positionH>
                <wp:positionV relativeFrom="paragraph">
                  <wp:posOffset>931433</wp:posOffset>
                </wp:positionV>
                <wp:extent cx="524148" cy="3797300"/>
                <wp:effectExtent l="0" t="0" r="0" b="0"/>
                <wp:wrapNone/>
                <wp:docPr id="514698" name="Group 51469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8999" name="Picture 58999"/>
                          <pic:cNvPicPr/>
                        </pic:nvPicPr>
                        <pic:blipFill>
                          <a:blip r:embed="rId62"/>
                          <a:stretch>
                            <a:fillRect/>
                          </a:stretch>
                        </pic:blipFill>
                        <pic:spPr>
                          <a:xfrm rot="-5399999">
                            <a:off x="-1720849" y="1720850"/>
                            <a:ext cx="3797299" cy="355600"/>
                          </a:xfrm>
                          <a:prstGeom prst="rect">
                            <a:avLst/>
                          </a:prstGeom>
                        </pic:spPr>
                      </pic:pic>
                      <wps:wsp>
                        <wps:cNvPr id="59000" name="Rectangle 5900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001" name="Rectangle 5900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347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4698" style="width:41.2715pt;height:299pt;position:absolute;z-index:-2147483565;mso-position-horizontal-relative:text;mso-position-horizontal:absolute;margin-left:547.46pt;mso-position-vertical-relative:text;margin-top:73.3412pt;" coordsize="5241,37973">
                <v:shape id="Picture 58999" style="position:absolute;width:37972;height:3556;left:-17208;top:17208;rotation:-89;" filled="f">
                  <v:imagedata r:id="rId63"/>
                </v:shape>
                <v:rect id="Rectangle 5900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00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347 de 353 </w:t>
                        </w:r>
                      </w:p>
                    </w:txbxContent>
                  </v:textbox>
                </v:rect>
              </v:group>
            </w:pict>
          </mc:Fallback>
        </mc:AlternateContent>
      </w:r>
      <w:r>
        <w:rPr>
          <w:rFonts w:ascii="Arial" w:eastAsia="Arial" w:hAnsi="Arial" w:cs="Arial"/>
        </w:rPr>
        <w:t>Si, teníamos tres pero el primero de ellos ya lo hizo la compañera Ángela, así que paso al segundo, los vecinos de la Calle Amance situada a poco más de cien met</w:t>
      </w:r>
      <w:r>
        <w:rPr>
          <w:rFonts w:ascii="Arial" w:eastAsia="Arial" w:hAnsi="Arial" w:cs="Arial"/>
        </w:rPr>
        <w:t>ros de este Ayuntamiento solicitan que se reasfalte su calle que fue asfaltada hace más de una década y en la actualidad se encuentra con bastantes baches y huecos en la calzada, llegando incluso a desprender arena fina que junto con la gran inclinación de</w:t>
      </w:r>
      <w:r>
        <w:rPr>
          <w:rFonts w:ascii="Arial" w:eastAsia="Arial" w:hAnsi="Arial" w:cs="Arial"/>
        </w:rPr>
        <w:t xml:space="preserve"> la calzada han ocasionada la caída de algunas de las personas que viven en la zona, junto a esto solicitan que se tomen medidas para limpiar el barranco de la zona que hay viviendas muy próximas y se ven afectadas tanto por el riesgo de incendio como por </w:t>
      </w:r>
      <w:r>
        <w:rPr>
          <w:rFonts w:ascii="Arial" w:eastAsia="Arial" w:hAnsi="Arial" w:cs="Arial"/>
        </w:rPr>
        <w:t>las consecuencias que pueda ocasionar intensas lluvias. El último, hace varios meses solicitamos la modificación de la ubicación de los contenedores que se encuentran en el cruce entre la Calle Canarina y la TF-28, porque todos los días pasan los coches de</w:t>
      </w:r>
      <w:r>
        <w:rPr>
          <w:rFonts w:ascii="Arial" w:eastAsia="Arial" w:hAnsi="Arial" w:cs="Arial"/>
        </w:rPr>
        <w:t xml:space="preserve"> las familias que van a llevar y a recoger a los niños que asisten a la guardería municipal. Tras este ruego se procedió a la modificación de su ubicación, pero en las últimas semanas han vuelto a ser colocados como en la situación anterior con lo que vuel</w:t>
      </w:r>
      <w:r>
        <w:rPr>
          <w:rFonts w:ascii="Arial" w:eastAsia="Arial" w:hAnsi="Arial" w:cs="Arial"/>
        </w:rPr>
        <w:t xml:space="preserve">ve a haber el riesgo para la seguridad de los conductores, ciclistas, motoristas y personas que acuden a los establecimientos próximos. gracias.  </w:t>
      </w:r>
    </w:p>
    <w:p w:rsidR="00FF384B" w:rsidRDefault="003E3BA9">
      <w:pPr>
        <w:spacing w:after="15"/>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28" w:line="247" w:lineRule="auto"/>
        <w:ind w:left="437" w:hanging="10"/>
        <w:jc w:val="both"/>
      </w:pPr>
      <w:r>
        <w:rPr>
          <w:rFonts w:ascii="Arial" w:eastAsia="Arial" w:hAnsi="Arial" w:cs="Arial"/>
        </w:rPr>
        <w:t xml:space="preserve">Yo no tenía conocimiento de ruedo de los contenedores, en el </w:t>
      </w:r>
      <w:r>
        <w:rPr>
          <w:rFonts w:ascii="Arial" w:eastAsia="Arial" w:hAnsi="Arial" w:cs="Arial"/>
        </w:rPr>
        <w:t xml:space="preserve">caso de Amance si sé que está incluida ya en la propuesta, si tu lo puedes comentar Jorge porque no solo es pavimento sino allí creo que hay una intervención mucho más profunda en la calle.  </w:t>
      </w:r>
    </w:p>
    <w:p w:rsidR="00FF384B" w:rsidRDefault="003E3BA9">
      <w:pPr>
        <w:spacing w:after="15"/>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DON JORGE BAUTE DELGADO. – </w:t>
      </w:r>
    </w:p>
    <w:p w:rsidR="00FF384B" w:rsidRDefault="003E3BA9">
      <w:pPr>
        <w:spacing w:after="5" w:line="247" w:lineRule="auto"/>
        <w:ind w:left="437" w:right="8" w:hanging="10"/>
        <w:jc w:val="both"/>
      </w:pPr>
      <w:r>
        <w:rPr>
          <w:rFonts w:ascii="Arial" w:eastAsia="Arial" w:hAnsi="Arial" w:cs="Arial"/>
        </w:rPr>
        <w:t>Simplemente comentar qu</w:t>
      </w:r>
      <w:r>
        <w:rPr>
          <w:rFonts w:ascii="Arial" w:eastAsia="Arial" w:hAnsi="Arial" w:cs="Arial"/>
        </w:rPr>
        <w:t>e en Amance está prevista una intervención, pero volviendo a lo de la moción anterior, no solo de asfaltado sino de canalización, de saneamiento y no está todo lo bien que debería estar, en la parte alta está dando problemas y proceder si es viable también</w:t>
      </w:r>
      <w:r>
        <w:rPr>
          <w:rFonts w:ascii="Arial" w:eastAsia="Arial" w:hAnsi="Arial" w:cs="Arial"/>
        </w:rPr>
        <w:t xml:space="preserve"> debido al espacio con las limitaciones que tenemos hacer una acera también, son actuaciones que tenemos previsto hacer en esa calle. El último ruego la verdad que lo oí por alto, decías en la calle Acerina?. –</w:t>
      </w:r>
      <w:r>
        <w:rPr>
          <w:rFonts w:ascii="Times New Roman" w:eastAsia="Times New Roman" w:hAnsi="Times New Roman" w:cs="Times New Roman"/>
          <w:sz w:val="24"/>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INTERVIENE LA SEÑORA ALCALDESA-PRESIDENTA.</w:t>
      </w:r>
      <w:r>
        <w:rPr>
          <w:rFonts w:ascii="Arial" w:eastAsia="Arial" w:hAnsi="Arial" w:cs="Arial"/>
          <w:b/>
        </w:rPr>
        <w:t xml:space="preserve"> - </w:t>
      </w:r>
    </w:p>
    <w:p w:rsidR="00FF384B" w:rsidRDefault="003E3BA9">
      <w:pPr>
        <w:spacing w:after="5" w:line="247" w:lineRule="auto"/>
        <w:ind w:left="437" w:right="6188" w:hanging="10"/>
        <w:jc w:val="both"/>
      </w:pPr>
      <w:r>
        <w:rPr>
          <w:rFonts w:ascii="Arial" w:eastAsia="Arial" w:hAnsi="Arial" w:cs="Arial"/>
        </w:rPr>
        <w:t xml:space="preserve">Por la guardería, Jorge, lo comentas, yo sí creo saber a lo que te refieres. Preguntas, Doña Ángela.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ÁNGELA CRUZ PERERA. - </w:t>
      </w:r>
    </w:p>
    <w:p w:rsidR="00FF384B" w:rsidRDefault="003E3BA9">
      <w:pPr>
        <w:spacing w:after="5" w:line="247" w:lineRule="auto"/>
        <w:ind w:left="437" w:hanging="10"/>
        <w:jc w:val="both"/>
      </w:pPr>
      <w:r>
        <w:rPr>
          <w:rFonts w:ascii="Arial" w:eastAsia="Arial" w:hAnsi="Arial" w:cs="Arial"/>
        </w:rPr>
        <w:t xml:space="preserve">Este fin de semana pues nos dimos una vuelta por Las Caletillas ante la queja que nos habían pasado algunos </w:t>
      </w:r>
      <w:r>
        <w:rPr>
          <w:rFonts w:ascii="Arial" w:eastAsia="Arial" w:hAnsi="Arial" w:cs="Arial"/>
        </w:rPr>
        <w:t xml:space="preserve">vecinos, para confirmar el cese de actividad en las obras de reforma de la plaza nueva de Las Caletillas, qué razones han motivado la suspensión de las obras.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INTEVIENE LA SEÑORA ALCALDESA-PRESIDENTA.  </w:t>
      </w:r>
    </w:p>
    <w:p w:rsidR="00FF384B" w:rsidRDefault="003E3BA9">
      <w:pPr>
        <w:spacing w:after="5" w:line="247" w:lineRule="auto"/>
        <w:ind w:left="437" w:right="8" w:hanging="10"/>
        <w:jc w:val="both"/>
      </w:pPr>
      <w:r>
        <w:rPr>
          <w:rFonts w:ascii="Arial" w:eastAsia="Arial" w:hAnsi="Arial" w:cs="Arial"/>
        </w:rPr>
        <w:t>Creo que se está tramitando la modificación del proyecto, allí se han detectado algunas cuestiones a nivel técnico, lo recabaremos pero lo que sabemos en estos días se está tramitando y hasta que no se tramite están paralizadas las obras, algo similar como</w:t>
      </w:r>
      <w:r>
        <w:rPr>
          <w:rFonts w:ascii="Arial" w:eastAsia="Arial" w:hAnsi="Arial" w:cs="Arial"/>
        </w:rPr>
        <w:t xml:space="preserve"> ocurrió en Llano de la Rosa en Barranco Hondo cuando hubo que suspender allí también el contrato un tiempo porque se estaba redactando también una modificación, ahora no sé si se ha producido porque yo no he firmado, una suspensión de contrato, no, creo q</w:t>
      </w:r>
      <w:r>
        <w:rPr>
          <w:rFonts w:ascii="Arial" w:eastAsia="Arial" w:hAnsi="Arial" w:cs="Arial"/>
        </w:rPr>
        <w:t>ue no, pero sí que unos días se ha paralizado porque están pendientes de esa modificación, es lo que por el momento sé, de todas maneras lo recabaremos y a ver si  ya podemos darle respuesta y que se han podido retomar para el próximo Pleno, espero que ant</w:t>
      </w:r>
      <w:r>
        <w:rPr>
          <w:rFonts w:ascii="Arial" w:eastAsia="Arial" w:hAnsi="Arial" w:cs="Arial"/>
        </w:rPr>
        <w:t xml:space="preserve">es.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5" w:line="247" w:lineRule="auto"/>
        <w:ind w:left="437" w:hanging="10"/>
        <w:jc w:val="both"/>
      </w:pPr>
      <w:r>
        <w:rPr>
          <w:rFonts w:ascii="Arial" w:eastAsia="Arial" w:hAnsi="Arial" w:cs="Arial"/>
        </w:rPr>
        <w:t xml:space="preserve">Doña Lourdes preguntas, Don Antonio, perdón, Lourdes preguntas, si, ah era lo que comentó antes, disculpe, es la respuesta, si, perdón y Doña Raquel, preguntas.  </w:t>
      </w:r>
    </w:p>
    <w:p w:rsidR="00FF384B" w:rsidRDefault="003E3BA9">
      <w:pPr>
        <w:spacing w:after="15" w:line="247" w:lineRule="auto"/>
        <w:ind w:left="415" w:hanging="3"/>
        <w:jc w:val="both"/>
      </w:pPr>
      <w:r>
        <w:rPr>
          <w:rFonts w:ascii="Arial" w:eastAsia="Arial" w:hAnsi="Arial" w:cs="Arial"/>
        </w:rPr>
        <w:t xml:space="preserve"> </w:t>
      </w:r>
      <w:r>
        <w:rPr>
          <w:rFonts w:ascii="Arial" w:eastAsia="Arial" w:hAnsi="Arial" w:cs="Arial"/>
          <w:b/>
        </w:rPr>
        <w:t xml:space="preserve">INTERVIENE DOÑA RAQUEL MARTÍN CASTRO. </w:t>
      </w:r>
      <w:r>
        <w:rPr>
          <w:rFonts w:ascii="Arial" w:eastAsia="Arial" w:hAnsi="Arial" w:cs="Arial"/>
          <w:b/>
        </w:rPr>
        <w:t>–</w:t>
      </w:r>
      <w:r>
        <w:rPr>
          <w:rFonts w:ascii="Times New Roman" w:eastAsia="Times New Roman" w:hAnsi="Times New Roman" w:cs="Times New Roman"/>
          <w:sz w:val="24"/>
        </w:rPr>
        <w:t xml:space="preserve"> </w:t>
      </w:r>
    </w:p>
    <w:p w:rsidR="00FF384B" w:rsidRDefault="003E3BA9">
      <w:pPr>
        <w:spacing w:after="5" w:line="247" w:lineRule="auto"/>
        <w:ind w:left="437" w:right="244" w:hanging="10"/>
        <w:jc w:val="both"/>
      </w:pPr>
      <w:r>
        <w:rPr>
          <w:rFonts w:ascii="Arial" w:eastAsia="Arial" w:hAnsi="Arial" w:cs="Arial"/>
        </w:rPr>
        <w:t xml:space="preserve">Gracias.  </w:t>
      </w:r>
    </w:p>
    <w:p w:rsidR="00FF384B" w:rsidRDefault="003E3BA9">
      <w:pPr>
        <w:spacing w:after="5" w:line="247" w:lineRule="auto"/>
        <w:ind w:left="437" w:right="8" w:hanging="10"/>
        <w:jc w:val="both"/>
      </w:pPr>
      <w:r>
        <w:rPr>
          <w:noProof/>
        </w:rPr>
        <mc:AlternateContent>
          <mc:Choice Requires="wpg">
            <w:drawing>
              <wp:anchor distT="0" distB="0" distL="114300" distR="114300" simplePos="0" relativeHeight="252011520" behindDoc="1" locked="0" layoutInCell="1" allowOverlap="1">
                <wp:simplePos x="0" y="0"/>
                <wp:positionH relativeFrom="column">
                  <wp:posOffset>6952743</wp:posOffset>
                </wp:positionH>
                <wp:positionV relativeFrom="paragraph">
                  <wp:posOffset>-1149080</wp:posOffset>
                </wp:positionV>
                <wp:extent cx="524148" cy="3797300"/>
                <wp:effectExtent l="0" t="0" r="0" b="0"/>
                <wp:wrapNone/>
                <wp:docPr id="514938" name="Group 514938"/>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110" name="Picture 59110"/>
                          <pic:cNvPicPr/>
                        </pic:nvPicPr>
                        <pic:blipFill>
                          <a:blip r:embed="rId62"/>
                          <a:stretch>
                            <a:fillRect/>
                          </a:stretch>
                        </pic:blipFill>
                        <pic:spPr>
                          <a:xfrm rot="-5399999">
                            <a:off x="-1720849" y="1720850"/>
                            <a:ext cx="3797299" cy="355600"/>
                          </a:xfrm>
                          <a:prstGeom prst="rect">
                            <a:avLst/>
                          </a:prstGeom>
                        </pic:spPr>
                      </pic:pic>
                      <wps:wsp>
                        <wps:cNvPr id="59111" name="Rectangle 59111"/>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112" name="Rectangle 59112"/>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348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4938" style="width:41.2715pt;height:299pt;position:absolute;z-index:-2147483546;mso-position-horizontal-relative:text;mso-position-horizontal:absolute;margin-left:547.46pt;mso-position-vertical-relative:text;margin-top:-90.4788pt;" coordsize="5241,37973">
                <v:shape id="Picture 59110" style="position:absolute;width:37972;height:3556;left:-17208;top:17208;rotation:-89;" filled="f">
                  <v:imagedata r:id="rId63"/>
                </v:shape>
                <v:rect id="Rectangle 59111"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112"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348 de 353 </w:t>
                        </w:r>
                      </w:p>
                    </w:txbxContent>
                  </v:textbox>
                </v:rect>
              </v:group>
            </w:pict>
          </mc:Fallback>
        </mc:AlternateContent>
      </w:r>
      <w:r>
        <w:rPr>
          <w:rFonts w:ascii="Arial" w:eastAsia="Arial" w:hAnsi="Arial" w:cs="Arial"/>
        </w:rPr>
        <w:t xml:space="preserve">El cine viejo ha vuelto a ser empleado como </w:t>
      </w:r>
      <w:r>
        <w:rPr>
          <w:rFonts w:ascii="Arial" w:eastAsia="Arial" w:hAnsi="Arial" w:cs="Arial"/>
        </w:rPr>
        <w:t>lugar de eventos culturales, sin embargo, no se ha procedido a retirar la estructura del belén municipal con lo que se obstruye la salida de emergencia que se encuentra en el lateral del edificio y que da a la zona de la plaza del centro cultural, lo que h</w:t>
      </w:r>
      <w:r>
        <w:rPr>
          <w:rFonts w:ascii="Arial" w:eastAsia="Arial" w:hAnsi="Arial" w:cs="Arial"/>
        </w:rPr>
        <w:t>a generado dudas en las personas que quieren asistir al lugar antes las posibles consecuencias que se puedan generar para su seguridad. Nos pueden decir si tienen contemplada esta situación, si ya no es necesaria esa salida de emergencia y se va a mantener</w:t>
      </w:r>
      <w:r>
        <w:rPr>
          <w:rFonts w:ascii="Arial" w:eastAsia="Arial" w:hAnsi="Arial" w:cs="Arial"/>
        </w:rPr>
        <w:t xml:space="preserve"> la estructura del belén municipal.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5" w:line="247" w:lineRule="auto"/>
        <w:ind w:left="437" w:hanging="10"/>
        <w:jc w:val="both"/>
      </w:pPr>
      <w:r>
        <w:rPr>
          <w:rFonts w:ascii="Arial" w:eastAsia="Arial" w:hAnsi="Arial" w:cs="Arial"/>
        </w:rPr>
        <w:t xml:space="preserve">Jorge puedes comentar, no sé si Manolo también porque yo creo que allí, aunque está eso ahí pero se está dando el circuito para que no haya ningún problema, pero Jorge puedes comentarlo por favor.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DON JORGE BAUTE DELGADO. – </w:t>
      </w:r>
    </w:p>
    <w:p w:rsidR="00FF384B" w:rsidRDefault="003E3BA9">
      <w:pPr>
        <w:spacing w:after="5" w:line="247" w:lineRule="auto"/>
        <w:ind w:left="437" w:hanging="10"/>
        <w:jc w:val="both"/>
      </w:pPr>
      <w:r>
        <w:rPr>
          <w:rFonts w:ascii="Arial" w:eastAsia="Arial" w:hAnsi="Arial" w:cs="Arial"/>
        </w:rPr>
        <w:t>Si, en principio la estructura no se va… estamos en mayo y la estructura en principio no se va a retirar porque prácticamente en septiembre hay que volver a iniciar de nuevo a volver a montarlo, pero eso no condiciona que el cine esté cumpliendo las normas</w:t>
      </w:r>
      <w:r>
        <w:rPr>
          <w:rFonts w:ascii="Arial" w:eastAsia="Arial" w:hAnsi="Arial" w:cs="Arial"/>
        </w:rPr>
        <w:t xml:space="preserve"> que marca ahora misma la situación, la capacidad que tiene y la puerta que tiene de evacuación, o sea, el aforo está adaptado a la puerta de evacuación que tiene.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5" w:line="247" w:lineRule="auto"/>
        <w:ind w:left="437" w:right="244" w:hanging="10"/>
        <w:jc w:val="both"/>
      </w:pPr>
      <w:r>
        <w:rPr>
          <w:rFonts w:ascii="Arial" w:eastAsia="Arial" w:hAnsi="Arial" w:cs="Arial"/>
        </w:rPr>
        <w:t xml:space="preserve">No entiendo, el aforo...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INTERVIENE LA SEÑO</w:t>
      </w:r>
      <w:r>
        <w:rPr>
          <w:rFonts w:ascii="Arial" w:eastAsia="Arial" w:hAnsi="Arial" w:cs="Arial"/>
          <w:b/>
        </w:rPr>
        <w:t xml:space="preserve">RA ALCALDESA-PRESIDENTA. - </w:t>
      </w:r>
    </w:p>
    <w:p w:rsidR="00FF384B" w:rsidRDefault="003E3BA9">
      <w:pPr>
        <w:spacing w:after="5" w:line="247" w:lineRule="auto"/>
        <w:ind w:left="437" w:hanging="10"/>
        <w:jc w:val="both"/>
      </w:pPr>
      <w:r>
        <w:rPr>
          <w:rFonts w:ascii="Arial" w:eastAsia="Arial" w:hAnsi="Arial" w:cs="Arial"/>
        </w:rPr>
        <w:t xml:space="preserve">El aforo es menor incluso al que se permite ahora con la fase que estamos, incluso el aforo es menor de lo que se permite porque como hay que guardar las distancias, hay que...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5" w:line="247" w:lineRule="auto"/>
        <w:ind w:left="437" w:right="244" w:hanging="10"/>
        <w:jc w:val="both"/>
      </w:pPr>
      <w:r>
        <w:rPr>
          <w:rFonts w:ascii="Arial" w:eastAsia="Arial" w:hAnsi="Arial" w:cs="Arial"/>
        </w:rPr>
        <w:t>La pue</w:t>
      </w:r>
      <w:r>
        <w:rPr>
          <w:rFonts w:ascii="Arial" w:eastAsia="Arial" w:hAnsi="Arial" w:cs="Arial"/>
        </w:rPr>
        <w:t xml:space="preserve">rta de emergencias es la pregunta, que si se encuentra habilitada, la bloquea la estructura ¿no?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INTERVIENE DON JORGE BAUTE DELGADO. -</w:t>
      </w:r>
      <w:r>
        <w:rPr>
          <w:rFonts w:ascii="Times New Roman" w:eastAsia="Times New Roman" w:hAnsi="Times New Roman" w:cs="Times New Roman"/>
          <w:sz w:val="24"/>
        </w:rPr>
        <w:t xml:space="preserve"> </w:t>
      </w:r>
    </w:p>
    <w:p w:rsidR="00FF384B" w:rsidRDefault="003E3BA9">
      <w:pPr>
        <w:spacing w:after="5" w:line="247" w:lineRule="auto"/>
        <w:ind w:left="437" w:hanging="10"/>
        <w:jc w:val="both"/>
      </w:pPr>
      <w:r>
        <w:rPr>
          <w:noProof/>
        </w:rPr>
        <mc:AlternateContent>
          <mc:Choice Requires="wpg">
            <w:drawing>
              <wp:anchor distT="0" distB="0" distL="114300" distR="114300" simplePos="0" relativeHeight="252012544" behindDoc="0" locked="0" layoutInCell="1" allowOverlap="1">
                <wp:simplePos x="0" y="0"/>
                <wp:positionH relativeFrom="column">
                  <wp:posOffset>6952743</wp:posOffset>
                </wp:positionH>
                <wp:positionV relativeFrom="paragraph">
                  <wp:posOffset>135905</wp:posOffset>
                </wp:positionV>
                <wp:extent cx="524148" cy="3797300"/>
                <wp:effectExtent l="0" t="0" r="0" b="0"/>
                <wp:wrapSquare wrapText="bothSides"/>
                <wp:docPr id="515122" name="Group 51512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217" name="Picture 59217"/>
                          <pic:cNvPicPr/>
                        </pic:nvPicPr>
                        <pic:blipFill>
                          <a:blip r:embed="rId62"/>
                          <a:stretch>
                            <a:fillRect/>
                          </a:stretch>
                        </pic:blipFill>
                        <pic:spPr>
                          <a:xfrm rot="-5399999">
                            <a:off x="-1720849" y="1720850"/>
                            <a:ext cx="3797299" cy="355600"/>
                          </a:xfrm>
                          <a:prstGeom prst="rect">
                            <a:avLst/>
                          </a:prstGeom>
                        </pic:spPr>
                      </pic:pic>
                      <wps:wsp>
                        <wps:cNvPr id="59218" name="Rectangle 59218"/>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219" name="Rectangle 59219"/>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firm</w:t>
                              </w:r>
                              <w:r>
                                <w:rPr>
                                  <w:rFonts w:ascii="Arial" w:eastAsia="Arial" w:hAnsi="Arial" w:cs="Arial"/>
                                  <w:sz w:val="12"/>
                                </w:rPr>
                                <w:t xml:space="preserve">ado electrónicamente desde la plataforma esPublico Gestiona | Página 349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5122" style="width:41.2715pt;height:299pt;position:absolute;mso-position-horizontal-relative:text;mso-position-horizontal:absolute;margin-left:547.46pt;mso-position-vertical-relative:text;margin-top:10.7012pt;" coordsize="5241,37973">
                <v:shape id="Picture 59217" style="position:absolute;width:37972;height:3556;left:-17208;top:17208;rotation:-89;" filled="f">
                  <v:imagedata r:id="rId63"/>
                </v:shape>
                <v:rect id="Rectangle 59218"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219"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349 de 353 </w:t>
                        </w:r>
                      </w:p>
                    </w:txbxContent>
                  </v:textbox>
                </v:rect>
                <w10:wrap type="square"/>
              </v:group>
            </w:pict>
          </mc:Fallback>
        </mc:AlternateContent>
      </w:r>
      <w:r>
        <w:rPr>
          <w:rFonts w:ascii="Arial" w:eastAsia="Arial" w:hAnsi="Arial" w:cs="Arial"/>
        </w:rPr>
        <w:t xml:space="preserve">Si, pero en la actualidad se está cumpliendo el aforo que permite tal como está la situación, no se está contando con esa puerta de evacuación ahora mismo.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DOÑA RAQUEL MARTÍN CASTRO. – </w:t>
      </w:r>
    </w:p>
    <w:p w:rsidR="00FF384B" w:rsidRDefault="003E3BA9">
      <w:pPr>
        <w:spacing w:after="5" w:line="247" w:lineRule="auto"/>
        <w:ind w:left="437" w:right="3161" w:hanging="10"/>
        <w:jc w:val="both"/>
      </w:pPr>
      <w:r>
        <w:rPr>
          <w:rFonts w:ascii="Arial" w:eastAsia="Arial" w:hAnsi="Arial" w:cs="Arial"/>
        </w:rPr>
        <w:t xml:space="preserve">¿No se cuenta con esa puerta, hay otras alternativas?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LA SEÑORA ALCALDESA-PRESIDENTA. – </w:t>
      </w:r>
    </w:p>
    <w:p w:rsidR="00FF384B" w:rsidRDefault="003E3BA9">
      <w:pPr>
        <w:spacing w:after="5" w:line="247" w:lineRule="auto"/>
        <w:ind w:left="437" w:right="3161" w:hanging="10"/>
        <w:jc w:val="both"/>
      </w:pPr>
      <w:r>
        <w:rPr>
          <w:rFonts w:ascii="Arial" w:eastAsia="Arial" w:hAnsi="Arial" w:cs="Arial"/>
        </w:rPr>
        <w:t xml:space="preserve">Si,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DON JORGE BAUTE DELGADO. – </w:t>
      </w:r>
    </w:p>
    <w:p w:rsidR="00FF384B" w:rsidRDefault="003E3BA9">
      <w:pPr>
        <w:spacing w:after="5" w:line="247" w:lineRule="auto"/>
        <w:ind w:left="437" w:right="3161" w:hanging="10"/>
        <w:jc w:val="both"/>
      </w:pPr>
      <w:r>
        <w:rPr>
          <w:rFonts w:ascii="Arial" w:eastAsia="Arial" w:hAnsi="Arial" w:cs="Arial"/>
        </w:rPr>
        <w:t xml:space="preserve">No cuenta ahora misma para nada esa puerta.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INTERVIENE DO</w:t>
      </w:r>
      <w:r>
        <w:rPr>
          <w:rFonts w:ascii="Arial" w:eastAsia="Arial" w:hAnsi="Arial" w:cs="Arial"/>
          <w:b/>
        </w:rPr>
        <w:t xml:space="preserve">ÑA RAQUEL MARTÍN CASTRO. – </w:t>
      </w:r>
    </w:p>
    <w:p w:rsidR="00FF384B" w:rsidRDefault="003E3BA9">
      <w:pPr>
        <w:spacing w:after="5" w:line="247" w:lineRule="auto"/>
        <w:ind w:left="437" w:right="3161" w:hanging="10"/>
        <w:jc w:val="both"/>
      </w:pPr>
      <w:r>
        <w:rPr>
          <w:rFonts w:ascii="Arial" w:eastAsia="Arial" w:hAnsi="Arial" w:cs="Arial"/>
        </w:rPr>
        <w:t xml:space="preserve">¿Y qué otra alternativa hay?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DON JORGE BAUTE DELGADO. -  </w:t>
      </w:r>
    </w:p>
    <w:p w:rsidR="00FF384B" w:rsidRDefault="003E3BA9">
      <w:pPr>
        <w:spacing w:after="5" w:line="247" w:lineRule="auto"/>
        <w:ind w:left="437" w:right="3161" w:hanging="10"/>
        <w:jc w:val="both"/>
      </w:pPr>
      <w:r>
        <w:rPr>
          <w:rFonts w:ascii="Arial" w:eastAsia="Arial" w:hAnsi="Arial" w:cs="Arial"/>
        </w:rPr>
        <w:t xml:space="preserve">La entrada principal.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DOÑA RAQUEL MARTÍN CASTRO. – </w:t>
      </w:r>
    </w:p>
    <w:p w:rsidR="00FF384B" w:rsidRDefault="003E3BA9">
      <w:pPr>
        <w:spacing w:after="5" w:line="247" w:lineRule="auto"/>
        <w:ind w:left="437" w:right="3161" w:hanging="10"/>
        <w:jc w:val="both"/>
      </w:pPr>
      <w:r>
        <w:rPr>
          <w:rFonts w:ascii="Arial" w:eastAsia="Arial" w:hAnsi="Arial" w:cs="Arial"/>
        </w:rPr>
        <w:t xml:space="preserve">Esa es la puerta de emergencia.  </w:t>
      </w:r>
    </w:p>
    <w:p w:rsidR="00FF384B" w:rsidRDefault="003E3BA9">
      <w:pPr>
        <w:spacing w:after="0"/>
        <w:ind w:left="427"/>
      </w:pPr>
      <w:r>
        <w:rPr>
          <w:rFonts w:ascii="Arial" w:eastAsia="Arial" w:hAnsi="Arial" w:cs="Arial"/>
        </w:rPr>
        <w:t xml:space="preserve"> </w:t>
      </w:r>
    </w:p>
    <w:p w:rsidR="00FF384B" w:rsidRDefault="003E3BA9">
      <w:pPr>
        <w:spacing w:after="5" w:line="247" w:lineRule="auto"/>
        <w:ind w:left="437" w:right="244" w:hanging="10"/>
        <w:jc w:val="both"/>
      </w:pPr>
      <w:r>
        <w:rPr>
          <w:rFonts w:ascii="Arial" w:eastAsia="Arial" w:hAnsi="Arial" w:cs="Arial"/>
        </w:rPr>
        <w:t>(habla la señora Alcaldesa-</w:t>
      </w:r>
      <w:r>
        <w:rPr>
          <w:rFonts w:ascii="Arial" w:eastAsia="Arial" w:hAnsi="Arial" w:cs="Arial"/>
        </w:rPr>
        <w:t xml:space="preserve">Presidenta y Don Jorge Baute Delgado a la vez y no se entiende lo que dicen)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DON MANUEL ALBERTO GONZÁLEZ PESTANO. – </w:t>
      </w:r>
    </w:p>
    <w:p w:rsidR="00FF384B" w:rsidRDefault="003E3BA9">
      <w:pPr>
        <w:spacing w:after="1" w:line="239" w:lineRule="auto"/>
        <w:ind w:left="437" w:hanging="10"/>
      </w:pPr>
      <w:r>
        <w:rPr>
          <w:rFonts w:ascii="Arial" w:eastAsia="Arial" w:hAnsi="Arial" w:cs="Arial"/>
        </w:rPr>
        <w:t>Buenas tardes, el compañero Jorge lo que entiendo que quiere indicar es que la seguridad, las puertas de seguridad, de emerge</w:t>
      </w:r>
      <w:r>
        <w:rPr>
          <w:rFonts w:ascii="Arial" w:eastAsia="Arial" w:hAnsi="Arial" w:cs="Arial"/>
        </w:rPr>
        <w:t>ncia como son las del acceso principal cuentan con todos los elementos que requieren, tienen un volumen de evacuación, el aforo en condiciones generales sin COVID y de pie, creo que está en torno a unas ochocientas personas, en butacas sin COVID, cuatrocie</w:t>
      </w:r>
      <w:r>
        <w:rPr>
          <w:rFonts w:ascii="Arial" w:eastAsia="Arial" w:hAnsi="Arial" w:cs="Arial"/>
        </w:rPr>
        <w:t>ntas  y ahora estamos en un aforo de cien, estamos cumpliendo con los niveles de evacuación de personas por minuto que se estime con las dos puertas principales que tenemos. Lo que entiendo que quiere comentar Jorge es que no es necesario, seguimos cumplie</w:t>
      </w:r>
      <w:r>
        <w:rPr>
          <w:rFonts w:ascii="Arial" w:eastAsia="Arial" w:hAnsi="Arial" w:cs="Arial"/>
        </w:rPr>
        <w:t xml:space="preserve">ndo estando esa puerta cerrada, la que usted indica que está hacia el belén. Espero haberle contestado.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w:t>
      </w:r>
    </w:p>
    <w:p w:rsidR="00FF384B" w:rsidRDefault="003E3BA9">
      <w:pPr>
        <w:spacing w:after="5" w:line="247" w:lineRule="auto"/>
        <w:ind w:left="437" w:right="244" w:hanging="10"/>
        <w:jc w:val="both"/>
      </w:pPr>
      <w:r>
        <w:rPr>
          <w:rFonts w:ascii="Arial" w:eastAsia="Arial" w:hAnsi="Arial" w:cs="Arial"/>
        </w:rPr>
        <w:t xml:space="preserve">Gracias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5" w:line="247" w:lineRule="auto"/>
        <w:ind w:left="437" w:right="244" w:hanging="10"/>
        <w:jc w:val="both"/>
      </w:pPr>
      <w:r>
        <w:rPr>
          <w:rFonts w:ascii="Arial" w:eastAsia="Arial" w:hAnsi="Arial" w:cs="Arial"/>
        </w:rPr>
        <w:t xml:space="preserve">Gracias Manolo.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INTERVIENE DON MANUEL ALBERTO G</w:t>
      </w:r>
      <w:r>
        <w:rPr>
          <w:rFonts w:ascii="Arial" w:eastAsia="Arial" w:hAnsi="Arial" w:cs="Arial"/>
          <w:b/>
        </w:rPr>
        <w:t xml:space="preserve">ONZÁLEZ PESTANO. – </w:t>
      </w:r>
    </w:p>
    <w:p w:rsidR="00FF384B" w:rsidRDefault="003E3BA9">
      <w:pPr>
        <w:spacing w:after="28" w:line="247" w:lineRule="auto"/>
        <w:ind w:left="437" w:hanging="10"/>
        <w:jc w:val="both"/>
      </w:pPr>
      <w:r>
        <w:rPr>
          <w:rFonts w:ascii="Arial" w:eastAsia="Arial" w:hAnsi="Arial" w:cs="Arial"/>
        </w:rPr>
        <w:t xml:space="preserve">Disculpa Mari, estamos en un aforo ahora de unas ciento diez personas, se está respetando la distancia de metro y medio unidad de convivencia con otra persona hasta que no se modifique estamos en esos números para que no …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INTERVIEN</w:t>
      </w:r>
      <w:r>
        <w:rPr>
          <w:rFonts w:ascii="Arial" w:eastAsia="Arial" w:hAnsi="Arial" w:cs="Arial"/>
          <w:b/>
        </w:rPr>
        <w:t xml:space="preserve">E LA SEÑORA ALCALDESA-PRESIDENTA. - </w:t>
      </w:r>
    </w:p>
    <w:p w:rsidR="00FF384B" w:rsidRDefault="003E3BA9">
      <w:pPr>
        <w:spacing w:after="5" w:line="247" w:lineRule="auto"/>
        <w:ind w:left="437" w:right="244" w:hanging="10"/>
        <w:jc w:val="both"/>
      </w:pPr>
      <w:r>
        <w:rPr>
          <w:rFonts w:ascii="Arial" w:eastAsia="Arial" w:hAnsi="Arial" w:cs="Arial"/>
        </w:rPr>
        <w:t xml:space="preserve">Gracias, habías terminado Raquel.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5" w:line="247" w:lineRule="auto"/>
        <w:ind w:left="437" w:right="244" w:hanging="10"/>
        <w:jc w:val="both"/>
      </w:pPr>
      <w:r>
        <w:rPr>
          <w:rFonts w:ascii="Arial" w:eastAsia="Arial" w:hAnsi="Arial" w:cs="Arial"/>
        </w:rPr>
        <w:t xml:space="preserve">Era la primera pregunta. </w:t>
      </w:r>
    </w:p>
    <w:p w:rsidR="00FF384B" w:rsidRDefault="003E3BA9">
      <w:pPr>
        <w:spacing w:after="5" w:line="247" w:lineRule="auto"/>
        <w:ind w:left="437" w:right="8" w:hanging="10"/>
        <w:jc w:val="both"/>
      </w:pPr>
      <w:r>
        <w:rPr>
          <w:noProof/>
        </w:rPr>
        <mc:AlternateContent>
          <mc:Choice Requires="wpg">
            <w:drawing>
              <wp:anchor distT="0" distB="0" distL="114300" distR="114300" simplePos="0" relativeHeight="252013568" behindDoc="1" locked="0" layoutInCell="1" allowOverlap="1">
                <wp:simplePos x="0" y="0"/>
                <wp:positionH relativeFrom="column">
                  <wp:posOffset>6952743</wp:posOffset>
                </wp:positionH>
                <wp:positionV relativeFrom="paragraph">
                  <wp:posOffset>-1953752</wp:posOffset>
                </wp:positionV>
                <wp:extent cx="524148" cy="3797300"/>
                <wp:effectExtent l="0" t="0" r="0" b="0"/>
                <wp:wrapNone/>
                <wp:docPr id="515262" name="Group 515262"/>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309" name="Picture 59309"/>
                          <pic:cNvPicPr/>
                        </pic:nvPicPr>
                        <pic:blipFill>
                          <a:blip r:embed="rId62"/>
                          <a:stretch>
                            <a:fillRect/>
                          </a:stretch>
                        </pic:blipFill>
                        <pic:spPr>
                          <a:xfrm rot="-5399999">
                            <a:off x="-1720849" y="1720850"/>
                            <a:ext cx="3797299" cy="355600"/>
                          </a:xfrm>
                          <a:prstGeom prst="rect">
                            <a:avLst/>
                          </a:prstGeom>
                        </pic:spPr>
                      </pic:pic>
                      <wps:wsp>
                        <wps:cNvPr id="59310" name="Rectangle 5931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311" name="Rectangle 5931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350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5262" style="width:41.2715pt;height:299pt;position:absolute;z-index:-2147483563;mso-position-horizontal-relative:text;mso-position-horizontal:absolute;margin-left:547.46pt;mso-position-vertical-relative:text;margin-top:-153.839pt;" coordsize="5241,37973">
                <v:shape id="Picture 59309" style="position:absolute;width:37972;height:3556;left:-17208;top:17208;rotation:-89;" filled="f">
                  <v:imagedata r:id="rId63"/>
                </v:shape>
                <v:rect id="Rectangle 5931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31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350 de 353 </w:t>
                        </w:r>
                      </w:p>
                    </w:txbxContent>
                  </v:textbox>
                </v:rect>
              </v:group>
            </w:pict>
          </mc:Fallback>
        </mc:AlternateContent>
      </w:r>
      <w:r>
        <w:rPr>
          <w:rFonts w:ascii="Arial" w:eastAsia="Arial" w:hAnsi="Arial" w:cs="Arial"/>
        </w:rPr>
        <w:t>Desde hace varias semanas los vecinos que transitan la calle que va desde la calle que va desde la Urbanización Los Menceyes hasta el campo de futbol nos han ale</w:t>
      </w:r>
      <w:r>
        <w:rPr>
          <w:rFonts w:ascii="Arial" w:eastAsia="Arial" w:hAnsi="Arial" w:cs="Arial"/>
        </w:rPr>
        <w:t>rtado de la proliferación de rabo de gato en los bordes de la calzada con el riesgo de incendio en la zona tan transitada por los vehículos y próxima a la autopista, que en los últimos años se ha visto afectada por pequeños incendios, por lo que nos gustar</w:t>
      </w:r>
      <w:r>
        <w:rPr>
          <w:rFonts w:ascii="Arial" w:eastAsia="Arial" w:hAnsi="Arial" w:cs="Arial"/>
        </w:rPr>
        <w:t xml:space="preserve">ía saber si tienen una plan para actuar próximamente en la zona y así evitar riesgos de incendios.  </w:t>
      </w:r>
    </w:p>
    <w:p w:rsidR="00FF384B" w:rsidRDefault="003E3BA9">
      <w:pPr>
        <w:spacing w:after="0"/>
        <w:ind w:left="427"/>
      </w:pPr>
      <w:r>
        <w:rPr>
          <w:rFonts w:ascii="Arial" w:eastAsia="Arial" w:hAnsi="Arial" w:cs="Arial"/>
        </w:rPr>
        <w:t xml:space="preserv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0"/>
        <w:ind w:left="427"/>
      </w:pPr>
      <w:r>
        <w:rPr>
          <w:rFonts w:ascii="Arial" w:eastAsia="Arial" w:hAnsi="Arial" w:cs="Arial"/>
          <w:b/>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w:t>
      </w:r>
    </w:p>
    <w:p w:rsidR="00FF384B" w:rsidRDefault="003E3BA9">
      <w:pPr>
        <w:spacing w:after="5" w:line="247" w:lineRule="auto"/>
        <w:ind w:left="437" w:right="244" w:hanging="10"/>
        <w:jc w:val="both"/>
      </w:pPr>
      <w:r>
        <w:rPr>
          <w:rFonts w:ascii="Arial" w:eastAsia="Arial" w:hAnsi="Arial" w:cs="Arial"/>
        </w:rPr>
        <w:t xml:space="preserve">Jorge, si. –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DON JORGE BAUTE DELGADO. – </w:t>
      </w:r>
    </w:p>
    <w:p w:rsidR="00FF384B" w:rsidRDefault="003E3BA9">
      <w:pPr>
        <w:spacing w:after="5" w:line="247" w:lineRule="auto"/>
        <w:ind w:left="437" w:right="7" w:hanging="10"/>
        <w:jc w:val="both"/>
      </w:pPr>
      <w:r>
        <w:rPr>
          <w:rFonts w:ascii="Arial" w:eastAsia="Arial" w:hAnsi="Arial" w:cs="Arial"/>
        </w:rPr>
        <w:t>Sí que lo hay, venimos con las cuadrillas des</w:t>
      </w:r>
      <w:r>
        <w:rPr>
          <w:rFonts w:ascii="Arial" w:eastAsia="Arial" w:hAnsi="Arial" w:cs="Arial"/>
        </w:rPr>
        <w:t xml:space="preserve">de Barranco Hondo caminando, ya se terminó Barranco Hondo, Igueste se terminó también, se está haciendo la parte baja de Igueste, estamos en Caletillas y seguiremos avanzando con la intención de cubrir toda la parte, ahora ya Las Cuevecitas y Malpaís, ese </w:t>
      </w:r>
      <w:r>
        <w:rPr>
          <w:rFonts w:ascii="Arial" w:eastAsia="Arial" w:hAnsi="Arial" w:cs="Arial"/>
        </w:rPr>
        <w:t>es el ritmo de trabajo que llevamos y ese es el cuadrante que se está haciendo, así que esa parte se llegará en breve, ahora mismo estamos a la altura del Tenerife Tour, o sea venimos avanzando y llegaremos ahí por supuesto, no todo lo rápido que quisiéram</w:t>
      </w:r>
      <w:r>
        <w:rPr>
          <w:rFonts w:ascii="Arial" w:eastAsia="Arial" w:hAnsi="Arial" w:cs="Arial"/>
        </w:rPr>
        <w:t>os porque como todos sabemos ha habido un invierno bastante abundante de agua y tenemos muchas hierbas en muchos puntos y así y todo con los convenios de apoyo que tenemos en la actualidad y demás, cuesta llegar, cuesta llegar a todos los sitios claves per</w:t>
      </w:r>
      <w:r>
        <w:rPr>
          <w:rFonts w:ascii="Arial" w:eastAsia="Arial" w:hAnsi="Arial" w:cs="Arial"/>
        </w:rPr>
        <w:t xml:space="preserve">o la intención es barrer el municipio y ya digo empezando en Barranco Hondo que se ha hecho hasta Malpaís.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5" w:line="247" w:lineRule="auto"/>
        <w:ind w:left="437" w:right="244" w:hanging="10"/>
        <w:jc w:val="both"/>
      </w:pPr>
      <w:r>
        <w:rPr>
          <w:rFonts w:ascii="Arial" w:eastAsia="Arial" w:hAnsi="Arial" w:cs="Arial"/>
        </w:rPr>
        <w:t xml:space="preserve">Bien, gracias Jorge, Raquel.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5" w:line="247" w:lineRule="auto"/>
        <w:ind w:left="437" w:right="13" w:hanging="10"/>
        <w:jc w:val="both"/>
      </w:pPr>
      <w:r>
        <w:rPr>
          <w:noProof/>
        </w:rPr>
        <mc:AlternateContent>
          <mc:Choice Requires="wpg">
            <w:drawing>
              <wp:anchor distT="0" distB="0" distL="114300" distR="114300" simplePos="0" relativeHeight="252014592" behindDoc="1" locked="0" layoutInCell="1" allowOverlap="1">
                <wp:simplePos x="0" y="0"/>
                <wp:positionH relativeFrom="column">
                  <wp:posOffset>6952743</wp:posOffset>
                </wp:positionH>
                <wp:positionV relativeFrom="paragraph">
                  <wp:posOffset>-667242</wp:posOffset>
                </wp:positionV>
                <wp:extent cx="524148" cy="3797300"/>
                <wp:effectExtent l="0" t="0" r="0" b="0"/>
                <wp:wrapNone/>
                <wp:docPr id="515253" name="Group 515253"/>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412" name="Picture 59412"/>
                          <pic:cNvPicPr/>
                        </pic:nvPicPr>
                        <pic:blipFill>
                          <a:blip r:embed="rId62"/>
                          <a:stretch>
                            <a:fillRect/>
                          </a:stretch>
                        </pic:blipFill>
                        <pic:spPr>
                          <a:xfrm rot="-5399999">
                            <a:off x="-1720849" y="1720850"/>
                            <a:ext cx="3797299" cy="355600"/>
                          </a:xfrm>
                          <a:prstGeom prst="rect">
                            <a:avLst/>
                          </a:prstGeom>
                        </pic:spPr>
                      </pic:pic>
                      <wps:wsp>
                        <wps:cNvPr id="59413" name="Rectangle 59413"/>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414" name="Rectangle 59414"/>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351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5253" style="width:41.2715pt;height:299pt;position:absolute;z-index:-2147483554;mso-position-horizontal-relative:text;mso-position-horizontal:absolute;margin-left:547.46pt;mso-position-vertical-relative:text;margin-top:-52.5388pt;" coordsize="5241,37973">
                <v:shape id="Picture 59412" style="position:absolute;width:37972;height:3556;left:-17208;top:17208;rotation:-89;" filled="f">
                  <v:imagedata r:id="rId63"/>
                </v:shape>
                <v:rect id="Rectangle 59413"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414"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351 de 353 </w:t>
                        </w:r>
                      </w:p>
                    </w:txbxContent>
                  </v:textbox>
                </v:rect>
              </v:group>
            </w:pict>
          </mc:Fallback>
        </mc:AlternateContent>
      </w:r>
      <w:r>
        <w:rPr>
          <w:rFonts w:ascii="Arial" w:eastAsia="Arial" w:hAnsi="Arial" w:cs="Arial"/>
        </w:rPr>
        <w:t>Vuelve el verano y en Candelaria seguimos sin tener baños púb</w:t>
      </w:r>
      <w:r>
        <w:rPr>
          <w:rFonts w:ascii="Arial" w:eastAsia="Arial" w:hAnsi="Arial" w:cs="Arial"/>
        </w:rPr>
        <w:t xml:space="preserve">licos y accesibles en las zonas más turísticas necesitadas, nos gustaría saber si tienen previsto colocar baños químicos en estas zonas, en los accesos de las playas de cara a la temporada del verano.  Gracias.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right="8241" w:hanging="3"/>
        <w:jc w:val="both"/>
      </w:pPr>
      <w:r>
        <w:rPr>
          <w:rFonts w:ascii="Arial" w:eastAsia="Arial" w:hAnsi="Arial" w:cs="Arial"/>
          <w:b/>
        </w:rPr>
        <w:t>INTERVIENE LA SEÑORA ALCALDESA-PRESIDENTA</w:t>
      </w:r>
      <w:r>
        <w:rPr>
          <w:rFonts w:ascii="Arial" w:eastAsia="Arial" w:hAnsi="Arial" w:cs="Arial"/>
          <w:b/>
        </w:rPr>
        <w:t xml:space="preserve">. – </w:t>
      </w:r>
      <w:r>
        <w:rPr>
          <w:rFonts w:ascii="Arial" w:eastAsia="Arial" w:hAnsi="Arial" w:cs="Arial"/>
        </w:rPr>
        <w:t xml:space="preserve">Qué zona Raquel. –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LA SEÑORA ALCALDESA-PRESIDENTA. – </w:t>
      </w:r>
    </w:p>
    <w:p w:rsidR="00FF384B" w:rsidRDefault="003E3BA9">
      <w:pPr>
        <w:spacing w:after="5" w:line="247" w:lineRule="auto"/>
        <w:ind w:left="437" w:right="244" w:hanging="10"/>
        <w:jc w:val="both"/>
      </w:pPr>
      <w:r>
        <w:rPr>
          <w:rFonts w:ascii="Arial" w:eastAsia="Arial" w:hAnsi="Arial" w:cs="Arial"/>
        </w:rPr>
        <w:t xml:space="preserve">Jorge, los baños químicos en las entradas de las playas, no indica zona sino en general.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INTERVIENEN DON JORGE BAUTE DELGADO. – </w:t>
      </w:r>
    </w:p>
    <w:p w:rsidR="00FF384B" w:rsidRDefault="003E3BA9">
      <w:pPr>
        <w:spacing w:after="5" w:line="247" w:lineRule="auto"/>
        <w:ind w:left="437" w:right="7" w:hanging="10"/>
        <w:jc w:val="both"/>
      </w:pPr>
      <w:r>
        <w:rPr>
          <w:rFonts w:ascii="Arial" w:eastAsia="Arial" w:hAnsi="Arial" w:cs="Arial"/>
        </w:rPr>
        <w:t xml:space="preserve">Normalmente lo hemos hecho en verano, el año </w:t>
      </w:r>
      <w:r>
        <w:rPr>
          <w:rFonts w:ascii="Arial" w:eastAsia="Arial" w:hAnsi="Arial" w:cs="Arial"/>
        </w:rPr>
        <w:t xml:space="preserve">pasado no se hizo por el tema de la pandemia, pero años anteriores en época de verano se han instalado baños en las diferentes playas. Entendemos que si la situación lo permite pues se puede volver a instalar, todo dependerá de que se pueda o no se pueda. </w:t>
      </w:r>
      <w:r>
        <w:rPr>
          <w:rFonts w:ascii="Arial" w:eastAsia="Arial" w:hAnsi="Arial" w:cs="Arial"/>
        </w:rPr>
        <w:t xml:space="preserve">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 </w:t>
      </w:r>
    </w:p>
    <w:p w:rsidR="00FF384B" w:rsidRDefault="003E3BA9">
      <w:pPr>
        <w:spacing w:after="5" w:line="247" w:lineRule="auto"/>
        <w:ind w:left="437" w:right="244" w:hanging="10"/>
        <w:jc w:val="both"/>
      </w:pPr>
      <w:r>
        <w:rPr>
          <w:rFonts w:ascii="Arial" w:eastAsia="Arial" w:hAnsi="Arial" w:cs="Arial"/>
        </w:rPr>
        <w:t xml:space="preserve">Pero de cara ahora al verano lo tienen ya previsto.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INTERVIENEN DON JORGE BAUTE DELGADO. – </w:t>
      </w:r>
    </w:p>
    <w:p w:rsidR="00FF384B" w:rsidRDefault="003E3BA9">
      <w:pPr>
        <w:spacing w:after="5" w:line="247" w:lineRule="auto"/>
        <w:ind w:left="437" w:right="244" w:hanging="10"/>
        <w:jc w:val="both"/>
      </w:pPr>
      <w:r>
        <w:rPr>
          <w:rFonts w:ascii="Arial" w:eastAsia="Arial" w:hAnsi="Arial" w:cs="Arial"/>
        </w:rPr>
        <w:t xml:space="preserve">Yo ahora mismo no sé qué va a pasar en julio y agosto, de momento vamos a esperar a que vaya avanzando.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INTERVIE</w:t>
      </w:r>
      <w:r>
        <w:rPr>
          <w:rFonts w:ascii="Arial" w:eastAsia="Arial" w:hAnsi="Arial" w:cs="Arial"/>
          <w:b/>
        </w:rPr>
        <w:t xml:space="preserve">NE LA SEÑORA ALCALDESA-PRESIDENTA. – </w:t>
      </w:r>
    </w:p>
    <w:p w:rsidR="00FF384B" w:rsidRDefault="003E3BA9">
      <w:pPr>
        <w:spacing w:after="5" w:line="247" w:lineRule="auto"/>
        <w:ind w:left="437" w:right="12" w:hanging="10"/>
        <w:jc w:val="both"/>
      </w:pPr>
      <w:r>
        <w:rPr>
          <w:rFonts w:ascii="Arial" w:eastAsia="Arial" w:hAnsi="Arial" w:cs="Arial"/>
        </w:rPr>
        <w:t>A ver qué va a pasa el día 9, a ver qué pasa, el día nueve a ver qué pasa y habrá que, porque todavía, vamos pues podemos tener la previsión de contratar el servicio, pero veremos cuáles son las condiciones de la emerg</w:t>
      </w:r>
      <w:r>
        <w:rPr>
          <w:rFonts w:ascii="Arial" w:eastAsia="Arial" w:hAnsi="Arial" w:cs="Arial"/>
        </w:rPr>
        <w:t xml:space="preserve">encia sanitaria en qué situación nos quedamos y ver qué es lo que se puede y lo que no se puede hacer, aún no lo sabemos.  </w:t>
      </w:r>
    </w:p>
    <w:p w:rsidR="00FF384B" w:rsidRDefault="003E3BA9">
      <w:pPr>
        <w:spacing w:after="0"/>
        <w:ind w:left="427"/>
      </w:pPr>
      <w:r>
        <w:rPr>
          <w:rFonts w:ascii="Arial" w:eastAsia="Arial" w:hAnsi="Arial" w:cs="Arial"/>
        </w:rPr>
        <w:t xml:space="preserve"> </w:t>
      </w:r>
    </w:p>
    <w:p w:rsidR="00FF384B" w:rsidRDefault="003E3BA9">
      <w:pPr>
        <w:spacing w:after="15" w:line="247" w:lineRule="auto"/>
        <w:ind w:left="415" w:hanging="3"/>
        <w:jc w:val="both"/>
      </w:pPr>
      <w:r>
        <w:rPr>
          <w:rFonts w:ascii="Arial" w:eastAsia="Arial" w:hAnsi="Arial" w:cs="Arial"/>
          <w:b/>
        </w:rPr>
        <w:t xml:space="preserve">INTERVIENE DOÑA RAQUEL MARTÍN CASTRO.  </w:t>
      </w:r>
    </w:p>
    <w:p w:rsidR="00FF384B" w:rsidRDefault="003E3BA9">
      <w:pPr>
        <w:spacing w:after="5" w:line="247" w:lineRule="auto"/>
        <w:ind w:left="437" w:right="244" w:hanging="10"/>
        <w:jc w:val="both"/>
      </w:pPr>
      <w:r>
        <w:rPr>
          <w:rFonts w:ascii="Arial" w:eastAsia="Arial" w:hAnsi="Arial" w:cs="Arial"/>
        </w:rPr>
        <w:t xml:space="preserve">Gracias. – </w:t>
      </w:r>
    </w:p>
    <w:p w:rsidR="00FF384B" w:rsidRDefault="003E3BA9">
      <w:pPr>
        <w:spacing w:after="0"/>
        <w:ind w:left="427" w:right="3161"/>
      </w:pPr>
      <w:r>
        <w:rPr>
          <w:rFonts w:ascii="Arial" w:eastAsia="Arial" w:hAnsi="Arial" w:cs="Arial"/>
        </w:rPr>
        <w:t xml:space="preserve"> </w:t>
      </w:r>
    </w:p>
    <w:p w:rsidR="00FF384B" w:rsidRDefault="003E3BA9">
      <w:pPr>
        <w:spacing w:after="15" w:line="247" w:lineRule="auto"/>
        <w:ind w:left="415" w:right="3161" w:hanging="3"/>
        <w:jc w:val="both"/>
      </w:pPr>
      <w:r>
        <w:rPr>
          <w:rFonts w:ascii="Arial" w:eastAsia="Arial" w:hAnsi="Arial" w:cs="Arial"/>
          <w:b/>
        </w:rPr>
        <w:t xml:space="preserve">INTERVIENE LA SEÑORA ALCALDESA-PRESIDENTA. – </w:t>
      </w:r>
    </w:p>
    <w:p w:rsidR="00FF384B" w:rsidRDefault="003E3BA9">
      <w:pPr>
        <w:spacing w:after="5" w:line="247" w:lineRule="auto"/>
        <w:ind w:left="437" w:hanging="10"/>
        <w:jc w:val="both"/>
      </w:pPr>
      <w:r>
        <w:rPr>
          <w:noProof/>
        </w:rPr>
        <mc:AlternateContent>
          <mc:Choice Requires="wpg">
            <w:drawing>
              <wp:anchor distT="0" distB="0" distL="114300" distR="114300" simplePos="0" relativeHeight="252015616" behindDoc="0" locked="0" layoutInCell="1" allowOverlap="1">
                <wp:simplePos x="0" y="0"/>
                <wp:positionH relativeFrom="column">
                  <wp:posOffset>6952743</wp:posOffset>
                </wp:positionH>
                <wp:positionV relativeFrom="paragraph">
                  <wp:posOffset>-185657</wp:posOffset>
                </wp:positionV>
                <wp:extent cx="524148" cy="3797300"/>
                <wp:effectExtent l="0" t="0" r="0" b="0"/>
                <wp:wrapSquare wrapText="bothSides"/>
                <wp:docPr id="515687" name="Group 515687"/>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508" name="Picture 59508"/>
                          <pic:cNvPicPr/>
                        </pic:nvPicPr>
                        <pic:blipFill>
                          <a:blip r:embed="rId62"/>
                          <a:stretch>
                            <a:fillRect/>
                          </a:stretch>
                        </pic:blipFill>
                        <pic:spPr>
                          <a:xfrm rot="-5399999">
                            <a:off x="-1720849" y="1720850"/>
                            <a:ext cx="3797299" cy="355600"/>
                          </a:xfrm>
                          <a:prstGeom prst="rect">
                            <a:avLst/>
                          </a:prstGeom>
                        </pic:spPr>
                      </pic:pic>
                      <wps:wsp>
                        <wps:cNvPr id="59509" name="Rectangle 59509"/>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510" name="Rectangle 59510"/>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 xml:space="preserve">Documento firmado electrónicamente desde la plataforma esPublico Gestiona | Página 352 de 353 </w:t>
                              </w:r>
                            </w:p>
                          </w:txbxContent>
                        </wps:txbx>
                        <wps:bodyPr horzOverflow="overflow" vert="horz" lIns="0" tIns="0" rIns="0" bIns="0" rtlCol="0">
                          <a:noAutofit/>
                        </wps:bodyPr>
                      </wps:wsp>
                    </wpg:wgp>
                  </a:graphicData>
                </a:graphic>
              </wp:anchor>
            </w:drawing>
          </mc:Choice>
          <mc:Fallback xmlns:a="http://schemas.openxmlformats.org/drawingml/2006/main">
            <w:pict>
              <v:group id="Group 515687" style="width:41.2715pt;height:299pt;position:absolute;mso-position-horizontal-relative:text;mso-position-horizontal:absolute;margin-left:547.46pt;mso-position-vertical-relative:text;margin-top:-14.6188pt;" coordsize="5241,37973">
                <v:shape id="Picture 59508" style="position:absolute;width:37972;height:3556;left:-17208;top:17208;rotation:-89;" filled="f">
                  <v:imagedata r:id="rId63"/>
                </v:shape>
                <v:rect id="Rectangle 59509"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510"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352 de 353 </w:t>
                        </w:r>
                      </w:p>
                    </w:txbxContent>
                  </v:textbox>
                </v:rect>
                <w10:wrap type="square"/>
              </v:group>
            </w:pict>
          </mc:Fallback>
        </mc:AlternateContent>
      </w:r>
      <w:r>
        <w:rPr>
          <w:rFonts w:ascii="Arial" w:eastAsia="Arial" w:hAnsi="Arial" w:cs="Arial"/>
        </w:rPr>
        <w:t>Habrá que ver con el Gobierno de Canarias que ocurre con el E</w:t>
      </w:r>
      <w:r>
        <w:rPr>
          <w:rFonts w:ascii="Arial" w:eastAsia="Arial" w:hAnsi="Arial" w:cs="Arial"/>
        </w:rPr>
        <w:t xml:space="preserve">stado, habrá que considerar todo y no lo sabemos aún, pero vamos que en caso de que se pueda, obviamente los habilitaremos como se ha hecho otros años. </w:t>
      </w:r>
    </w:p>
    <w:p w:rsidR="00FF384B" w:rsidRDefault="003E3BA9">
      <w:pPr>
        <w:spacing w:after="5" w:line="247" w:lineRule="auto"/>
        <w:ind w:left="437" w:right="244" w:hanging="10"/>
        <w:jc w:val="both"/>
      </w:pPr>
      <w:r>
        <w:rPr>
          <w:rFonts w:ascii="Arial" w:eastAsia="Arial" w:hAnsi="Arial" w:cs="Arial"/>
        </w:rPr>
        <w:t>Muy bien, pues terminado el turno de Ruegos y Preguntas concluimos también el Pleno. Muchas gracias a t</w:t>
      </w:r>
      <w:r>
        <w:rPr>
          <w:rFonts w:ascii="Arial" w:eastAsia="Arial" w:hAnsi="Arial" w:cs="Arial"/>
        </w:rPr>
        <w:t xml:space="preserve">odos y buenas tardes.   </w:t>
      </w:r>
    </w:p>
    <w:p w:rsidR="00FF384B" w:rsidRDefault="003E3BA9">
      <w:pPr>
        <w:spacing w:after="0"/>
        <w:ind w:left="427" w:right="3161"/>
      </w:pPr>
      <w:r>
        <w:rPr>
          <w:rFonts w:ascii="Arial" w:eastAsia="Arial" w:hAnsi="Arial" w:cs="Arial"/>
          <w:sz w:val="24"/>
        </w:rPr>
        <w:t xml:space="preserve"> </w:t>
      </w:r>
    </w:p>
    <w:p w:rsidR="00FF384B" w:rsidRDefault="003E3BA9">
      <w:pPr>
        <w:spacing w:after="0"/>
        <w:ind w:left="427" w:right="3161"/>
      </w:pPr>
      <w:r>
        <w:rPr>
          <w:rFonts w:ascii="Arial" w:eastAsia="Arial" w:hAnsi="Arial" w:cs="Arial"/>
          <w:b/>
          <w:sz w:val="24"/>
        </w:rPr>
        <w:t xml:space="preserve"> </w:t>
      </w:r>
    </w:p>
    <w:p w:rsidR="00FF384B" w:rsidRDefault="003E3BA9">
      <w:pPr>
        <w:spacing w:after="0"/>
        <w:ind w:left="427" w:right="3161"/>
      </w:pPr>
      <w:r>
        <w:rPr>
          <w:rFonts w:ascii="Arial" w:eastAsia="Arial" w:hAnsi="Arial" w:cs="Arial"/>
          <w:b/>
          <w:sz w:val="24"/>
        </w:rPr>
        <w:t xml:space="preserve"> </w:t>
      </w:r>
    </w:p>
    <w:p w:rsidR="00FF384B" w:rsidRDefault="003E3BA9">
      <w:pPr>
        <w:spacing w:after="0"/>
        <w:ind w:left="427" w:right="3161"/>
      </w:pPr>
      <w:r>
        <w:rPr>
          <w:rFonts w:ascii="Arial" w:eastAsia="Arial" w:hAnsi="Arial" w:cs="Arial"/>
        </w:rPr>
        <w:t xml:space="preserve"> </w:t>
      </w:r>
    </w:p>
    <w:p w:rsidR="00FF384B" w:rsidRDefault="003E3BA9">
      <w:pPr>
        <w:spacing w:after="5" w:line="247" w:lineRule="auto"/>
        <w:ind w:left="437" w:right="3161" w:hanging="10"/>
        <w:jc w:val="both"/>
      </w:pPr>
      <w:r>
        <w:rPr>
          <w:rFonts w:ascii="Arial" w:eastAsia="Arial" w:hAnsi="Arial" w:cs="Arial"/>
        </w:rPr>
        <w:t xml:space="preserve">  Se levanta la sesión a las 13:00 horas del mismo día. De todo lo cual yo, como Secretario General, doy fe. </w:t>
      </w:r>
    </w:p>
    <w:p w:rsidR="00FF384B" w:rsidRDefault="003E3BA9">
      <w:pPr>
        <w:spacing w:after="99"/>
        <w:ind w:left="427" w:right="3161"/>
      </w:pPr>
      <w:r>
        <w:rPr>
          <w:rFonts w:ascii="Arial" w:eastAsia="Arial" w:hAnsi="Arial" w:cs="Arial"/>
          <w:b/>
        </w:rPr>
        <w:t xml:space="preserve"> </w:t>
      </w:r>
    </w:p>
    <w:p w:rsidR="00FF384B" w:rsidRDefault="003E3BA9">
      <w:pPr>
        <w:spacing w:after="114" w:line="247" w:lineRule="auto"/>
        <w:ind w:left="415" w:right="3161" w:hanging="3"/>
        <w:jc w:val="both"/>
      </w:pPr>
      <w:r>
        <w:rPr>
          <w:rFonts w:ascii="Arial" w:eastAsia="Arial" w:hAnsi="Arial" w:cs="Arial"/>
        </w:rPr>
        <w:t xml:space="preserve">                                     </w:t>
      </w:r>
      <w:r>
        <w:rPr>
          <w:rFonts w:ascii="Arial" w:eastAsia="Arial" w:hAnsi="Arial" w:cs="Arial"/>
          <w:b/>
        </w:rPr>
        <w:t>Vº. Bº.</w:t>
      </w:r>
      <w:r>
        <w:rPr>
          <w:rFonts w:ascii="Arial" w:eastAsia="Arial" w:hAnsi="Arial" w:cs="Arial"/>
          <w:vertAlign w:val="subscript"/>
        </w:rPr>
        <w:t xml:space="preserve"> </w:t>
      </w:r>
    </w:p>
    <w:p w:rsidR="00FF384B" w:rsidRDefault="003E3BA9">
      <w:pPr>
        <w:spacing w:after="0"/>
        <w:ind w:left="427" w:right="3161"/>
      </w:pPr>
      <w:r>
        <w:rPr>
          <w:rFonts w:ascii="Arial" w:eastAsia="Arial" w:hAnsi="Arial" w:cs="Arial"/>
        </w:rPr>
        <w:t xml:space="preserve"> </w:t>
      </w:r>
    </w:p>
    <w:p w:rsidR="00FF384B" w:rsidRDefault="003E3BA9">
      <w:pPr>
        <w:tabs>
          <w:tab w:val="center" w:pos="427"/>
          <w:tab w:val="center" w:pos="2749"/>
          <w:tab w:val="center" w:pos="4676"/>
          <w:tab w:val="center" w:pos="7078"/>
        </w:tabs>
        <w:spacing w:after="285" w:line="247" w:lineRule="auto"/>
      </w:pPr>
      <w:r>
        <w:tab/>
      </w:r>
      <w:r>
        <w:rPr>
          <w:rFonts w:ascii="Arial" w:eastAsia="Arial" w:hAnsi="Arial" w:cs="Arial"/>
          <w:b/>
        </w:rPr>
        <w:t xml:space="preserve"> </w:t>
      </w:r>
      <w:r>
        <w:rPr>
          <w:rFonts w:ascii="Arial" w:eastAsia="Arial" w:hAnsi="Arial" w:cs="Arial"/>
          <w:b/>
        </w:rPr>
        <w:tab/>
        <w:t xml:space="preserve">LA ALCALDESA-PRESIDENTA, </w:t>
      </w:r>
      <w:r>
        <w:rPr>
          <w:rFonts w:ascii="Arial" w:eastAsia="Arial" w:hAnsi="Arial" w:cs="Arial"/>
          <w:b/>
        </w:rPr>
        <w:tab/>
        <w:t xml:space="preserve"> </w:t>
      </w:r>
      <w:r>
        <w:rPr>
          <w:rFonts w:ascii="Arial" w:eastAsia="Arial" w:hAnsi="Arial" w:cs="Arial"/>
          <w:b/>
        </w:rPr>
        <w:tab/>
        <w:t xml:space="preserve">       EL SECRETARIO GENERAL,</w:t>
      </w:r>
      <w:r>
        <w:rPr>
          <w:rFonts w:ascii="Arial" w:eastAsia="Arial" w:hAnsi="Arial" w:cs="Arial"/>
          <w:vertAlign w:val="subscript"/>
        </w:rPr>
        <w:t xml:space="preserve"> </w:t>
      </w:r>
    </w:p>
    <w:p w:rsidR="00FF384B" w:rsidRDefault="003E3BA9">
      <w:pPr>
        <w:spacing w:after="272" w:line="247" w:lineRule="auto"/>
        <w:ind w:left="437" w:right="3161" w:hanging="10"/>
        <w:jc w:val="both"/>
      </w:pPr>
      <w:r>
        <w:rPr>
          <w:rFonts w:ascii="Arial" w:eastAsia="Arial" w:hAnsi="Arial" w:cs="Arial"/>
        </w:rPr>
        <w:t xml:space="preserve">             María Concepción Brito Núñez                     Octavio Manuel Hernández Fernández  </w:t>
      </w:r>
    </w:p>
    <w:p w:rsidR="00FF384B" w:rsidRDefault="003E3BA9">
      <w:pPr>
        <w:spacing w:after="0"/>
        <w:ind w:left="427" w:right="3161"/>
      </w:pPr>
      <w:r>
        <w:rPr>
          <w:rFonts w:ascii="Arial" w:eastAsia="Arial" w:hAnsi="Arial" w:cs="Arial"/>
        </w:rPr>
        <w:t xml:space="preserve"> </w:t>
      </w:r>
    </w:p>
    <w:p w:rsidR="00FF384B" w:rsidRDefault="003E3BA9">
      <w:pPr>
        <w:spacing w:after="98"/>
        <w:ind w:right="7197"/>
        <w:jc w:val="right"/>
      </w:pPr>
      <w:r>
        <w:rPr>
          <w:rFonts w:ascii="Arial" w:eastAsia="Arial" w:hAnsi="Arial" w:cs="Arial"/>
          <w:b/>
        </w:rPr>
        <w:t xml:space="preserve"> </w:t>
      </w:r>
    </w:p>
    <w:p w:rsidR="00FF384B" w:rsidRDefault="003E3BA9">
      <w:pPr>
        <w:spacing w:after="103"/>
        <w:ind w:left="10" w:right="6731" w:hanging="10"/>
        <w:jc w:val="right"/>
      </w:pPr>
      <w:r>
        <w:rPr>
          <w:rFonts w:ascii="Arial" w:eastAsia="Arial" w:hAnsi="Arial" w:cs="Arial"/>
          <w:b/>
        </w:rPr>
        <w:t>DOCUMENTO FIRMADO ELECTRÓNICAMENTE</w:t>
      </w:r>
      <w:r>
        <w:rPr>
          <w:rFonts w:ascii="Arial" w:eastAsia="Arial" w:hAnsi="Arial" w:cs="Arial"/>
        </w:rPr>
        <w:t xml:space="preserve">  </w:t>
      </w:r>
    </w:p>
    <w:p w:rsidR="00FF384B" w:rsidRDefault="003E3BA9">
      <w:pPr>
        <w:spacing w:after="2236"/>
        <w:ind w:left="427"/>
      </w:pPr>
      <w:r>
        <w:rPr>
          <w:rFonts w:ascii="Arial" w:eastAsia="Arial" w:hAnsi="Arial" w:cs="Arial"/>
        </w:rPr>
        <w:t xml:space="preserve"> </w:t>
      </w:r>
    </w:p>
    <w:p w:rsidR="00FF384B" w:rsidRDefault="003E3BA9">
      <w:pPr>
        <w:spacing w:after="0"/>
        <w:ind w:left="10949"/>
      </w:pPr>
      <w:r>
        <w:rPr>
          <w:noProof/>
        </w:rPr>
        <mc:AlternateContent>
          <mc:Choice Requires="wpg">
            <w:drawing>
              <wp:inline distT="0" distB="0" distL="0" distR="0">
                <wp:extent cx="524148" cy="3797300"/>
                <wp:effectExtent l="0" t="0" r="0" b="0"/>
                <wp:docPr id="516755" name="Group 516755"/>
                <wp:cNvGraphicFramePr/>
                <a:graphic xmlns:a="http://schemas.openxmlformats.org/drawingml/2006/main">
                  <a:graphicData uri="http://schemas.microsoft.com/office/word/2010/wordprocessingGroup">
                    <wpg:wgp>
                      <wpg:cNvGrpSpPr/>
                      <wpg:grpSpPr>
                        <a:xfrm>
                          <a:off x="0" y="0"/>
                          <a:ext cx="524148" cy="3797300"/>
                          <a:chOff x="0" y="0"/>
                          <a:chExt cx="524148" cy="3797300"/>
                        </a:xfrm>
                      </wpg:grpSpPr>
                      <pic:pic xmlns:pic="http://schemas.openxmlformats.org/drawingml/2006/picture">
                        <pic:nvPicPr>
                          <pic:cNvPr id="59529" name="Picture 59529"/>
                          <pic:cNvPicPr/>
                        </pic:nvPicPr>
                        <pic:blipFill>
                          <a:blip r:embed="rId62"/>
                          <a:stretch>
                            <a:fillRect/>
                          </a:stretch>
                        </pic:blipFill>
                        <pic:spPr>
                          <a:xfrm rot="-5399999">
                            <a:off x="-1720849" y="1720850"/>
                            <a:ext cx="3797299" cy="355600"/>
                          </a:xfrm>
                          <a:prstGeom prst="rect">
                            <a:avLst/>
                          </a:prstGeom>
                        </pic:spPr>
                      </pic:pic>
                      <wps:wsp>
                        <wps:cNvPr id="59530" name="Rectangle 59530"/>
                        <wps:cNvSpPr/>
                        <wps:spPr>
                          <a:xfrm rot="-5399999">
                            <a:off x="-1948518" y="1372740"/>
                            <a:ext cx="4735898" cy="113222"/>
                          </a:xfrm>
                          <a:prstGeom prst="rect">
                            <a:avLst/>
                          </a:prstGeom>
                          <a:ln>
                            <a:noFill/>
                          </a:ln>
                        </wps:spPr>
                        <wps:txbx>
                          <w:txbxContent>
                            <w:p w:rsidR="00FF384B" w:rsidRDefault="003E3BA9">
                              <w:r>
                                <w:rPr>
                                  <w:rFonts w:ascii="Arial" w:eastAsia="Arial" w:hAnsi="Arial" w:cs="Arial"/>
                                  <w:sz w:val="12"/>
                                </w:rPr>
                                <w:t xml:space="preserve">Cód. Validación: 9792ADAG9QWZ53RMHD5RCHL7K | Verificación: https://candelaria.sedelectronica.es/ </w:t>
                              </w:r>
                            </w:p>
                          </w:txbxContent>
                        </wps:txbx>
                        <wps:bodyPr horzOverflow="overflow" vert="horz" lIns="0" tIns="0" rIns="0" bIns="0" rtlCol="0">
                          <a:noAutofit/>
                        </wps:bodyPr>
                      </wps:wsp>
                      <wps:wsp>
                        <wps:cNvPr id="59531" name="Rectangle 59531"/>
                        <wps:cNvSpPr/>
                        <wps:spPr>
                          <a:xfrm rot="-5399999">
                            <a:off x="-1735755" y="1509304"/>
                            <a:ext cx="4462771" cy="113222"/>
                          </a:xfrm>
                          <a:prstGeom prst="rect">
                            <a:avLst/>
                          </a:prstGeom>
                          <a:ln>
                            <a:noFill/>
                          </a:ln>
                        </wps:spPr>
                        <wps:txbx>
                          <w:txbxContent>
                            <w:p w:rsidR="00FF384B" w:rsidRDefault="003E3BA9">
                              <w:r>
                                <w:rPr>
                                  <w:rFonts w:ascii="Arial" w:eastAsia="Arial" w:hAnsi="Arial" w:cs="Arial"/>
                                  <w:sz w:val="12"/>
                                </w:rPr>
                                <w:t>Documento f</w:t>
                              </w:r>
                              <w:r>
                                <w:rPr>
                                  <w:rFonts w:ascii="Arial" w:eastAsia="Arial" w:hAnsi="Arial" w:cs="Arial"/>
                                  <w:sz w:val="12"/>
                                </w:rPr>
                                <w:t xml:space="preserve">irmado electrónicamente desde la plataforma esPublico Gestiona | Página 353 de 353 </w:t>
                              </w:r>
                            </w:p>
                          </w:txbxContent>
                        </wps:txbx>
                        <wps:bodyPr horzOverflow="overflow" vert="horz" lIns="0" tIns="0" rIns="0" bIns="0" rtlCol="0">
                          <a:noAutofit/>
                        </wps:bodyPr>
                      </wps:wsp>
                    </wpg:wgp>
                  </a:graphicData>
                </a:graphic>
              </wp:inline>
            </w:drawing>
          </mc:Choice>
          <mc:Fallback xmlns:a="http://schemas.openxmlformats.org/drawingml/2006/main">
            <w:pict>
              <v:group id="Group 516755" style="width:41.2715pt;height:299pt;mso-position-horizontal-relative:char;mso-position-vertical-relative:line" coordsize="5241,37973">
                <v:shape id="Picture 59529" style="position:absolute;width:37972;height:3556;left:-17208;top:17208;rotation:-89;" filled="f">
                  <v:imagedata r:id="rId63"/>
                </v:shape>
                <v:rect id="Rectangle 59530" style="position:absolute;width:47358;height:1132;left:-19485;top:1372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9792ADAG9QWZ53RMHD5RCHL7K | Verificación: https://candelaria.sedelectronica.es/ </w:t>
                        </w:r>
                      </w:p>
                    </w:txbxContent>
                  </v:textbox>
                </v:rect>
                <v:rect id="Rectangle 59531" style="position:absolute;width:44627;height:1132;left:-17357;top:1509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353 de 353 </w:t>
                        </w:r>
                      </w:p>
                    </w:txbxContent>
                  </v:textbox>
                </v:rect>
              </v:group>
            </w:pict>
          </mc:Fallback>
        </mc:AlternateContent>
      </w:r>
    </w:p>
    <w:sectPr w:rsidR="00FF384B">
      <w:headerReference w:type="even" r:id="rId161"/>
      <w:headerReference w:type="default" r:id="rId162"/>
      <w:footerReference w:type="even" r:id="rId163"/>
      <w:footerReference w:type="default" r:id="rId164"/>
      <w:headerReference w:type="first" r:id="rId165"/>
      <w:footerReference w:type="first" r:id="rId166"/>
      <w:pgSz w:w="19106" w:h="11906" w:orient="landscape"/>
      <w:pgMar w:top="1819" w:right="2046" w:bottom="600" w:left="2125" w:header="708"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E3BA9">
      <w:pPr>
        <w:spacing w:after="0" w:line="240" w:lineRule="auto"/>
      </w:pPr>
      <w:r>
        <w:separator/>
      </w:r>
    </w:p>
  </w:endnote>
  <w:endnote w:type="continuationSeparator" w:id="0">
    <w:p w:rsidR="00000000" w:rsidRDefault="003E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1"/>
    <w:family w:val="roman"/>
    <w:pitch w:val="variable"/>
  </w:font>
  <w:font w:name="Verdana">
    <w:panose1 w:val="020B060403050404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337" w:right="-476"/>
    </w:pPr>
    <w:r>
      <w:rPr>
        <w:noProof/>
      </w:rPr>
      <mc:AlternateContent>
        <mc:Choice Requires="wpg">
          <w:drawing>
            <wp:anchor distT="0" distB="0" distL="114300" distR="114300" simplePos="0" relativeHeight="251660288" behindDoc="0" locked="0" layoutInCell="1" allowOverlap="1">
              <wp:simplePos x="0" y="0"/>
              <wp:positionH relativeFrom="page">
                <wp:posOffset>1834769</wp:posOffset>
              </wp:positionH>
              <wp:positionV relativeFrom="page">
                <wp:posOffset>9949434</wp:posOffset>
              </wp:positionV>
              <wp:extent cx="5830570" cy="17145"/>
              <wp:effectExtent l="0" t="0" r="0" b="0"/>
              <wp:wrapSquare wrapText="bothSides"/>
              <wp:docPr id="547707" name="Group 54770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7708" name="Shape 54770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7707" style="width:459.1pt;height:1.34998pt;position:absolute;mso-position-horizontal-relative:page;mso-position-horizontal:absolute;margin-left:144.47pt;mso-position-vertical-relative:page;margin-top:783.42pt;" coordsize="58305,171">
              <v:shape id="Shape 54770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FF384B" w:rsidRDefault="003E3BA9">
    <w:pPr>
      <w:spacing w:after="57" w:line="238" w:lineRule="auto"/>
      <w:ind w:left="3872" w:right="147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FF384B" w:rsidRDefault="003E3BA9">
    <w:pPr>
      <w:spacing w:after="0"/>
      <w:ind w:left="8457"/>
      <w:jc w:val="center"/>
    </w:pPr>
    <w:r>
      <w:fldChar w:fldCharType="begin"/>
    </w:r>
    <w:r>
      <w:instrText xml:space="preserve"> PAGE   \* MERGEFORMAT </w:instrText>
    </w:r>
    <w:r>
      <w:fldChar w:fldCharType="separate"/>
    </w:r>
    <w:r w:rsidRPr="003E3BA9">
      <w:rPr>
        <w:rFonts w:ascii="Arial" w:eastAsia="Arial" w:hAnsi="Arial" w:cs="Arial"/>
        <w:noProof/>
        <w:sz w:val="14"/>
      </w:rPr>
      <w:t>16</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71552"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13"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72576"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14"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73600"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15"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77696"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19"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337" w:right="-476"/>
    </w:pPr>
    <w:r>
      <w:rPr>
        <w:noProof/>
      </w:rPr>
      <mc:AlternateContent>
        <mc:Choice Requires="wpg">
          <w:drawing>
            <wp:anchor distT="0" distB="0" distL="114300" distR="114300" simplePos="0" relativeHeight="251661312" behindDoc="0" locked="0" layoutInCell="1" allowOverlap="1">
              <wp:simplePos x="0" y="0"/>
              <wp:positionH relativeFrom="page">
                <wp:posOffset>1834769</wp:posOffset>
              </wp:positionH>
              <wp:positionV relativeFrom="page">
                <wp:posOffset>9949434</wp:posOffset>
              </wp:positionV>
              <wp:extent cx="5830570" cy="17145"/>
              <wp:effectExtent l="0" t="0" r="0" b="0"/>
              <wp:wrapSquare wrapText="bothSides"/>
              <wp:docPr id="547673" name="Group 54767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7674" name="Shape 54767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7673" style="width:459.1pt;height:1.34998pt;position:absolute;mso-position-horizontal-relative:page;mso-position-horizontal:absolute;margin-left:144.47pt;mso-position-vertical-relative:page;margin-top:783.42pt;" coordsize="58305,171">
              <v:shape id="Shape 54767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FF384B" w:rsidRDefault="003E3BA9">
    <w:pPr>
      <w:spacing w:after="57" w:line="238" w:lineRule="auto"/>
      <w:ind w:left="3872" w:right="147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FF384B" w:rsidRDefault="003E3BA9">
    <w:pPr>
      <w:spacing w:after="0"/>
      <w:ind w:left="8457"/>
      <w:jc w:val="center"/>
    </w:pPr>
    <w:r>
      <w:fldChar w:fldCharType="begin"/>
    </w:r>
    <w:r>
      <w:instrText xml:space="preserve"> PAGE   \* MERGEFORMAT </w:instrText>
    </w:r>
    <w:r>
      <w:fldChar w:fldCharType="separate"/>
    </w:r>
    <w:r w:rsidRPr="003E3BA9">
      <w:rPr>
        <w:rFonts w:ascii="Arial" w:eastAsia="Arial" w:hAnsi="Arial" w:cs="Arial"/>
        <w:noProof/>
        <w:sz w:val="14"/>
      </w:rPr>
      <w:t>15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78720"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20"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79744"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21"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83840"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25"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84864"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26"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355"/>
      <w:jc w:val="center"/>
    </w:pPr>
    <w:r>
      <w:rPr>
        <w:noProof/>
      </w:rPr>
      <w:drawing>
        <wp:anchor distT="0" distB="0" distL="114300" distR="114300" simplePos="0" relativeHeight="251685888"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27"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
      <w:jc w:val="right"/>
    </w:pPr>
    <w:r>
      <w:rPr>
        <w:noProof/>
      </w:rPr>
      <w:drawing>
        <wp:anchor distT="0" distB="0" distL="114300" distR="114300" simplePos="0" relativeHeight="251689984" behindDoc="0" locked="0" layoutInCell="1" allowOverlap="0">
          <wp:simplePos x="0" y="0"/>
          <wp:positionH relativeFrom="page">
            <wp:posOffset>4155059</wp:posOffset>
          </wp:positionH>
          <wp:positionV relativeFrom="page">
            <wp:posOffset>6824472</wp:posOffset>
          </wp:positionV>
          <wp:extent cx="5187696" cy="266700"/>
          <wp:effectExtent l="0" t="0" r="0" b="0"/>
          <wp:wrapSquare wrapText="bothSides"/>
          <wp:docPr id="52460" name="Picture 52460"/>
          <wp:cNvGraphicFramePr/>
          <a:graphic xmlns:a="http://schemas.openxmlformats.org/drawingml/2006/main">
            <a:graphicData uri="http://schemas.openxmlformats.org/drawingml/2006/picture">
              <pic:pic xmlns:pic="http://schemas.openxmlformats.org/drawingml/2006/picture">
                <pic:nvPicPr>
                  <pic:cNvPr id="52460" name="Picture 52460"/>
                  <pic:cNvPicPr/>
                </pic:nvPicPr>
                <pic:blipFill>
                  <a:blip r:embed="rId1"/>
                  <a:stretch>
                    <a:fillRect/>
                  </a:stretch>
                </pic:blipFill>
                <pic:spPr>
                  <a:xfrm>
                    <a:off x="0" y="0"/>
                    <a:ext cx="5187696" cy="266700"/>
                  </a:xfrm>
                  <a:prstGeom prst="rect">
                    <a:avLst/>
                  </a:prstGeom>
                </pic:spPr>
              </pic:pic>
            </a:graphicData>
          </a:graphic>
        </wp:anchor>
      </w:drawing>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Arial" w:eastAsia="Arial" w:hAnsi="Arial" w:cs="Arial"/>
        <w:sz w:val="14"/>
      </w:rPr>
      <w:t>278</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
      <w:jc w:val="right"/>
    </w:pPr>
    <w:r>
      <w:rPr>
        <w:noProof/>
      </w:rPr>
      <w:drawing>
        <wp:anchor distT="0" distB="0" distL="114300" distR="114300" simplePos="0" relativeHeight="251691008" behindDoc="0" locked="0" layoutInCell="1" allowOverlap="0">
          <wp:simplePos x="0" y="0"/>
          <wp:positionH relativeFrom="page">
            <wp:posOffset>4155059</wp:posOffset>
          </wp:positionH>
          <wp:positionV relativeFrom="page">
            <wp:posOffset>6824472</wp:posOffset>
          </wp:positionV>
          <wp:extent cx="5187696" cy="266700"/>
          <wp:effectExtent l="0" t="0" r="0" b="0"/>
          <wp:wrapSquare wrapText="bothSides"/>
          <wp:docPr id="30" name="Picture 52460"/>
          <wp:cNvGraphicFramePr/>
          <a:graphic xmlns:a="http://schemas.openxmlformats.org/drawingml/2006/main">
            <a:graphicData uri="http://schemas.openxmlformats.org/drawingml/2006/picture">
              <pic:pic xmlns:pic="http://schemas.openxmlformats.org/drawingml/2006/picture">
                <pic:nvPicPr>
                  <pic:cNvPr id="52460" name="Picture 52460"/>
                  <pic:cNvPicPr/>
                </pic:nvPicPr>
                <pic:blipFill>
                  <a:blip r:embed="rId1"/>
                  <a:stretch>
                    <a:fillRect/>
                  </a:stretch>
                </pic:blipFill>
                <pic:spPr>
                  <a:xfrm>
                    <a:off x="0" y="0"/>
                    <a:ext cx="5187696" cy="266700"/>
                  </a:xfrm>
                  <a:prstGeom prst="rect">
                    <a:avLst/>
                  </a:prstGeom>
                </pic:spPr>
              </pic:pic>
            </a:graphicData>
          </a:graphic>
        </wp:anchor>
      </w:drawing>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Arial" w:eastAsia="Arial" w:hAnsi="Arial" w:cs="Arial"/>
        <w:sz w:val="14"/>
      </w:rPr>
      <w:t>278</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65408"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41675"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66432"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3"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right="1154"/>
      <w:jc w:val="center"/>
    </w:pPr>
    <w:r>
      <w:rPr>
        <w:noProof/>
      </w:rPr>
      <w:drawing>
        <wp:anchor distT="0" distB="0" distL="114300" distR="114300" simplePos="0" relativeHeight="251667456" behindDoc="0" locked="0" layoutInCell="1" allowOverlap="0">
          <wp:simplePos x="0" y="0"/>
          <wp:positionH relativeFrom="page">
            <wp:posOffset>1800479</wp:posOffset>
          </wp:positionH>
          <wp:positionV relativeFrom="page">
            <wp:posOffset>9956292</wp:posOffset>
          </wp:positionV>
          <wp:extent cx="5189220" cy="266700"/>
          <wp:effectExtent l="0" t="0" r="0" b="0"/>
          <wp:wrapSquare wrapText="bothSides"/>
          <wp:docPr id="4"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
                  <a:stretch>
                    <a:fillRect/>
                  </a:stretch>
                </pic:blipFill>
                <pic:spPr>
                  <a:xfrm>
                    <a:off x="0" y="0"/>
                    <a:ext cx="5189220" cy="26670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4"/>
      </w:rPr>
      <w:t>225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E3BA9">
      <w:pPr>
        <w:spacing w:after="0" w:line="240" w:lineRule="auto"/>
      </w:pPr>
      <w:r>
        <w:separator/>
      </w:r>
    </w:p>
  </w:footnote>
  <w:footnote w:type="continuationSeparator" w:id="0">
    <w:p w:rsidR="00000000" w:rsidRDefault="003E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283"/>
    </w:pPr>
    <w:r>
      <w:rPr>
        <w:noProof/>
      </w:rPr>
      <mc:AlternateContent>
        <mc:Choice Requires="wpg">
          <w:drawing>
            <wp:anchor distT="0" distB="0" distL="114300" distR="114300" simplePos="0" relativeHeight="251658240" behindDoc="0" locked="0" layoutInCell="1" allowOverlap="1">
              <wp:simplePos x="0" y="0"/>
              <wp:positionH relativeFrom="page">
                <wp:posOffset>1800784</wp:posOffset>
              </wp:positionH>
              <wp:positionV relativeFrom="page">
                <wp:posOffset>440283</wp:posOffset>
              </wp:positionV>
              <wp:extent cx="6032830" cy="870000"/>
              <wp:effectExtent l="0" t="0" r="0" b="0"/>
              <wp:wrapSquare wrapText="bothSides"/>
              <wp:docPr id="547693" name="Group 547693"/>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547694" name="Shape 547694"/>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7696" name="Rectangle 547696"/>
                      <wps:cNvSpPr/>
                      <wps:spPr>
                        <a:xfrm>
                          <a:off x="1170381" y="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97" name="Rectangle 547697"/>
                      <wps:cNvSpPr/>
                      <wps:spPr>
                        <a:xfrm>
                          <a:off x="528777" y="17526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98" name="Rectangle 547698"/>
                      <wps:cNvSpPr/>
                      <wps:spPr>
                        <a:xfrm>
                          <a:off x="528777" y="35052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99" name="Rectangle 547699"/>
                      <wps:cNvSpPr/>
                      <wps:spPr>
                        <a:xfrm>
                          <a:off x="528777" y="526034"/>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700" name="Rectangle 547700"/>
                      <wps:cNvSpPr/>
                      <wps:spPr>
                        <a:xfrm>
                          <a:off x="0" y="701294"/>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7695" name="Picture 547695"/>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547693" style="width:475.026pt;height:68.504pt;position:absolute;mso-position-horizontal-relative:page;mso-position-horizontal:absolute;margin-left:141.794pt;mso-position-vertical-relative:page;margin-top:34.668pt;" coordsize="60328,8700">
              <v:shape id="Shape 547694" style="position:absolute;width:59988;height:0;left:339;top:8177;" coordsize="5998845,0" path="m0,0l5998845,0">
                <v:stroke weight="2.04pt" endcap="square" joinstyle="miter" miterlimit="10" on="true" color="#993366"/>
                <v:fill on="false" color="#000000" opacity="0"/>
              </v:shape>
              <v:rect id="Rectangle 547696" style="position:absolute;width:506;height:2243;left:11703;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97" style="position:absolute;width:506;height:2243;left:5287;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98" style="position:absolute;width:506;height:2243;left:5287;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99" style="position:absolute;width:506;height:2243;left:5287;top:52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700" style="position:absolute;width:506;height:2243;left:0;top:701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47695" style="position:absolute;width:3992;height:5699;left:332;top:565;" filled="f">
                <v:imagedata r:id="rId91"/>
              </v:shape>
              <w10:wrap type="square"/>
            </v:group>
          </w:pict>
        </mc:Fallback>
      </mc:AlternateContent>
    </w:r>
    <w:r>
      <w:rPr>
        <w:rFonts w:ascii="Arial" w:eastAsia="Arial" w:hAnsi="Arial" w:cs="Arial"/>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68480"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5"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69504"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7"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70528"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2"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74624"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6"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283" w:right="-741"/>
    </w:pPr>
    <w:r>
      <w:rPr>
        <w:noProof/>
      </w:rPr>
      <mc:AlternateContent>
        <mc:Choice Requires="wpg">
          <w:drawing>
            <wp:anchor distT="0" distB="0" distL="114300" distR="114300" simplePos="0" relativeHeight="251659264" behindDoc="0" locked="0" layoutInCell="1" allowOverlap="1">
              <wp:simplePos x="0" y="0"/>
              <wp:positionH relativeFrom="page">
                <wp:posOffset>1834007</wp:posOffset>
              </wp:positionH>
              <wp:positionV relativeFrom="page">
                <wp:posOffset>440283</wp:posOffset>
              </wp:positionV>
              <wp:extent cx="5999607" cy="817779"/>
              <wp:effectExtent l="0" t="0" r="0" b="0"/>
              <wp:wrapSquare wrapText="bothSides"/>
              <wp:docPr id="547660" name="Group 54766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7661" name="Shape 54766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7663" name="Rectangle 547663"/>
                      <wps:cNvSpPr/>
                      <wps:spPr>
                        <a:xfrm>
                          <a:off x="1137158" y="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64" name="Rectangle 547664"/>
                      <wps:cNvSpPr/>
                      <wps:spPr>
                        <a:xfrm>
                          <a:off x="495554" y="17526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65" name="Rectangle 547665"/>
                      <wps:cNvSpPr/>
                      <wps:spPr>
                        <a:xfrm>
                          <a:off x="495554" y="350520"/>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66" name="Rectangle 547666"/>
                      <wps:cNvSpPr/>
                      <wps:spPr>
                        <a:xfrm>
                          <a:off x="495554" y="526034"/>
                          <a:ext cx="50673" cy="224380"/>
                        </a:xfrm>
                        <a:prstGeom prst="rect">
                          <a:avLst/>
                        </a:prstGeom>
                        <a:ln>
                          <a:noFill/>
                        </a:ln>
                      </wps:spPr>
                      <wps:txbx>
                        <w:txbxContent>
                          <w:p w:rsidR="00FF384B" w:rsidRDefault="003E3BA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7662" name="Picture 54766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7660" style="width:472.41pt;height:64.392pt;position:absolute;mso-position-horizontal-relative:page;mso-position-horizontal:absolute;margin-left:144.41pt;mso-position-vertical-relative:page;margin-top:34.668pt;" coordsize="59996,8177">
              <v:shape id="Shape 547661" style="position:absolute;width:59988;height:0;left:7;top:8177;" coordsize="5998845,0" path="m0,0l5998845,0">
                <v:stroke weight="2.04pt" endcap="square" joinstyle="miter" miterlimit="10" on="true" color="#993366"/>
                <v:fill on="false" color="#000000" opacity="0"/>
              </v:shape>
              <v:rect id="Rectangle 547663"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64"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65"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7666" style="position:absolute;width:506;height:2243;left:4955;top:52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47662" style="position:absolute;width:3992;height:5699;left:0;top:565;" filled="f">
                <v:imagedata r:id="rId91"/>
              </v:shape>
              <w10:wrap type="square"/>
            </v:group>
          </w:pict>
        </mc:Fallback>
      </mc:AlternateContent>
    </w:r>
    <w:r>
      <w:rPr>
        <w:rFonts w:ascii="Times New Roman" w:eastAsia="Times New Roman" w:hAnsi="Times New Roman" w:cs="Times New Roman"/>
        <w:sz w:val="24"/>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75648"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7"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76672"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8"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80768"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22"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81792"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23"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82816"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24"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427"/>
    </w:pPr>
    <w:r>
      <w:rPr>
        <w:noProof/>
      </w:rPr>
      <w:drawing>
        <wp:anchor distT="0" distB="0" distL="114300" distR="114300" simplePos="0" relativeHeight="251686912"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51662" name="Picture 51662"/>
          <wp:cNvGraphicFramePr/>
          <a:graphic xmlns:a="http://schemas.openxmlformats.org/drawingml/2006/main">
            <a:graphicData uri="http://schemas.openxmlformats.org/drawingml/2006/picture">
              <pic:pic xmlns:pic="http://schemas.openxmlformats.org/drawingml/2006/picture">
                <pic:nvPicPr>
                  <pic:cNvPr id="51662" name="Picture 5166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427"/>
    </w:pPr>
    <w:r>
      <w:rPr>
        <w:noProof/>
      </w:rPr>
      <w:drawing>
        <wp:anchor distT="0" distB="0" distL="114300" distR="114300" simplePos="0" relativeHeight="251687936"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28" name="Picture 51662"/>
          <wp:cNvGraphicFramePr/>
          <a:graphic xmlns:a="http://schemas.openxmlformats.org/drawingml/2006/main">
            <a:graphicData uri="http://schemas.openxmlformats.org/drawingml/2006/picture">
              <pic:pic xmlns:pic="http://schemas.openxmlformats.org/drawingml/2006/picture">
                <pic:nvPicPr>
                  <pic:cNvPr id="51662" name="Picture 5166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ind w:left="427"/>
    </w:pPr>
    <w:r>
      <w:rPr>
        <w:noProof/>
      </w:rPr>
      <w:drawing>
        <wp:anchor distT="0" distB="0" distL="114300" distR="114300" simplePos="0" relativeHeight="251688960"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29" name="Picture 51662"/>
          <wp:cNvGraphicFramePr/>
          <a:graphic xmlns:a="http://schemas.openxmlformats.org/drawingml/2006/main">
            <a:graphicData uri="http://schemas.openxmlformats.org/drawingml/2006/picture">
              <pic:pic xmlns:pic="http://schemas.openxmlformats.org/drawingml/2006/picture">
                <pic:nvPicPr>
                  <pic:cNvPr id="51662" name="Picture 5166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FF384B"/>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62336"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41672"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63360"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84B" w:rsidRDefault="003E3BA9">
    <w:pPr>
      <w:spacing w:after="0"/>
    </w:pPr>
    <w:r>
      <w:rPr>
        <w:noProof/>
      </w:rPr>
      <w:drawing>
        <wp:anchor distT="0" distB="0" distL="114300" distR="114300" simplePos="0" relativeHeight="251664384"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2" name="Picture 41672"/>
          <wp:cNvGraphicFramePr/>
          <a:graphic xmlns:a="http://schemas.openxmlformats.org/drawingml/2006/main">
            <a:graphicData uri="http://schemas.openxmlformats.org/drawingml/2006/picture">
              <pic:pic xmlns:pic="http://schemas.openxmlformats.org/drawingml/2006/picture">
                <pic:nvPicPr>
                  <pic:cNvPr id="41672" name="Picture 41672"/>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354"/>
    <w:multiLevelType w:val="hybridMultilevel"/>
    <w:tmpl w:val="D76E4224"/>
    <w:lvl w:ilvl="0" w:tplc="D29C3E0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9D0E8B2">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CA6BBE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330884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7334EAF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54A588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C60506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D62C05C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944E58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 w15:restartNumberingAfterBreak="0">
    <w:nsid w:val="00BC489C"/>
    <w:multiLevelType w:val="hybridMultilevel"/>
    <w:tmpl w:val="B63C9E8A"/>
    <w:lvl w:ilvl="0" w:tplc="9E28D12A">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7685DF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16AC6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E7CEC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D4AB59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BCAAAD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DA2806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564A12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2CA934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EC7DF7"/>
    <w:multiLevelType w:val="hybridMultilevel"/>
    <w:tmpl w:val="A1BE67F0"/>
    <w:lvl w:ilvl="0" w:tplc="BBE83D1C">
      <w:start w:val="1"/>
      <w:numFmt w:val="lowerLetter"/>
      <w:lvlText w:val="%1)"/>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E508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3447E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6A657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0444D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2EAB1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4AEA3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09FD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3A3BA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287963"/>
    <w:multiLevelType w:val="hybridMultilevel"/>
    <w:tmpl w:val="616607F6"/>
    <w:lvl w:ilvl="0" w:tplc="B36CD0BE">
      <w:start w:val="1"/>
      <w:numFmt w:val="decimal"/>
      <w:lvlText w:val="%1."/>
      <w:lvlJc w:val="left"/>
      <w:pPr>
        <w:ind w:left="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6EABA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363D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CECC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256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60BB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981A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783B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4C97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9139E8"/>
    <w:multiLevelType w:val="hybridMultilevel"/>
    <w:tmpl w:val="711CAD2C"/>
    <w:lvl w:ilvl="0" w:tplc="19D2D94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DC414D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0829F6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2046711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FB4274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7D4C4B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42A73C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1C6B1E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56F2EDB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5" w15:restartNumberingAfterBreak="0">
    <w:nsid w:val="025F15EC"/>
    <w:multiLevelType w:val="hybridMultilevel"/>
    <w:tmpl w:val="5A90CB08"/>
    <w:lvl w:ilvl="0" w:tplc="A404B0D4">
      <w:start w:val="1"/>
      <w:numFmt w:val="decimal"/>
      <w:lvlText w:val="%1"/>
      <w:lvlJc w:val="left"/>
      <w:pPr>
        <w:ind w:left="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6844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103E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D857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F6F04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84AB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8CDE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C420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36BF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2B0479E"/>
    <w:multiLevelType w:val="hybridMultilevel"/>
    <w:tmpl w:val="5D96CED0"/>
    <w:lvl w:ilvl="0" w:tplc="A664E73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338030C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9F2A80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1B642C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D7470F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4702A97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D6C2E0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CE867C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84D67E3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7" w15:restartNumberingAfterBreak="0">
    <w:nsid w:val="03B0152B"/>
    <w:multiLevelType w:val="hybridMultilevel"/>
    <w:tmpl w:val="83608670"/>
    <w:lvl w:ilvl="0" w:tplc="06621DD8">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42E999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48A9E1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08CCAA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1BEB7A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388377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84A023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BC0CB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D2D2F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3F34190"/>
    <w:multiLevelType w:val="hybridMultilevel"/>
    <w:tmpl w:val="EC9838F6"/>
    <w:lvl w:ilvl="0" w:tplc="8C96FA64">
      <w:start w:val="3"/>
      <w:numFmt w:val="decimal"/>
      <w:lvlText w:val="%1."/>
      <w:lvlJc w:val="left"/>
      <w:pPr>
        <w:ind w:left="6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2E8949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8D224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0E440F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8643B0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0CC8FC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B4ED52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1626FF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9ACE43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4015600"/>
    <w:multiLevelType w:val="hybridMultilevel"/>
    <w:tmpl w:val="0F1AD308"/>
    <w:lvl w:ilvl="0" w:tplc="88C0BFA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2BE78BA">
      <w:start w:val="1"/>
      <w:numFmt w:val="decimal"/>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CD0E6B2">
      <w:start w:val="1"/>
      <w:numFmt w:val="bullet"/>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E8B6364E">
      <w:start w:val="1"/>
      <w:numFmt w:val="bullet"/>
      <w:lvlText w:val="•"/>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CE88CC60">
      <w:start w:val="1"/>
      <w:numFmt w:val="bullet"/>
      <w:lvlText w:val="o"/>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32B84B04">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5A469692">
      <w:start w:val="1"/>
      <w:numFmt w:val="bullet"/>
      <w:lvlText w:val="•"/>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EE5CCE5E">
      <w:start w:val="1"/>
      <w:numFmt w:val="bullet"/>
      <w:lvlText w:val="o"/>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95242666">
      <w:start w:val="1"/>
      <w:numFmt w:val="bullet"/>
      <w:lvlText w:val="▪"/>
      <w:lvlJc w:val="left"/>
      <w:pPr>
        <w:ind w:left="57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10" w15:restartNumberingAfterBreak="0">
    <w:nsid w:val="042A667C"/>
    <w:multiLevelType w:val="hybridMultilevel"/>
    <w:tmpl w:val="F976A61A"/>
    <w:lvl w:ilvl="0" w:tplc="DFC87EC2">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1CA4C62">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2BE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36B6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AF9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7A51E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9C9D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946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ACE78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4766290"/>
    <w:multiLevelType w:val="hybridMultilevel"/>
    <w:tmpl w:val="021A1C26"/>
    <w:lvl w:ilvl="0" w:tplc="4C524DB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ABD4995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FB8496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7B6D38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6BE879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D1885D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D1100F1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C86C805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DBADF7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 w15:restartNumberingAfterBreak="0">
    <w:nsid w:val="04E14899"/>
    <w:multiLevelType w:val="hybridMultilevel"/>
    <w:tmpl w:val="B20C2234"/>
    <w:lvl w:ilvl="0" w:tplc="683C1F88">
      <w:start w:val="1"/>
      <w:numFmt w:val="decimal"/>
      <w:lvlText w:val="%1"/>
      <w:lvlJc w:val="left"/>
      <w:pPr>
        <w:ind w:left="3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728AC42">
      <w:start w:val="1"/>
      <w:numFmt w:val="lowerLetter"/>
      <w:lvlText w:val="%2"/>
      <w:lvlJc w:val="left"/>
      <w:pPr>
        <w:ind w:left="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4960DE8">
      <w:start w:val="1"/>
      <w:numFmt w:val="lowerLetter"/>
      <w:lvlRestart w:val="0"/>
      <w:lvlText w:val="%3."/>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6A890C2">
      <w:start w:val="1"/>
      <w:numFmt w:val="decimal"/>
      <w:lvlText w:val="%4"/>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0E07D64">
      <w:start w:val="1"/>
      <w:numFmt w:val="lowerLetter"/>
      <w:lvlText w:val="%5"/>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3BE79BA">
      <w:start w:val="1"/>
      <w:numFmt w:val="lowerRoman"/>
      <w:lvlText w:val="%6"/>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1224070">
      <w:start w:val="1"/>
      <w:numFmt w:val="decimal"/>
      <w:lvlText w:val="%7"/>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74F0AA1C">
      <w:start w:val="1"/>
      <w:numFmt w:val="lowerLetter"/>
      <w:lvlText w:val="%8"/>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CAAD496">
      <w:start w:val="1"/>
      <w:numFmt w:val="lowerRoman"/>
      <w:lvlText w:val="%9"/>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 w15:restartNumberingAfterBreak="0">
    <w:nsid w:val="05053EF6"/>
    <w:multiLevelType w:val="hybridMultilevel"/>
    <w:tmpl w:val="6C44D7D0"/>
    <w:lvl w:ilvl="0" w:tplc="E9EA4E1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596614C">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05DE5EE6">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12E64336">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F23EFA36">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A29CC53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4934DEFA">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BFD85D4A">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32984E76">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4" w15:restartNumberingAfterBreak="0">
    <w:nsid w:val="059F4849"/>
    <w:multiLevelType w:val="hybridMultilevel"/>
    <w:tmpl w:val="D10C661A"/>
    <w:lvl w:ilvl="0" w:tplc="7474F2E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0B8C47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CB10994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29ECDF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560053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4B486D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D14621F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70F8376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EF85FB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5" w15:restartNumberingAfterBreak="0">
    <w:nsid w:val="06523A72"/>
    <w:multiLevelType w:val="hybridMultilevel"/>
    <w:tmpl w:val="AB22EB06"/>
    <w:lvl w:ilvl="0" w:tplc="CB84275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7BCF83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31AC5B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4344B1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234CDA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157EE84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80EE1B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0865AA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55B2F7D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6" w15:restartNumberingAfterBreak="0">
    <w:nsid w:val="067A145B"/>
    <w:multiLevelType w:val="hybridMultilevel"/>
    <w:tmpl w:val="3B24545A"/>
    <w:lvl w:ilvl="0" w:tplc="890C20AE">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325A1E4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E46FD9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444062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4434F49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FAEFA7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7FE883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EBE818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FDE2746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7" w15:restartNumberingAfterBreak="0">
    <w:nsid w:val="06E06014"/>
    <w:multiLevelType w:val="hybridMultilevel"/>
    <w:tmpl w:val="6C6496FA"/>
    <w:lvl w:ilvl="0" w:tplc="8490E908">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82186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2AD84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30449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4C0AE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5EC2B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CA8CF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20D17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DEC86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7347699"/>
    <w:multiLevelType w:val="hybridMultilevel"/>
    <w:tmpl w:val="18E2EC76"/>
    <w:lvl w:ilvl="0" w:tplc="08CE07D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F30F480">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80B0555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6B893F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588214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432EB92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F788D94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B7828B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5AE296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9" w15:restartNumberingAfterBreak="0">
    <w:nsid w:val="07C549B4"/>
    <w:multiLevelType w:val="hybridMultilevel"/>
    <w:tmpl w:val="AA3A0DD6"/>
    <w:lvl w:ilvl="0" w:tplc="342852DA">
      <w:start w:val="1"/>
      <w:numFmt w:val="decimal"/>
      <w:lvlText w:val="%1)"/>
      <w:lvlJc w:val="left"/>
      <w:pPr>
        <w:ind w:left="6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572487E">
      <w:start w:val="1"/>
      <w:numFmt w:val="lowerLetter"/>
      <w:lvlText w:val="%2)"/>
      <w:lvlJc w:val="left"/>
      <w:pPr>
        <w:ind w:left="1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EC07CE8">
      <w:start w:val="1"/>
      <w:numFmt w:val="decimal"/>
      <w:lvlText w:val="%3."/>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92DCEC">
      <w:start w:val="1"/>
      <w:numFmt w:val="lowerLetter"/>
      <w:lvlText w:val="%4)"/>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AA3C8">
      <w:start w:val="1"/>
      <w:numFmt w:val="lowerLetter"/>
      <w:lvlText w:val="%5"/>
      <w:lvlJc w:val="left"/>
      <w:pPr>
        <w:ind w:left="3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D8C384">
      <w:start w:val="1"/>
      <w:numFmt w:val="lowerRoman"/>
      <w:lvlText w:val="%6"/>
      <w:lvlJc w:val="left"/>
      <w:pPr>
        <w:ind w:left="3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0A7D40">
      <w:start w:val="1"/>
      <w:numFmt w:val="decimal"/>
      <w:lvlText w:val="%7"/>
      <w:lvlJc w:val="left"/>
      <w:pPr>
        <w:ind w:left="4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70D31C">
      <w:start w:val="1"/>
      <w:numFmt w:val="lowerLetter"/>
      <w:lvlText w:val="%8"/>
      <w:lvlJc w:val="left"/>
      <w:pPr>
        <w:ind w:left="5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E2E8FE">
      <w:start w:val="1"/>
      <w:numFmt w:val="lowerRoman"/>
      <w:lvlText w:val="%9"/>
      <w:lvlJc w:val="left"/>
      <w:pPr>
        <w:ind w:left="6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818249C"/>
    <w:multiLevelType w:val="hybridMultilevel"/>
    <w:tmpl w:val="606223A6"/>
    <w:lvl w:ilvl="0" w:tplc="FF6093D0">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3F400336">
      <w:start w:val="1"/>
      <w:numFmt w:val="lowerLetter"/>
      <w:lvlText w:val="%2)"/>
      <w:lvlJc w:val="left"/>
      <w:pPr>
        <w:ind w:left="1262"/>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A726D31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E490EB82">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9EAA526C">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4994176A">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5E0CE0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AE3A5BF0">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86C82C9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1" w15:restartNumberingAfterBreak="0">
    <w:nsid w:val="08183A3A"/>
    <w:multiLevelType w:val="hybridMultilevel"/>
    <w:tmpl w:val="FBBCF8E2"/>
    <w:lvl w:ilvl="0" w:tplc="9EF6C5FE">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D5AC69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BA8FCF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158F6D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3BE789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78630B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D02657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CE0973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43CC0F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8223C93"/>
    <w:multiLevelType w:val="hybridMultilevel"/>
    <w:tmpl w:val="098A2F7E"/>
    <w:lvl w:ilvl="0" w:tplc="59BCD6F6">
      <w:start w:val="1"/>
      <w:numFmt w:val="lowerLetter"/>
      <w:lvlText w:val="%1)"/>
      <w:lvlJc w:val="left"/>
      <w:pPr>
        <w:ind w:left="8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34B0CC">
      <w:start w:val="1"/>
      <w:numFmt w:val="lowerLetter"/>
      <w:lvlText w:val="%2"/>
      <w:lvlJc w:val="left"/>
      <w:pPr>
        <w:ind w:left="12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07CCA66">
      <w:start w:val="1"/>
      <w:numFmt w:val="lowerRoman"/>
      <w:lvlText w:val="%3"/>
      <w:lvlJc w:val="left"/>
      <w:pPr>
        <w:ind w:left="19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67E1E24">
      <w:start w:val="1"/>
      <w:numFmt w:val="decimal"/>
      <w:lvlText w:val="%4"/>
      <w:lvlJc w:val="left"/>
      <w:pPr>
        <w:ind w:left="27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5682974">
      <w:start w:val="1"/>
      <w:numFmt w:val="lowerLetter"/>
      <w:lvlText w:val="%5"/>
      <w:lvlJc w:val="left"/>
      <w:pPr>
        <w:ind w:left="3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564755C">
      <w:start w:val="1"/>
      <w:numFmt w:val="lowerRoman"/>
      <w:lvlText w:val="%6"/>
      <w:lvlJc w:val="left"/>
      <w:pPr>
        <w:ind w:left="4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40C36E">
      <w:start w:val="1"/>
      <w:numFmt w:val="decimal"/>
      <w:lvlText w:val="%7"/>
      <w:lvlJc w:val="left"/>
      <w:pPr>
        <w:ind w:left="4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F3421D2">
      <w:start w:val="1"/>
      <w:numFmt w:val="lowerLetter"/>
      <w:lvlText w:val="%8"/>
      <w:lvlJc w:val="left"/>
      <w:pPr>
        <w:ind w:left="5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A8AA890">
      <w:start w:val="1"/>
      <w:numFmt w:val="lowerRoman"/>
      <w:lvlText w:val="%9"/>
      <w:lvlJc w:val="left"/>
      <w:pPr>
        <w:ind w:left="6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8665DED"/>
    <w:multiLevelType w:val="hybridMultilevel"/>
    <w:tmpl w:val="342E1B9A"/>
    <w:lvl w:ilvl="0" w:tplc="51D2583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0B2C824">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96887A14">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B3F8AA12">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F95CC6C4">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D0B4FE5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E6A0210E">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89F26F94">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18DC327A">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4" w15:restartNumberingAfterBreak="0">
    <w:nsid w:val="08AD79AC"/>
    <w:multiLevelType w:val="hybridMultilevel"/>
    <w:tmpl w:val="02C6D526"/>
    <w:lvl w:ilvl="0" w:tplc="AB78CECC">
      <w:start w:val="1"/>
      <w:numFmt w:val="decimal"/>
      <w:lvlText w:val="%1."/>
      <w:lvlJc w:val="left"/>
      <w:pPr>
        <w:ind w:left="5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1186348">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2BC7FF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64685B0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0F64C0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604132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6C8A7A2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A120D90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00E39D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5" w15:restartNumberingAfterBreak="0">
    <w:nsid w:val="08E0325C"/>
    <w:multiLevelType w:val="hybridMultilevel"/>
    <w:tmpl w:val="82B26190"/>
    <w:lvl w:ilvl="0" w:tplc="3D486F2A">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251AD69A">
      <w:start w:val="1"/>
      <w:numFmt w:val="decimal"/>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6AA6D68C">
      <w:start w:val="1"/>
      <w:numFmt w:val="bullet"/>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6FB6143E">
      <w:start w:val="1"/>
      <w:numFmt w:val="bullet"/>
      <w:lvlText w:val="•"/>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13D2A1DE">
      <w:start w:val="1"/>
      <w:numFmt w:val="bullet"/>
      <w:lvlText w:val="o"/>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47BC5F30">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1AB28F2C">
      <w:start w:val="1"/>
      <w:numFmt w:val="bullet"/>
      <w:lvlText w:val="•"/>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05469A9E">
      <w:start w:val="1"/>
      <w:numFmt w:val="bullet"/>
      <w:lvlText w:val="o"/>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22825768">
      <w:start w:val="1"/>
      <w:numFmt w:val="bullet"/>
      <w:lvlText w:val="▪"/>
      <w:lvlJc w:val="left"/>
      <w:pPr>
        <w:ind w:left="57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26" w15:restartNumberingAfterBreak="0">
    <w:nsid w:val="090D7AEA"/>
    <w:multiLevelType w:val="hybridMultilevel"/>
    <w:tmpl w:val="4FF4BEB4"/>
    <w:lvl w:ilvl="0" w:tplc="AAF650F4">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F4FE6524">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A61CF39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8E4807A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736436F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75549C5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52A2AA70">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F74226A4">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BE8676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7" w15:restartNumberingAfterBreak="0">
    <w:nsid w:val="0981413F"/>
    <w:multiLevelType w:val="hybridMultilevel"/>
    <w:tmpl w:val="900E1204"/>
    <w:lvl w:ilvl="0" w:tplc="8FDEA45C">
      <w:start w:val="1"/>
      <w:numFmt w:val="decimal"/>
      <w:lvlText w:val="%1"/>
      <w:lvlJc w:val="left"/>
      <w:pPr>
        <w:ind w:left="3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7CAEC64">
      <w:start w:val="1"/>
      <w:numFmt w:val="lowerLetter"/>
      <w:lvlText w:val="%2"/>
      <w:lvlJc w:val="left"/>
      <w:pPr>
        <w:ind w:left="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2CA83B2">
      <w:start w:val="1"/>
      <w:numFmt w:val="lowerLetter"/>
      <w:lvlRestart w:val="0"/>
      <w:lvlText w:val="%3)"/>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C72BFE6">
      <w:start w:val="1"/>
      <w:numFmt w:val="decimal"/>
      <w:lvlText w:val="%4"/>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6E21052">
      <w:start w:val="1"/>
      <w:numFmt w:val="lowerLetter"/>
      <w:lvlText w:val="%5"/>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290AE7C">
      <w:start w:val="1"/>
      <w:numFmt w:val="lowerRoman"/>
      <w:lvlText w:val="%6"/>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6FD484B2">
      <w:start w:val="1"/>
      <w:numFmt w:val="decimal"/>
      <w:lvlText w:val="%7"/>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39A7822">
      <w:start w:val="1"/>
      <w:numFmt w:val="lowerLetter"/>
      <w:lvlText w:val="%8"/>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E90C63C">
      <w:start w:val="1"/>
      <w:numFmt w:val="lowerRoman"/>
      <w:lvlText w:val="%9"/>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8" w15:restartNumberingAfterBreak="0">
    <w:nsid w:val="0A784E2A"/>
    <w:multiLevelType w:val="hybridMultilevel"/>
    <w:tmpl w:val="CC28A50C"/>
    <w:lvl w:ilvl="0" w:tplc="2504799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92C2969C">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8B1C3C52">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62CC9EA0">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C6FAE91E">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C4DCB62A">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F064EE14">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FDAC4CCA">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721299C4">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9" w15:restartNumberingAfterBreak="0">
    <w:nsid w:val="0A8657CF"/>
    <w:multiLevelType w:val="hybridMultilevel"/>
    <w:tmpl w:val="F3B88E50"/>
    <w:lvl w:ilvl="0" w:tplc="FA6CBFF2">
      <w:start w:val="1"/>
      <w:numFmt w:val="bullet"/>
      <w:lvlText w:val="-"/>
      <w:lvlJc w:val="left"/>
      <w:pPr>
        <w:ind w:left="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3C6688">
      <w:start w:val="1"/>
      <w:numFmt w:val="decimal"/>
      <w:lvlText w:val="%2."/>
      <w:lvlJc w:val="left"/>
      <w:pPr>
        <w:ind w:left="1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D08265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4E689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60A271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2CA490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072157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AA2771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EF6371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B270918"/>
    <w:multiLevelType w:val="hybridMultilevel"/>
    <w:tmpl w:val="FFB214E6"/>
    <w:lvl w:ilvl="0" w:tplc="19203E3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764522">
      <w:start w:val="1"/>
      <w:numFmt w:val="decimal"/>
      <w:lvlText w:val="%2"/>
      <w:lvlJc w:val="left"/>
      <w:pPr>
        <w:ind w:left="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6EE990">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389402">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E8ACE">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42EE7C">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D42D26">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E84436">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9AF0A0">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BA609F6"/>
    <w:multiLevelType w:val="hybridMultilevel"/>
    <w:tmpl w:val="97C278CC"/>
    <w:lvl w:ilvl="0" w:tplc="BB32228C">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CD700">
      <w:start w:val="1"/>
      <w:numFmt w:val="lowerLetter"/>
      <w:lvlText w:val="%2)"/>
      <w:lvlJc w:val="left"/>
      <w:pPr>
        <w:ind w:left="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F8EC9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246F1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8EDA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82ED4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C0B82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9A073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3CEA4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0BDE0759"/>
    <w:multiLevelType w:val="hybridMultilevel"/>
    <w:tmpl w:val="011AAFA0"/>
    <w:lvl w:ilvl="0" w:tplc="2BB2BAFA">
      <w:start w:val="1"/>
      <w:numFmt w:val="lowerLetter"/>
      <w:lvlText w:val="%1)"/>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61A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90CD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3037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4F4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10AF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D2FF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0C10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3E37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C3F7769"/>
    <w:multiLevelType w:val="hybridMultilevel"/>
    <w:tmpl w:val="72DC05BE"/>
    <w:lvl w:ilvl="0" w:tplc="8988D156">
      <w:start w:val="1"/>
      <w:numFmt w:val="lowerLetter"/>
      <w:lvlText w:val="%1)"/>
      <w:lvlJc w:val="left"/>
      <w:pPr>
        <w:ind w:left="52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A48B6CC">
      <w:start w:val="1"/>
      <w:numFmt w:val="lowerLetter"/>
      <w:lvlText w:val="%2"/>
      <w:lvlJc w:val="left"/>
      <w:pPr>
        <w:ind w:left="111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F78E894">
      <w:start w:val="1"/>
      <w:numFmt w:val="lowerRoman"/>
      <w:lvlText w:val="%3"/>
      <w:lvlJc w:val="left"/>
      <w:pPr>
        <w:ind w:left="183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A4AAFE0">
      <w:start w:val="1"/>
      <w:numFmt w:val="decimal"/>
      <w:lvlText w:val="%4"/>
      <w:lvlJc w:val="left"/>
      <w:pPr>
        <w:ind w:left="255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F2ECD7C">
      <w:start w:val="1"/>
      <w:numFmt w:val="lowerLetter"/>
      <w:lvlText w:val="%5"/>
      <w:lvlJc w:val="left"/>
      <w:pPr>
        <w:ind w:left="327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A358E1D0">
      <w:start w:val="1"/>
      <w:numFmt w:val="lowerRoman"/>
      <w:lvlText w:val="%6"/>
      <w:lvlJc w:val="left"/>
      <w:pPr>
        <w:ind w:left="399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040ACE4">
      <w:start w:val="1"/>
      <w:numFmt w:val="decimal"/>
      <w:lvlText w:val="%7"/>
      <w:lvlJc w:val="left"/>
      <w:pPr>
        <w:ind w:left="471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7B24742">
      <w:start w:val="1"/>
      <w:numFmt w:val="lowerLetter"/>
      <w:lvlText w:val="%8"/>
      <w:lvlJc w:val="left"/>
      <w:pPr>
        <w:ind w:left="543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86E725A">
      <w:start w:val="1"/>
      <w:numFmt w:val="lowerRoman"/>
      <w:lvlText w:val="%9"/>
      <w:lvlJc w:val="left"/>
      <w:pPr>
        <w:ind w:left="6151"/>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4" w15:restartNumberingAfterBreak="0">
    <w:nsid w:val="0C635460"/>
    <w:multiLevelType w:val="hybridMultilevel"/>
    <w:tmpl w:val="7EC49A68"/>
    <w:lvl w:ilvl="0" w:tplc="2FBA5D6C">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5B47FD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696372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50E93F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84843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01A55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880668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E48037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52CC54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0D117E90"/>
    <w:multiLevelType w:val="hybridMultilevel"/>
    <w:tmpl w:val="65362736"/>
    <w:lvl w:ilvl="0" w:tplc="BF781628">
      <w:start w:val="1"/>
      <w:numFmt w:val="decimal"/>
      <w:lvlText w:val="%1."/>
      <w:lvlJc w:val="left"/>
      <w:pPr>
        <w:ind w:left="4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2E4A9D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FDE977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0CE462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D6CD69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74C30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DD2450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426CDD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0DA77E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0D30155D"/>
    <w:multiLevelType w:val="hybridMultilevel"/>
    <w:tmpl w:val="7DFE138C"/>
    <w:lvl w:ilvl="0" w:tplc="62F01142">
      <w:start w:val="1"/>
      <w:numFmt w:val="decimal"/>
      <w:lvlText w:val="%1"/>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B6A9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4C94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E067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E84D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DC62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1290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2C0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6AA5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D9252EA"/>
    <w:multiLevelType w:val="hybridMultilevel"/>
    <w:tmpl w:val="63C2A502"/>
    <w:lvl w:ilvl="0" w:tplc="BBD8F83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03A2C5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894F54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6F663E3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AE633B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A2B0DB1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9C34DE8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E3AE3C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826D2A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8" w15:restartNumberingAfterBreak="0">
    <w:nsid w:val="0D983389"/>
    <w:multiLevelType w:val="hybridMultilevel"/>
    <w:tmpl w:val="92F8B190"/>
    <w:lvl w:ilvl="0" w:tplc="57CEDBD2">
      <w:start w:val="1"/>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5464E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770CD0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188354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272185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9B8F9E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138F6C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756E87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6CE56D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DB91E2A"/>
    <w:multiLevelType w:val="hybridMultilevel"/>
    <w:tmpl w:val="ED14998E"/>
    <w:lvl w:ilvl="0" w:tplc="4752770A">
      <w:start w:val="1"/>
      <w:numFmt w:val="bullet"/>
      <w:lvlText w:val="*"/>
      <w:lvlJc w:val="left"/>
      <w:pPr>
        <w:ind w:left="41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DF0E5F4">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8C0D052">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AB03542">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2E4897C">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94CC0BA">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0F8E91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F40DC46">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A425398">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0DCD3527"/>
    <w:multiLevelType w:val="hybridMultilevel"/>
    <w:tmpl w:val="8CC61B7A"/>
    <w:lvl w:ilvl="0" w:tplc="9C8C4C6A">
      <w:start w:val="1"/>
      <w:numFmt w:val="bullet"/>
      <w:lvlText w:val="•"/>
      <w:lvlJc w:val="left"/>
      <w:pPr>
        <w:ind w:left="1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00AE22">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9A6EF6">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C86964">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2AD20">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AE0850">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508984">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AC1F84">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A01A2A">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0E353996"/>
    <w:multiLevelType w:val="hybridMultilevel"/>
    <w:tmpl w:val="E1AAEFE2"/>
    <w:lvl w:ilvl="0" w:tplc="73EA7054">
      <w:start w:val="2"/>
      <w:numFmt w:val="decimal"/>
      <w:lvlText w:val="%1."/>
      <w:lvlJc w:val="left"/>
      <w:pPr>
        <w:ind w:left="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088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CAE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1A53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32DA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36F1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66F5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F04D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52E6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0E557AF7"/>
    <w:multiLevelType w:val="hybridMultilevel"/>
    <w:tmpl w:val="6DB88D2E"/>
    <w:lvl w:ilvl="0" w:tplc="8662F8BE">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4C9C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F49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6E63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48F7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8A5D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98DE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AA06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9651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0EFC0A25"/>
    <w:multiLevelType w:val="hybridMultilevel"/>
    <w:tmpl w:val="C444209A"/>
    <w:lvl w:ilvl="0" w:tplc="F710CDC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C30E89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A26206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9407B4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5AEC92F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6DADF5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84274D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4D78565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4EEAAD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44" w15:restartNumberingAfterBreak="0">
    <w:nsid w:val="0F04478B"/>
    <w:multiLevelType w:val="hybridMultilevel"/>
    <w:tmpl w:val="BA166FF0"/>
    <w:lvl w:ilvl="0" w:tplc="B2B2E720">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30D6DC">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DEF1F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DC1B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34B6F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BC59F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725D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F04BF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149E8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0F752778"/>
    <w:multiLevelType w:val="hybridMultilevel"/>
    <w:tmpl w:val="D08E85BE"/>
    <w:lvl w:ilvl="0" w:tplc="3552112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EE6DF7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052473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89670A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200D2C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A5E8383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468440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35E3AE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2306D2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46" w15:restartNumberingAfterBreak="0">
    <w:nsid w:val="0F8B0A03"/>
    <w:multiLevelType w:val="hybridMultilevel"/>
    <w:tmpl w:val="7DBE7F42"/>
    <w:lvl w:ilvl="0" w:tplc="7B8E8A24">
      <w:start w:val="2"/>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DE9B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0E7F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F68C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2A6B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A846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B8A3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9A3E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1424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076218C"/>
    <w:multiLevelType w:val="hybridMultilevel"/>
    <w:tmpl w:val="672A4E18"/>
    <w:lvl w:ilvl="0" w:tplc="634CCAB4">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66EE3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70C74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E1E206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38AA7A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820F57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3D898E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826298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F740A6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0A82F03"/>
    <w:multiLevelType w:val="hybridMultilevel"/>
    <w:tmpl w:val="87740064"/>
    <w:lvl w:ilvl="0" w:tplc="79C2AE0C">
      <w:start w:val="1"/>
      <w:numFmt w:val="decimal"/>
      <w:lvlText w:val="%1"/>
      <w:lvlJc w:val="left"/>
      <w:pPr>
        <w:ind w:left="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3E7B6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D2480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444B6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82F06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12B5F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54643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0CC1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62EA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0AE167E"/>
    <w:multiLevelType w:val="hybridMultilevel"/>
    <w:tmpl w:val="174288DA"/>
    <w:lvl w:ilvl="0" w:tplc="ADE00882">
      <w:start w:val="1"/>
      <w:numFmt w:val="lowerLetter"/>
      <w:lvlText w:val="%1)"/>
      <w:lvlJc w:val="left"/>
      <w:pPr>
        <w:ind w:left="125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E0F8050E">
      <w:start w:val="1"/>
      <w:numFmt w:val="lowerLetter"/>
      <w:lvlText w:val="%2"/>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4B487690">
      <w:start w:val="1"/>
      <w:numFmt w:val="lowerRoman"/>
      <w:lvlText w:val="%3"/>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0A801DA4">
      <w:start w:val="1"/>
      <w:numFmt w:val="decimal"/>
      <w:lvlText w:val="%4"/>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6F0B560">
      <w:start w:val="1"/>
      <w:numFmt w:val="lowerLetter"/>
      <w:lvlText w:val="%5"/>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AC301C2C">
      <w:start w:val="1"/>
      <w:numFmt w:val="lowerRoman"/>
      <w:lvlText w:val="%6"/>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BCC303A">
      <w:start w:val="1"/>
      <w:numFmt w:val="decimal"/>
      <w:lvlText w:val="%7"/>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87822010">
      <w:start w:val="1"/>
      <w:numFmt w:val="lowerLetter"/>
      <w:lvlText w:val="%8"/>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63227930">
      <w:start w:val="1"/>
      <w:numFmt w:val="lowerRoman"/>
      <w:lvlText w:val="%9"/>
      <w:lvlJc w:val="left"/>
      <w:pPr>
        <w:ind w:left="68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50" w15:restartNumberingAfterBreak="0">
    <w:nsid w:val="112143D0"/>
    <w:multiLevelType w:val="hybridMultilevel"/>
    <w:tmpl w:val="AA0E7540"/>
    <w:lvl w:ilvl="0" w:tplc="A5FA0E96">
      <w:start w:val="1"/>
      <w:numFmt w:val="decimal"/>
      <w:lvlText w:val="%1"/>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C730A">
      <w:start w:val="1"/>
      <w:numFmt w:val="lowerLetter"/>
      <w:lvlText w:val="%2"/>
      <w:lvlJc w:val="left"/>
      <w:pPr>
        <w:ind w:left="1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DCA4CA">
      <w:start w:val="1"/>
      <w:numFmt w:val="lowerRoman"/>
      <w:lvlText w:val="%3"/>
      <w:lvlJc w:val="left"/>
      <w:pPr>
        <w:ind w:left="2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0EF5A2">
      <w:start w:val="1"/>
      <w:numFmt w:val="decimal"/>
      <w:lvlText w:val="%4"/>
      <w:lvlJc w:val="left"/>
      <w:pPr>
        <w:ind w:left="2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E6322">
      <w:start w:val="1"/>
      <w:numFmt w:val="lowerLetter"/>
      <w:lvlText w:val="%5"/>
      <w:lvlJc w:val="left"/>
      <w:pPr>
        <w:ind w:left="3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786F92">
      <w:start w:val="1"/>
      <w:numFmt w:val="lowerRoman"/>
      <w:lvlText w:val="%6"/>
      <w:lvlJc w:val="left"/>
      <w:pPr>
        <w:ind w:left="4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9C560A">
      <w:start w:val="1"/>
      <w:numFmt w:val="decimal"/>
      <w:lvlText w:val="%7"/>
      <w:lvlJc w:val="left"/>
      <w:pPr>
        <w:ind w:left="4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CE926">
      <w:start w:val="1"/>
      <w:numFmt w:val="lowerLetter"/>
      <w:lvlText w:val="%8"/>
      <w:lvlJc w:val="left"/>
      <w:pPr>
        <w:ind w:left="5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C8ECDA">
      <w:start w:val="1"/>
      <w:numFmt w:val="lowerRoman"/>
      <w:lvlText w:val="%9"/>
      <w:lvlJc w:val="left"/>
      <w:pPr>
        <w:ind w:left="6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15C273B"/>
    <w:multiLevelType w:val="hybridMultilevel"/>
    <w:tmpl w:val="72CED078"/>
    <w:lvl w:ilvl="0" w:tplc="1EEC8F34">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4B4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221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875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6E13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BC63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3C0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E84B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2E12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1604705"/>
    <w:multiLevelType w:val="hybridMultilevel"/>
    <w:tmpl w:val="BFCECFA6"/>
    <w:lvl w:ilvl="0" w:tplc="C8283D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AEC7F6">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B44DB3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FC84F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23EAE2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E12C81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430A9C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10E404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52E909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1ED6F6C"/>
    <w:multiLevelType w:val="hybridMultilevel"/>
    <w:tmpl w:val="AB600B68"/>
    <w:lvl w:ilvl="0" w:tplc="EE862CB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A24EF3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E4C1F5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C6AC5F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98EC7C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A28038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DA8377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E1C117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7D6A8D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54" w15:restartNumberingAfterBreak="0">
    <w:nsid w:val="121E4E09"/>
    <w:multiLevelType w:val="hybridMultilevel"/>
    <w:tmpl w:val="D790573E"/>
    <w:lvl w:ilvl="0" w:tplc="6C463FDC">
      <w:start w:val="1"/>
      <w:numFmt w:val="lowerLetter"/>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B425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920D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948E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A211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7AA1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2A92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00FE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5C99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246292F"/>
    <w:multiLevelType w:val="hybridMultilevel"/>
    <w:tmpl w:val="5E9C03E6"/>
    <w:lvl w:ilvl="0" w:tplc="D578F45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4C360F5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1F6A6D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536334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AA2E2C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BA658C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467C98A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A50C86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7F2DA8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56" w15:restartNumberingAfterBreak="0">
    <w:nsid w:val="13137071"/>
    <w:multiLevelType w:val="hybridMultilevel"/>
    <w:tmpl w:val="C90A1AF2"/>
    <w:lvl w:ilvl="0" w:tplc="24D0AB94">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292D262">
      <w:start w:val="1"/>
      <w:numFmt w:val="lowerLetter"/>
      <w:lvlText w:val="%2)"/>
      <w:lvlJc w:val="left"/>
      <w:pPr>
        <w:ind w:left="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FD85080">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DECA5F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6DE3E0A">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8B06DBC">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86ECED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4CF0A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3FA807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1376436C"/>
    <w:multiLevelType w:val="hybridMultilevel"/>
    <w:tmpl w:val="989C42CE"/>
    <w:lvl w:ilvl="0" w:tplc="3E3608CE">
      <w:start w:val="1"/>
      <w:numFmt w:val="decimal"/>
      <w:lvlText w:val="%1."/>
      <w:lvlJc w:val="left"/>
      <w:pPr>
        <w:ind w:left="28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A0E1BB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417A49E2">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060AF6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271822AE">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BF0E1E38">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B4165A2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0714DCDE">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CCCA2A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58" w15:restartNumberingAfterBreak="0">
    <w:nsid w:val="14650F5F"/>
    <w:multiLevelType w:val="hybridMultilevel"/>
    <w:tmpl w:val="A966204E"/>
    <w:lvl w:ilvl="0" w:tplc="D720A1C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1AE6D22">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934E21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9B2EC0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254ABE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3626EC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43D6FF7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5B43FA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47E665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59" w15:restartNumberingAfterBreak="0">
    <w:nsid w:val="14A537DA"/>
    <w:multiLevelType w:val="hybridMultilevel"/>
    <w:tmpl w:val="B1C69D34"/>
    <w:lvl w:ilvl="0" w:tplc="6CA0D83E">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4E521518">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794A6FD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83641AC">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E6C6CEC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1016811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07D6ECD6">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70C250E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C569914">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60" w15:restartNumberingAfterBreak="0">
    <w:nsid w:val="1559283C"/>
    <w:multiLevelType w:val="hybridMultilevel"/>
    <w:tmpl w:val="6B948260"/>
    <w:lvl w:ilvl="0" w:tplc="02CC85C0">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F24086">
      <w:start w:val="1"/>
      <w:numFmt w:val="lowerLetter"/>
      <w:lvlText w:val="%2)"/>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7A2B7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893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7C01E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3E117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32C1A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36D04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BA733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5784D8A"/>
    <w:multiLevelType w:val="hybridMultilevel"/>
    <w:tmpl w:val="D8245830"/>
    <w:lvl w:ilvl="0" w:tplc="96360878">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C67FE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C88C10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63EACE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C72379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E6856A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8F22F8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E84ACE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FBA740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5E52D6E"/>
    <w:multiLevelType w:val="hybridMultilevel"/>
    <w:tmpl w:val="2D8E2AF4"/>
    <w:lvl w:ilvl="0" w:tplc="400ECB42">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1" w:tplc="197E6552">
      <w:start w:val="1"/>
      <w:numFmt w:val="bullet"/>
      <w:lvlText w:val="o"/>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2" w:tplc="74E87F8C">
      <w:start w:val="1"/>
      <w:numFmt w:val="bullet"/>
      <w:lvlText w:val="▪"/>
      <w:lvlJc w:val="left"/>
      <w:pPr>
        <w:ind w:left="21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A380DE52">
      <w:start w:val="1"/>
      <w:numFmt w:val="bullet"/>
      <w:lvlText w:val="•"/>
      <w:lvlJc w:val="left"/>
      <w:pPr>
        <w:ind w:left="288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A2D412AA">
      <w:start w:val="1"/>
      <w:numFmt w:val="bullet"/>
      <w:lvlText w:val="o"/>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7262723C">
      <w:start w:val="1"/>
      <w:numFmt w:val="bullet"/>
      <w:lvlText w:val="▪"/>
      <w:lvlJc w:val="left"/>
      <w:pPr>
        <w:ind w:left="432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0824AF2E">
      <w:start w:val="1"/>
      <w:numFmt w:val="bullet"/>
      <w:lvlText w:val="•"/>
      <w:lvlJc w:val="left"/>
      <w:pPr>
        <w:ind w:left="504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E29060BC">
      <w:start w:val="1"/>
      <w:numFmt w:val="bullet"/>
      <w:lvlText w:val="o"/>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6A5A6A90">
      <w:start w:val="1"/>
      <w:numFmt w:val="bullet"/>
      <w:lvlText w:val="▪"/>
      <w:lvlJc w:val="left"/>
      <w:pPr>
        <w:ind w:left="64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63" w15:restartNumberingAfterBreak="0">
    <w:nsid w:val="160E3E93"/>
    <w:multiLevelType w:val="hybridMultilevel"/>
    <w:tmpl w:val="8C24DDAE"/>
    <w:lvl w:ilvl="0" w:tplc="0A081D20">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2CE1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D059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9600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7426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225F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B4A7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84C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785F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6131966"/>
    <w:multiLevelType w:val="hybridMultilevel"/>
    <w:tmpl w:val="2A509B86"/>
    <w:lvl w:ilvl="0" w:tplc="F9DC2E3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F0E86EE">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E9D8A518">
      <w:start w:val="1"/>
      <w:numFmt w:val="lowerRoman"/>
      <w:lvlText w:val="%3"/>
      <w:lvlJc w:val="left"/>
      <w:pPr>
        <w:ind w:left="133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2D0A914">
      <w:start w:val="1"/>
      <w:numFmt w:val="decimal"/>
      <w:lvlText w:val="%4"/>
      <w:lvlJc w:val="left"/>
      <w:pPr>
        <w:ind w:left="205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08D6584C">
      <w:start w:val="1"/>
      <w:numFmt w:val="lowerLetter"/>
      <w:lvlText w:val="%5"/>
      <w:lvlJc w:val="left"/>
      <w:pPr>
        <w:ind w:left="277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8521B2E">
      <w:start w:val="1"/>
      <w:numFmt w:val="lowerRoman"/>
      <w:lvlText w:val="%6"/>
      <w:lvlJc w:val="left"/>
      <w:pPr>
        <w:ind w:left="349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E989614">
      <w:start w:val="1"/>
      <w:numFmt w:val="decimal"/>
      <w:lvlText w:val="%7"/>
      <w:lvlJc w:val="left"/>
      <w:pPr>
        <w:ind w:left="421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EA2BEAE">
      <w:start w:val="1"/>
      <w:numFmt w:val="lowerLetter"/>
      <w:lvlText w:val="%8"/>
      <w:lvlJc w:val="left"/>
      <w:pPr>
        <w:ind w:left="493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8CD40D72">
      <w:start w:val="1"/>
      <w:numFmt w:val="lowerRoman"/>
      <w:lvlText w:val="%9"/>
      <w:lvlJc w:val="left"/>
      <w:pPr>
        <w:ind w:left="5657"/>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65" w15:restartNumberingAfterBreak="0">
    <w:nsid w:val="167B2408"/>
    <w:multiLevelType w:val="hybridMultilevel"/>
    <w:tmpl w:val="24BCC8D8"/>
    <w:lvl w:ilvl="0" w:tplc="7F8EFB02">
      <w:start w:val="1"/>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03EC32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FB846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132A63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7F61E8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C324C2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5488DA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086FEB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DBEF1A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68B10F3"/>
    <w:multiLevelType w:val="hybridMultilevel"/>
    <w:tmpl w:val="FF589726"/>
    <w:lvl w:ilvl="0" w:tplc="F30A5928">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E3E432B6">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FE300922">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ADECE592">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6164A4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56EC055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205CE2DA">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83A0016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10CEF1C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67" w15:restartNumberingAfterBreak="0">
    <w:nsid w:val="16B71344"/>
    <w:multiLevelType w:val="hybridMultilevel"/>
    <w:tmpl w:val="825A4BE0"/>
    <w:lvl w:ilvl="0" w:tplc="5ACE11F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95EB72A">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F26345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3384AFC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622CE0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B0E67F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9E26EB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7DE540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614556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68" w15:restartNumberingAfterBreak="0">
    <w:nsid w:val="17654283"/>
    <w:multiLevelType w:val="hybridMultilevel"/>
    <w:tmpl w:val="C1F0AB5E"/>
    <w:lvl w:ilvl="0" w:tplc="CE7E63D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CEC8C9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BE00E6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7E8B27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6409C3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6623A2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4C28FD0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2147B6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1124DE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69" w15:restartNumberingAfterBreak="0">
    <w:nsid w:val="17DC1225"/>
    <w:multiLevelType w:val="hybridMultilevel"/>
    <w:tmpl w:val="70F4C64A"/>
    <w:lvl w:ilvl="0" w:tplc="88C44C3A">
      <w:start w:val="2"/>
      <w:numFmt w:val="lowerLetter"/>
      <w:lvlText w:val="%1)"/>
      <w:lvlJc w:val="left"/>
      <w:pPr>
        <w:ind w:left="9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91ABB8E">
      <w:start w:val="1"/>
      <w:numFmt w:val="lowerLetter"/>
      <w:lvlText w:val="%2"/>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42A82E">
      <w:start w:val="1"/>
      <w:numFmt w:val="lowerRoman"/>
      <w:lvlText w:val="%3"/>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3CA65C2">
      <w:start w:val="1"/>
      <w:numFmt w:val="decimal"/>
      <w:lvlText w:val="%4"/>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682803E">
      <w:start w:val="1"/>
      <w:numFmt w:val="lowerLetter"/>
      <w:lvlText w:val="%5"/>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E7634BC">
      <w:start w:val="1"/>
      <w:numFmt w:val="lowerRoman"/>
      <w:lvlText w:val="%6"/>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8F28704">
      <w:start w:val="1"/>
      <w:numFmt w:val="decimal"/>
      <w:lvlText w:val="%7"/>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DBE1B5E">
      <w:start w:val="1"/>
      <w:numFmt w:val="lowerLetter"/>
      <w:lvlText w:val="%8"/>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0D09B88">
      <w:start w:val="1"/>
      <w:numFmt w:val="lowerRoman"/>
      <w:lvlText w:val="%9"/>
      <w:lvlJc w:val="left"/>
      <w:pPr>
        <w:ind w:left="6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17E15154"/>
    <w:multiLevelType w:val="hybridMultilevel"/>
    <w:tmpl w:val="9982877C"/>
    <w:lvl w:ilvl="0" w:tplc="12D6240E">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AE8018CA">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6798CB3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B9487EB0">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B648974C">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A7F60A60">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7E2C03C4">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B1466230">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35EE7E34">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71" w15:restartNumberingAfterBreak="0">
    <w:nsid w:val="184F4823"/>
    <w:multiLevelType w:val="hybridMultilevel"/>
    <w:tmpl w:val="71CC3DE8"/>
    <w:lvl w:ilvl="0" w:tplc="6B18CF4C">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14CE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A092B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EF9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88E9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E0F6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4413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1A7D2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2A4C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18663DDE"/>
    <w:multiLevelType w:val="hybridMultilevel"/>
    <w:tmpl w:val="630A0C88"/>
    <w:lvl w:ilvl="0" w:tplc="27D0A244">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9DE014EA">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BE34667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1F88E9A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6E8AEE2">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BF8E4D30">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B6904C8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647A038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F32801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73" w15:restartNumberingAfterBreak="0">
    <w:nsid w:val="18901026"/>
    <w:multiLevelType w:val="hybridMultilevel"/>
    <w:tmpl w:val="7C9C0B8E"/>
    <w:lvl w:ilvl="0" w:tplc="81200BE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19499E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F127ED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02EDF0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9CCFB5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824464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1B83A1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996B28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7FC8A3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74" w15:restartNumberingAfterBreak="0">
    <w:nsid w:val="18C875C9"/>
    <w:multiLevelType w:val="hybridMultilevel"/>
    <w:tmpl w:val="C01A1732"/>
    <w:lvl w:ilvl="0" w:tplc="1AA6A5C0">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6AB2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ACE2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DE19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E244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90A3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805C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C82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A692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19190CE0"/>
    <w:multiLevelType w:val="hybridMultilevel"/>
    <w:tmpl w:val="1A1C2AEA"/>
    <w:lvl w:ilvl="0" w:tplc="D562AA4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06E8634">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EBBAD2B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EA2D8B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DDBCF66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7D86E98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1842AC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550A93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A90ED2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76" w15:restartNumberingAfterBreak="0">
    <w:nsid w:val="19481021"/>
    <w:multiLevelType w:val="hybridMultilevel"/>
    <w:tmpl w:val="03B44A02"/>
    <w:lvl w:ilvl="0" w:tplc="C504A3C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7FA3B8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803043A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23AAA33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4856731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95E8FC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22E74E6">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A4A992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A7A475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77" w15:restartNumberingAfterBreak="0">
    <w:nsid w:val="1A282225"/>
    <w:multiLevelType w:val="hybridMultilevel"/>
    <w:tmpl w:val="3C2EFE60"/>
    <w:lvl w:ilvl="0" w:tplc="62A27108">
      <w:start w:val="4"/>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EEBF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AF8D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784F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0390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5A529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A609C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EAE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621FE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1B901154"/>
    <w:multiLevelType w:val="hybridMultilevel"/>
    <w:tmpl w:val="C7F80DEA"/>
    <w:lvl w:ilvl="0" w:tplc="0E6CC734">
      <w:start w:val="1"/>
      <w:numFmt w:val="bullet"/>
      <w:lvlText w:val="•"/>
      <w:lvlJc w:val="left"/>
      <w:pPr>
        <w:ind w:left="3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1" w:tplc="B61016D4">
      <w:start w:val="1"/>
      <w:numFmt w:val="bullet"/>
      <w:lvlText w:val="o"/>
      <w:lvlJc w:val="left"/>
      <w:pPr>
        <w:ind w:left="7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2" w:tplc="40CAEA86">
      <w:start w:val="1"/>
      <w:numFmt w:val="bullet"/>
      <w:lvlText w:val="▪"/>
      <w:lvlJc w:val="left"/>
      <w:pPr>
        <w:ind w:left="10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AE7C4038">
      <w:start w:val="1"/>
      <w:numFmt w:val="bullet"/>
      <w:lvlRestart w:val="0"/>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0C1280F6">
      <w:start w:val="1"/>
      <w:numFmt w:val="bullet"/>
      <w:lvlText w:val="o"/>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C2280710">
      <w:start w:val="1"/>
      <w:numFmt w:val="bullet"/>
      <w:lvlText w:val="▪"/>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5CA8FE24">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6BECA6D6">
      <w:start w:val="1"/>
      <w:numFmt w:val="bullet"/>
      <w:lvlText w:val="o"/>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11F42178">
      <w:start w:val="1"/>
      <w:numFmt w:val="bullet"/>
      <w:lvlText w:val="▪"/>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79" w15:restartNumberingAfterBreak="0">
    <w:nsid w:val="1BA65729"/>
    <w:multiLevelType w:val="hybridMultilevel"/>
    <w:tmpl w:val="EEFCBD92"/>
    <w:lvl w:ilvl="0" w:tplc="2C66960C">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19E7DAE">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1ECCBCC2">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FD42691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DD50FE68">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A16A29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357EAE2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4F2937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4C23BF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80" w15:restartNumberingAfterBreak="0">
    <w:nsid w:val="1BAA758D"/>
    <w:multiLevelType w:val="hybridMultilevel"/>
    <w:tmpl w:val="C21A14B2"/>
    <w:lvl w:ilvl="0" w:tplc="55B2FC0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DB8E5E8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B238BDC0">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F412FA10">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F8AC672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D48EFF4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21984B2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5140875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797ABEA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81" w15:restartNumberingAfterBreak="0">
    <w:nsid w:val="1C5D533B"/>
    <w:multiLevelType w:val="hybridMultilevel"/>
    <w:tmpl w:val="9556A4FA"/>
    <w:lvl w:ilvl="0" w:tplc="93EE784E">
      <w:start w:val="1"/>
      <w:numFmt w:val="decimal"/>
      <w:lvlText w:val="%1."/>
      <w:lvlJc w:val="left"/>
      <w:pPr>
        <w:ind w:left="5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ECFC2060">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72C2FE9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980A1EBE">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0DA6F0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D30AE418">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EC5C10F6">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F8543D88">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1CF66DF4">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82" w15:restartNumberingAfterBreak="0">
    <w:nsid w:val="1D9C2853"/>
    <w:multiLevelType w:val="hybridMultilevel"/>
    <w:tmpl w:val="47BA2EB0"/>
    <w:lvl w:ilvl="0" w:tplc="7176208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B48E5F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71ABAC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8641BF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63826A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752A3B2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5C50FCF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BC49EB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C1C5F9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83" w15:restartNumberingAfterBreak="0">
    <w:nsid w:val="1DD9339A"/>
    <w:multiLevelType w:val="hybridMultilevel"/>
    <w:tmpl w:val="C0E6D30A"/>
    <w:lvl w:ilvl="0" w:tplc="D6B690BA">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51A7ED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56C2AA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55A0A8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A05CA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91A474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79656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D645EA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6BA7A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1DF15474"/>
    <w:multiLevelType w:val="hybridMultilevel"/>
    <w:tmpl w:val="7660B830"/>
    <w:lvl w:ilvl="0" w:tplc="AC58579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40E075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C40FDF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A3417C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1D8B03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1DC87F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E788F7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422C00D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F6F0EF3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85" w15:restartNumberingAfterBreak="0">
    <w:nsid w:val="1E1A0CB2"/>
    <w:multiLevelType w:val="hybridMultilevel"/>
    <w:tmpl w:val="5CD266FC"/>
    <w:lvl w:ilvl="0" w:tplc="36CCB464">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86A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1C55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44DA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686C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C05B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6E02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52BB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F41E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1E2931D7"/>
    <w:multiLevelType w:val="hybridMultilevel"/>
    <w:tmpl w:val="8AB25412"/>
    <w:lvl w:ilvl="0" w:tplc="B98A56F4">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1B46D9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60222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8A606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A28957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828B4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1947C2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698D06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422996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1F81583D"/>
    <w:multiLevelType w:val="hybridMultilevel"/>
    <w:tmpl w:val="C3CE29D6"/>
    <w:lvl w:ilvl="0" w:tplc="4ECC47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A852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2278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141B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9A4F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0C02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C437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A279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3864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0506782"/>
    <w:multiLevelType w:val="hybridMultilevel"/>
    <w:tmpl w:val="6B3679FE"/>
    <w:lvl w:ilvl="0" w:tplc="A058FAC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4BAA15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51E663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39A6DC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43A14B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29AE7B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AA0A43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DF82264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5025C4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89" w15:restartNumberingAfterBreak="0">
    <w:nsid w:val="214F7FD8"/>
    <w:multiLevelType w:val="hybridMultilevel"/>
    <w:tmpl w:val="D22C9B74"/>
    <w:lvl w:ilvl="0" w:tplc="5E12748E">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C5EF1D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6D845D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8C8CD2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30BE7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F28EA3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3EAA51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A86165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AB0F4D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16F4A24"/>
    <w:multiLevelType w:val="hybridMultilevel"/>
    <w:tmpl w:val="028ADF08"/>
    <w:lvl w:ilvl="0" w:tplc="B0B478A8">
      <w:start w:val="2"/>
      <w:numFmt w:val="decimal"/>
      <w:lvlText w:val="%1."/>
      <w:lvlJc w:val="left"/>
      <w:pPr>
        <w:ind w:left="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8ADE8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70D3C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06BFD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F4538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743BD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26E2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F2A1D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0678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17E0FF3"/>
    <w:multiLevelType w:val="hybridMultilevel"/>
    <w:tmpl w:val="25AEE13E"/>
    <w:lvl w:ilvl="0" w:tplc="BCBAADE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A100111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AD2838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DBC24B8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95ED0D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ABA154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298BE6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6AABE9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904014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92" w15:restartNumberingAfterBreak="0">
    <w:nsid w:val="21864EC1"/>
    <w:multiLevelType w:val="hybridMultilevel"/>
    <w:tmpl w:val="FA2E3A14"/>
    <w:lvl w:ilvl="0" w:tplc="A2A660DE">
      <w:start w:val="1"/>
      <w:numFmt w:val="bullet"/>
      <w:lvlText w:val="o"/>
      <w:lvlJc w:val="left"/>
      <w:pPr>
        <w:ind w:left="8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B94E038">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65C198A">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8486C8">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79283DC">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866B5C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DE46A0">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C8881A">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18A8AD0">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21B95F8D"/>
    <w:multiLevelType w:val="hybridMultilevel"/>
    <w:tmpl w:val="D6DC5262"/>
    <w:lvl w:ilvl="0" w:tplc="F57093B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D46778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21C203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A114FF8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2264CF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6C859C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56AEA31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D90AF7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AB04E1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94" w15:restartNumberingAfterBreak="0">
    <w:nsid w:val="21DD65BB"/>
    <w:multiLevelType w:val="hybridMultilevel"/>
    <w:tmpl w:val="F1B8BE7A"/>
    <w:lvl w:ilvl="0" w:tplc="C054E886">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1B8F8D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08C1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E4A66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83EF1A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CC2D19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AF8E45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D6D22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A8092A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23262F19"/>
    <w:multiLevelType w:val="hybridMultilevel"/>
    <w:tmpl w:val="0A8AB6D8"/>
    <w:lvl w:ilvl="0" w:tplc="2CE0DDD6">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94C1F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E4C66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E4218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4E0C3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8485A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66C9A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E2F93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6C908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23396F62"/>
    <w:multiLevelType w:val="hybridMultilevel"/>
    <w:tmpl w:val="A59CF524"/>
    <w:lvl w:ilvl="0" w:tplc="2EA6FB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14DF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4C15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78E9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DEC6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6E43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26DC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3870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661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34718A6"/>
    <w:multiLevelType w:val="hybridMultilevel"/>
    <w:tmpl w:val="AAF6323C"/>
    <w:lvl w:ilvl="0" w:tplc="8C62EFA2">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9F2840DE">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F06E75C0">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AB02F6EC">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797C04D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EABCB95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6D46AB56">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73026D80">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28AE0132">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98" w15:restartNumberingAfterBreak="0">
    <w:nsid w:val="243238DA"/>
    <w:multiLevelType w:val="hybridMultilevel"/>
    <w:tmpl w:val="8C924554"/>
    <w:lvl w:ilvl="0" w:tplc="2580EAB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1D6DA2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58EFFB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6C26D9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DF1A9F4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DA26EA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E6CFEB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D74A20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D02B2D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99" w15:restartNumberingAfterBreak="0">
    <w:nsid w:val="24A459F1"/>
    <w:multiLevelType w:val="hybridMultilevel"/>
    <w:tmpl w:val="61DED70E"/>
    <w:lvl w:ilvl="0" w:tplc="DFA0BB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2273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E40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8865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FE15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F032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0CBC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86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E625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4EA6A86"/>
    <w:multiLevelType w:val="hybridMultilevel"/>
    <w:tmpl w:val="D0888690"/>
    <w:lvl w:ilvl="0" w:tplc="E04670D8">
      <w:start w:val="1"/>
      <w:numFmt w:val="lowerLetter"/>
      <w:lvlText w:val="%1)"/>
      <w:lvlJc w:val="left"/>
      <w:pPr>
        <w:ind w:left="125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AE96251C">
      <w:start w:val="1"/>
      <w:numFmt w:val="lowerLetter"/>
      <w:lvlText w:val="%2"/>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BCC4782">
      <w:start w:val="1"/>
      <w:numFmt w:val="lowerRoman"/>
      <w:lvlText w:val="%3"/>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9B8D49A">
      <w:start w:val="1"/>
      <w:numFmt w:val="decimal"/>
      <w:lvlText w:val="%4"/>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DE0F9DC">
      <w:start w:val="1"/>
      <w:numFmt w:val="lowerLetter"/>
      <w:lvlText w:val="%5"/>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C9EF4FC">
      <w:start w:val="1"/>
      <w:numFmt w:val="lowerRoman"/>
      <w:lvlText w:val="%6"/>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F6EDFA0">
      <w:start w:val="1"/>
      <w:numFmt w:val="decimal"/>
      <w:lvlText w:val="%7"/>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52C895C">
      <w:start w:val="1"/>
      <w:numFmt w:val="lowerLetter"/>
      <w:lvlText w:val="%8"/>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840F878">
      <w:start w:val="1"/>
      <w:numFmt w:val="lowerRoman"/>
      <w:lvlText w:val="%9"/>
      <w:lvlJc w:val="left"/>
      <w:pPr>
        <w:ind w:left="68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01" w15:restartNumberingAfterBreak="0">
    <w:nsid w:val="253E0115"/>
    <w:multiLevelType w:val="hybridMultilevel"/>
    <w:tmpl w:val="4F9463BA"/>
    <w:lvl w:ilvl="0" w:tplc="6D2CB554">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DD046A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C10DD5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3B43D7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2EA1C2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1A10374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6C40506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D4B0021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8A01EB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02" w15:restartNumberingAfterBreak="0">
    <w:nsid w:val="254A412F"/>
    <w:multiLevelType w:val="hybridMultilevel"/>
    <w:tmpl w:val="CB88C57A"/>
    <w:lvl w:ilvl="0" w:tplc="64F6AC98">
      <w:start w:val="1"/>
      <w:numFmt w:val="lowerLetter"/>
      <w:lvlText w:val="%1)"/>
      <w:lvlJc w:val="left"/>
      <w:pPr>
        <w:ind w:left="6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6CE63D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C627FD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DEA799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09ACF3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D6ADCD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96A792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F6E04D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51EC07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25BD0429"/>
    <w:multiLevelType w:val="hybridMultilevel"/>
    <w:tmpl w:val="920AFCEA"/>
    <w:lvl w:ilvl="0" w:tplc="3BF6CE0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EEE090FE">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13E094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B79ED5A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7902BE8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CCC64EA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B346B44">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6BBC8BE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7AB62EA2">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04" w15:restartNumberingAfterBreak="0">
    <w:nsid w:val="25DB78F7"/>
    <w:multiLevelType w:val="hybridMultilevel"/>
    <w:tmpl w:val="E5AA2ECA"/>
    <w:lvl w:ilvl="0" w:tplc="7EDE92C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51C62B0">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52C321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66C4D60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432A0EA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E82139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A34DF7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68E39D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57EC5C7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05" w15:restartNumberingAfterBreak="0">
    <w:nsid w:val="26DE4DCA"/>
    <w:multiLevelType w:val="hybridMultilevel"/>
    <w:tmpl w:val="F2C4DF1A"/>
    <w:lvl w:ilvl="0" w:tplc="A806837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862002D8">
      <w:start w:val="1"/>
      <w:numFmt w:val="decimal"/>
      <w:lvlText w:val="%2."/>
      <w:lvlJc w:val="left"/>
      <w:pPr>
        <w:ind w:left="125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5442E0D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4AD071E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940655DE">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803027CC">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2CC27EA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8FB0FD4A">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122FCB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06" w15:restartNumberingAfterBreak="0">
    <w:nsid w:val="27E81A58"/>
    <w:multiLevelType w:val="hybridMultilevel"/>
    <w:tmpl w:val="BB88F98A"/>
    <w:lvl w:ilvl="0" w:tplc="E98EADA2">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936C11A8">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D6E21678">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4014B846">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E73ECB94">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8266EC1E">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BD62D012">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B8CE3AEC">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FCD2C23C">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07" w15:restartNumberingAfterBreak="0">
    <w:nsid w:val="288118CA"/>
    <w:multiLevelType w:val="hybridMultilevel"/>
    <w:tmpl w:val="42F28F36"/>
    <w:lvl w:ilvl="0" w:tplc="A448E57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F16ABE6">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7CC784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77E13A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24A0BB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8238018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2D6BAA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41069E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C0AF30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08" w15:restartNumberingAfterBreak="0">
    <w:nsid w:val="28FA45B5"/>
    <w:multiLevelType w:val="hybridMultilevel"/>
    <w:tmpl w:val="F0F8EECA"/>
    <w:lvl w:ilvl="0" w:tplc="853026F2">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B76EE2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D38A26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DCB5B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A6C76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A6247B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0CA65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F9278D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AB816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29333A60"/>
    <w:multiLevelType w:val="hybridMultilevel"/>
    <w:tmpl w:val="4B4CF226"/>
    <w:lvl w:ilvl="0" w:tplc="2A9021B8">
      <w:start w:val="1"/>
      <w:numFmt w:val="lowerLetter"/>
      <w:lvlText w:val="%1)"/>
      <w:lvlJc w:val="left"/>
      <w:pPr>
        <w:ind w:left="6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8E6465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628C01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AB0C69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194541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7D6419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2202B6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EF25BD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082E9D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295C5CE9"/>
    <w:multiLevelType w:val="hybridMultilevel"/>
    <w:tmpl w:val="51BA9BD6"/>
    <w:lvl w:ilvl="0" w:tplc="F21E1BF2">
      <w:start w:val="1"/>
      <w:numFmt w:val="lowerLetter"/>
      <w:lvlText w:val="%1)"/>
      <w:lvlJc w:val="left"/>
      <w:pPr>
        <w:ind w:left="2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28405E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4760E6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EDAB09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356B58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FCED7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7E85B0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60CC37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406E92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29641FE6"/>
    <w:multiLevelType w:val="hybridMultilevel"/>
    <w:tmpl w:val="DC76597A"/>
    <w:lvl w:ilvl="0" w:tplc="32BE0B32">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E2A444F6">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026176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22EADC9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02C69F8">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D1E016A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B2EC5E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603A2B74">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81504F20">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12" w15:restartNumberingAfterBreak="0">
    <w:nsid w:val="29FB33D1"/>
    <w:multiLevelType w:val="hybridMultilevel"/>
    <w:tmpl w:val="1BFCE29C"/>
    <w:lvl w:ilvl="0" w:tplc="F5D0BEE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6DE844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57ECA2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AA028ED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6025AD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AF3E768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F92484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EFA8C9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B2E532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13" w15:restartNumberingAfterBreak="0">
    <w:nsid w:val="2A540A69"/>
    <w:multiLevelType w:val="hybridMultilevel"/>
    <w:tmpl w:val="27AC5AE0"/>
    <w:lvl w:ilvl="0" w:tplc="D34EDE96">
      <w:start w:val="1"/>
      <w:numFmt w:val="lowerLetter"/>
      <w:lvlText w:val="%1)"/>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9E93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CE3A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46C03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1210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9A296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36B9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E649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E4B1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2B5E75F7"/>
    <w:multiLevelType w:val="hybridMultilevel"/>
    <w:tmpl w:val="99420904"/>
    <w:lvl w:ilvl="0" w:tplc="3FBEDD8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902C848">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4E6BE0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1EA6FE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35497B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F5E9F8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B02E25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A5C3AB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A98BD4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15" w15:restartNumberingAfterBreak="0">
    <w:nsid w:val="2C1613A8"/>
    <w:multiLevelType w:val="hybridMultilevel"/>
    <w:tmpl w:val="7D8A7EBC"/>
    <w:lvl w:ilvl="0" w:tplc="8A5EBB2A">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F16650C">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ED5A1562">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020098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4062C9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A623E3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554A7E54">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60C14CE">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43E8290">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16" w15:restartNumberingAfterBreak="0">
    <w:nsid w:val="2C90517A"/>
    <w:multiLevelType w:val="hybridMultilevel"/>
    <w:tmpl w:val="102CC71A"/>
    <w:lvl w:ilvl="0" w:tplc="D550FF3A">
      <w:start w:val="1"/>
      <w:numFmt w:val="lowerLetter"/>
      <w:lvlText w:val="%1)"/>
      <w:lvlJc w:val="left"/>
      <w:pPr>
        <w:ind w:left="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6EEBB54">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340DB8A">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F201682">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C4DBA2">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44B45C">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436814E">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F989E22">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7A136C">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2D152A6B"/>
    <w:multiLevelType w:val="hybridMultilevel"/>
    <w:tmpl w:val="19682BEA"/>
    <w:lvl w:ilvl="0" w:tplc="28BC0978">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3785D44">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54943F0A">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AD344CCE">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DAEC2138">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B8AE8C94">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7E7257AA">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75FE2B88">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6792EB8E">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18" w15:restartNumberingAfterBreak="0">
    <w:nsid w:val="2E484646"/>
    <w:multiLevelType w:val="hybridMultilevel"/>
    <w:tmpl w:val="62DE7AEE"/>
    <w:lvl w:ilvl="0" w:tplc="6406A68C">
      <w:start w:val="1"/>
      <w:numFmt w:val="decimal"/>
      <w:lvlText w:val="%1"/>
      <w:lvlJc w:val="left"/>
      <w:pPr>
        <w:ind w:left="3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DE248AB0">
      <w:start w:val="1"/>
      <w:numFmt w:val="lowerLetter"/>
      <w:lvlText w:val="%2"/>
      <w:lvlJc w:val="left"/>
      <w:pPr>
        <w:ind w:left="7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74EB98C">
      <w:start w:val="1"/>
      <w:numFmt w:val="lowerLetter"/>
      <w:lvlRestart w:val="0"/>
      <w:lvlText w:val="%3."/>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C44AA3C">
      <w:start w:val="1"/>
      <w:numFmt w:val="decimal"/>
      <w:lvlText w:val="%4"/>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4E0A5020">
      <w:start w:val="1"/>
      <w:numFmt w:val="lowerLetter"/>
      <w:lvlText w:val="%5"/>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300C813E">
      <w:start w:val="1"/>
      <w:numFmt w:val="lowerRoman"/>
      <w:lvlText w:val="%6"/>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C48627C">
      <w:start w:val="1"/>
      <w:numFmt w:val="decimal"/>
      <w:lvlText w:val="%7"/>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8E38710A">
      <w:start w:val="1"/>
      <w:numFmt w:val="lowerLetter"/>
      <w:lvlText w:val="%8"/>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4209B20">
      <w:start w:val="1"/>
      <w:numFmt w:val="lowerRoman"/>
      <w:lvlText w:val="%9"/>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19" w15:restartNumberingAfterBreak="0">
    <w:nsid w:val="2E727F11"/>
    <w:multiLevelType w:val="hybridMultilevel"/>
    <w:tmpl w:val="F96C58C2"/>
    <w:lvl w:ilvl="0" w:tplc="7A8EF63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F2C69E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4820AB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657E05A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FF441E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B84DFC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C92376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BACA43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F88C5A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0" w15:restartNumberingAfterBreak="0">
    <w:nsid w:val="2F586EA3"/>
    <w:multiLevelType w:val="hybridMultilevel"/>
    <w:tmpl w:val="5E740CF2"/>
    <w:lvl w:ilvl="0" w:tplc="16A8AC74">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1891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AE3D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8BB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66A4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F80C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3ED9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86A7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1E2C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2FA45C64"/>
    <w:multiLevelType w:val="hybridMultilevel"/>
    <w:tmpl w:val="6E4AABB0"/>
    <w:lvl w:ilvl="0" w:tplc="1DF2568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45691DA">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F9E0E9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264C39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1BAA46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D26F17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65A83BE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76298F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888B19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2" w15:restartNumberingAfterBreak="0">
    <w:nsid w:val="2FD06A7D"/>
    <w:multiLevelType w:val="hybridMultilevel"/>
    <w:tmpl w:val="30521232"/>
    <w:lvl w:ilvl="0" w:tplc="70EEFA3E">
      <w:start w:val="1"/>
      <w:numFmt w:val="lowerLetter"/>
      <w:lvlText w:val="%1)"/>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108B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0880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085F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12E2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0CDC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8484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32D0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BA7B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0625E29"/>
    <w:multiLevelType w:val="hybridMultilevel"/>
    <w:tmpl w:val="2C08BD6E"/>
    <w:lvl w:ilvl="0" w:tplc="B34E65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2D0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276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29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323E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C8AF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3800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A48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88AF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0B0013B"/>
    <w:multiLevelType w:val="hybridMultilevel"/>
    <w:tmpl w:val="D6087814"/>
    <w:lvl w:ilvl="0" w:tplc="21B0AE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1622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6AA0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A422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26F8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8D7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089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6EE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D8A0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0C075EE"/>
    <w:multiLevelType w:val="hybridMultilevel"/>
    <w:tmpl w:val="1D8A8C06"/>
    <w:lvl w:ilvl="0" w:tplc="550AC6F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3424C484">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74FC4F6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2CC4AB2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D464B4D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201AD9B8">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EC66C58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2FA4F8A8">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040F02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26" w15:restartNumberingAfterBreak="0">
    <w:nsid w:val="313460CB"/>
    <w:multiLevelType w:val="hybridMultilevel"/>
    <w:tmpl w:val="4B1278BC"/>
    <w:lvl w:ilvl="0" w:tplc="56AC5D8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E12F2C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856234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56AA3A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2B61AA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FDE563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9ECA39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74852B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8D4728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7" w15:restartNumberingAfterBreak="0">
    <w:nsid w:val="31BE786B"/>
    <w:multiLevelType w:val="hybridMultilevel"/>
    <w:tmpl w:val="D1BA7908"/>
    <w:lvl w:ilvl="0" w:tplc="8458A0C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70C9BF2">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E34E8C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3892A78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42CF5D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20006B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5AFA98A6">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B68A02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E5AD34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8" w15:restartNumberingAfterBreak="0">
    <w:nsid w:val="31C45A55"/>
    <w:multiLevelType w:val="hybridMultilevel"/>
    <w:tmpl w:val="5CB27BE4"/>
    <w:lvl w:ilvl="0" w:tplc="414AFF5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F821D6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2444F0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308A82C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6F8448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9238008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566A88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4DCA50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F9E44FE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29" w15:restartNumberingAfterBreak="0">
    <w:nsid w:val="31F53ADF"/>
    <w:multiLevelType w:val="hybridMultilevel"/>
    <w:tmpl w:val="5BAC70E4"/>
    <w:lvl w:ilvl="0" w:tplc="4B509DC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5CA24D7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FE2BE5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7AC98A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788A94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A58ED1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57D293D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A1E9AB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4626A7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0" w15:restartNumberingAfterBreak="0">
    <w:nsid w:val="32F475DB"/>
    <w:multiLevelType w:val="hybridMultilevel"/>
    <w:tmpl w:val="38D255EC"/>
    <w:lvl w:ilvl="0" w:tplc="CEE81998">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3FA64944">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35F4205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40985B0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FC62DFAE">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2681EC8">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244B36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2F7897AA">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DF507AA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31" w15:restartNumberingAfterBreak="0">
    <w:nsid w:val="330179DC"/>
    <w:multiLevelType w:val="hybridMultilevel"/>
    <w:tmpl w:val="963860D4"/>
    <w:lvl w:ilvl="0" w:tplc="225C6612">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4B5A3F2E">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9A4946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2F369CF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26CE266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B9EA86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D2A9AF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0ECD33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258FBC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2" w15:restartNumberingAfterBreak="0">
    <w:nsid w:val="338000CB"/>
    <w:multiLevelType w:val="hybridMultilevel"/>
    <w:tmpl w:val="28F45E7C"/>
    <w:lvl w:ilvl="0" w:tplc="26B42968">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F3349D6E">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06C95B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2E12BABE">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82EC0F3C">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F8241B0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3D60F9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50564EC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DE5C064C">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33" w15:restartNumberingAfterBreak="0">
    <w:nsid w:val="33950841"/>
    <w:multiLevelType w:val="hybridMultilevel"/>
    <w:tmpl w:val="87343FCC"/>
    <w:lvl w:ilvl="0" w:tplc="F7D6979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E426960">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1DA20A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0980F64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108981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BAA3C3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2883AD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C6821C8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1248CF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4" w15:restartNumberingAfterBreak="0">
    <w:nsid w:val="33A03328"/>
    <w:multiLevelType w:val="hybridMultilevel"/>
    <w:tmpl w:val="AC745124"/>
    <w:lvl w:ilvl="0" w:tplc="4D2A9190">
      <w:start w:val="1"/>
      <w:numFmt w:val="lowerLetter"/>
      <w:lvlText w:val="%1)"/>
      <w:lvlJc w:val="left"/>
      <w:pPr>
        <w:ind w:left="5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202D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35CE6D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9A6EE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DD0BFB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FEA380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30E74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0B68A3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EF4FBE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34542669"/>
    <w:multiLevelType w:val="hybridMultilevel"/>
    <w:tmpl w:val="9F8AF088"/>
    <w:lvl w:ilvl="0" w:tplc="4B26692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E562632">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588988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116AC8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2E673D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797AC6B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76A62A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BF4F6D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90CB37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6" w15:restartNumberingAfterBreak="0">
    <w:nsid w:val="34846428"/>
    <w:multiLevelType w:val="hybridMultilevel"/>
    <w:tmpl w:val="4B5C76FA"/>
    <w:lvl w:ilvl="0" w:tplc="C08E7FFA">
      <w:start w:val="2"/>
      <w:numFmt w:val="upperLetter"/>
      <w:lvlText w:val="%1)"/>
      <w:lvlJc w:val="left"/>
      <w:pPr>
        <w:ind w:left="11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2CAD11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B4EFDE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2EA414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7E28D5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8A8E0D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E7217D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0EA2F4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846680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353E3A76"/>
    <w:multiLevelType w:val="hybridMultilevel"/>
    <w:tmpl w:val="ED92A234"/>
    <w:lvl w:ilvl="0" w:tplc="2020C07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5001A8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E90AB45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120998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222A43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42A595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10D4EC4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9ED0183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1EA299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38" w15:restartNumberingAfterBreak="0">
    <w:nsid w:val="35AF3EEF"/>
    <w:multiLevelType w:val="hybridMultilevel"/>
    <w:tmpl w:val="0E2ADB1C"/>
    <w:lvl w:ilvl="0" w:tplc="6374C6B2">
      <w:start w:val="2"/>
      <w:numFmt w:val="lowerLetter"/>
      <w:lvlText w:val="%1)"/>
      <w:lvlJc w:val="left"/>
      <w:pPr>
        <w:ind w:left="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226E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7244E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CCD2A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9431D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18464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A8BD5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2F79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1E3AB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35C33D51"/>
    <w:multiLevelType w:val="hybridMultilevel"/>
    <w:tmpl w:val="22CC40FC"/>
    <w:lvl w:ilvl="0" w:tplc="92EE1D1C">
      <w:start w:val="1"/>
      <w:numFmt w:val="lowerLetter"/>
      <w:lvlText w:val="%1."/>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CA3DB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9AA7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0A635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16B2E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30250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86274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84D40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22E37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35F535E6"/>
    <w:multiLevelType w:val="hybridMultilevel"/>
    <w:tmpl w:val="F6E423FA"/>
    <w:lvl w:ilvl="0" w:tplc="83A4AD80">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A4AE39EA">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2246531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4734FD7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D252345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3DB83D0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ECDE864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AAEC7B4">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EB02745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41" w15:restartNumberingAfterBreak="0">
    <w:nsid w:val="36DD770F"/>
    <w:multiLevelType w:val="hybridMultilevel"/>
    <w:tmpl w:val="9852EF2C"/>
    <w:lvl w:ilvl="0" w:tplc="EF1A721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7D429BC">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9FCE3772">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74A459A6">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C436E072">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FF5E6E7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45E277C4">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30F0C34C">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DDC69014">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42" w15:restartNumberingAfterBreak="0">
    <w:nsid w:val="37050779"/>
    <w:multiLevelType w:val="hybridMultilevel"/>
    <w:tmpl w:val="B97C3ADE"/>
    <w:lvl w:ilvl="0" w:tplc="CCB6D8E6">
      <w:start w:val="7"/>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A16E46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5F0B71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258006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BDC06B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FC231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3C80D7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CB2E96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6C052B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372D0ABD"/>
    <w:multiLevelType w:val="hybridMultilevel"/>
    <w:tmpl w:val="483A3F0C"/>
    <w:lvl w:ilvl="0" w:tplc="0EAE9BA0">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9457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0AFD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FE68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C57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F8E3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04D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E8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4ACD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37655399"/>
    <w:multiLevelType w:val="hybridMultilevel"/>
    <w:tmpl w:val="DD6652D2"/>
    <w:lvl w:ilvl="0" w:tplc="D27673B6">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EAC2A66">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0D023D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F32C55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15C397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A540D6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70EBBD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3B67B6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B73AAF6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45" w15:restartNumberingAfterBreak="0">
    <w:nsid w:val="380B3AA4"/>
    <w:multiLevelType w:val="hybridMultilevel"/>
    <w:tmpl w:val="B0C2AA76"/>
    <w:lvl w:ilvl="0" w:tplc="FD3A23B0">
      <w:start w:val="1"/>
      <w:numFmt w:val="lowerLetter"/>
      <w:lvlText w:val="%1)"/>
      <w:lvlJc w:val="left"/>
      <w:pPr>
        <w:ind w:left="1262"/>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91AE50C4">
      <w:start w:val="1"/>
      <w:numFmt w:val="lowerLetter"/>
      <w:lvlText w:val="%2"/>
      <w:lvlJc w:val="left"/>
      <w:pPr>
        <w:ind w:left="179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CA5E144E">
      <w:start w:val="1"/>
      <w:numFmt w:val="lowerRoman"/>
      <w:lvlText w:val="%3"/>
      <w:lvlJc w:val="left"/>
      <w:pPr>
        <w:ind w:left="251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4C98E94C">
      <w:start w:val="1"/>
      <w:numFmt w:val="decimal"/>
      <w:lvlText w:val="%4"/>
      <w:lvlJc w:val="left"/>
      <w:pPr>
        <w:ind w:left="323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C5E44CAC">
      <w:start w:val="1"/>
      <w:numFmt w:val="lowerLetter"/>
      <w:lvlText w:val="%5"/>
      <w:lvlJc w:val="left"/>
      <w:pPr>
        <w:ind w:left="395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B92C850C">
      <w:start w:val="1"/>
      <w:numFmt w:val="lowerRoman"/>
      <w:lvlText w:val="%6"/>
      <w:lvlJc w:val="left"/>
      <w:pPr>
        <w:ind w:left="467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1C2C198">
      <w:start w:val="1"/>
      <w:numFmt w:val="decimal"/>
      <w:lvlText w:val="%7"/>
      <w:lvlJc w:val="left"/>
      <w:pPr>
        <w:ind w:left="539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9274E652">
      <w:start w:val="1"/>
      <w:numFmt w:val="lowerLetter"/>
      <w:lvlText w:val="%8"/>
      <w:lvlJc w:val="left"/>
      <w:pPr>
        <w:ind w:left="611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9A005908">
      <w:start w:val="1"/>
      <w:numFmt w:val="lowerRoman"/>
      <w:lvlText w:val="%9"/>
      <w:lvlJc w:val="left"/>
      <w:pPr>
        <w:ind w:left="6836"/>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46" w15:restartNumberingAfterBreak="0">
    <w:nsid w:val="38281E8E"/>
    <w:multiLevelType w:val="hybridMultilevel"/>
    <w:tmpl w:val="AB00908E"/>
    <w:lvl w:ilvl="0" w:tplc="0CD0D056">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19E49F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A25A066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CCCABC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51E418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10E6F8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D7E6A1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346AE5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0DA406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47" w15:restartNumberingAfterBreak="0">
    <w:nsid w:val="383204E4"/>
    <w:multiLevelType w:val="hybridMultilevel"/>
    <w:tmpl w:val="7D049D84"/>
    <w:lvl w:ilvl="0" w:tplc="73642A66">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50A5A0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D1A3C8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A425E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C5261B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1C96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F5ECFB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52CA8A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43438D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38711500"/>
    <w:multiLevelType w:val="hybridMultilevel"/>
    <w:tmpl w:val="C1CC5736"/>
    <w:lvl w:ilvl="0" w:tplc="177A19A8">
      <w:start w:val="7"/>
      <w:numFmt w:val="lowerLetter"/>
      <w:lvlText w:val="%1."/>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AA32C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A32AC8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F68486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DF4D41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4E4877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506CC5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BBE974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56AA6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8BF2E0D"/>
    <w:multiLevelType w:val="hybridMultilevel"/>
    <w:tmpl w:val="EF6A78CA"/>
    <w:lvl w:ilvl="0" w:tplc="6646F478">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00652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F7ADC6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362D9A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2005DC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02C93B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1BE418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6AA402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8448B2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38E723A9"/>
    <w:multiLevelType w:val="hybridMultilevel"/>
    <w:tmpl w:val="A2484E0C"/>
    <w:lvl w:ilvl="0" w:tplc="771AC58C">
      <w:start w:val="1"/>
      <w:numFmt w:val="decimal"/>
      <w:lvlText w:val="%1"/>
      <w:lvlJc w:val="left"/>
      <w:pPr>
        <w:ind w:left="3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6066838">
      <w:start w:val="1"/>
      <w:numFmt w:val="lowerLetter"/>
      <w:lvlText w:val="%2"/>
      <w:lvlJc w:val="left"/>
      <w:pPr>
        <w:ind w:left="7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AACCD4B6">
      <w:start w:val="1"/>
      <w:numFmt w:val="lowerLetter"/>
      <w:lvlRestart w:val="0"/>
      <w:lvlText w:val="%3)"/>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CF8D70C">
      <w:start w:val="1"/>
      <w:numFmt w:val="decimal"/>
      <w:lvlText w:val="%4"/>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6818DF4A">
      <w:start w:val="1"/>
      <w:numFmt w:val="lowerLetter"/>
      <w:lvlText w:val="%5"/>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C6DC70E0">
      <w:start w:val="1"/>
      <w:numFmt w:val="lowerRoman"/>
      <w:lvlText w:val="%6"/>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AB2C79C">
      <w:start w:val="1"/>
      <w:numFmt w:val="decimal"/>
      <w:lvlText w:val="%7"/>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2DE63AE2">
      <w:start w:val="1"/>
      <w:numFmt w:val="lowerLetter"/>
      <w:lvlText w:val="%8"/>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5D061362">
      <w:start w:val="1"/>
      <w:numFmt w:val="lowerRoman"/>
      <w:lvlText w:val="%9"/>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51" w15:restartNumberingAfterBreak="0">
    <w:nsid w:val="391815F3"/>
    <w:multiLevelType w:val="hybridMultilevel"/>
    <w:tmpl w:val="918C3086"/>
    <w:lvl w:ilvl="0" w:tplc="020A880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BDCF08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AF4710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EF4521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8CA811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688C8C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D60027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8A8F86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6B6DD3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52" w15:restartNumberingAfterBreak="0">
    <w:nsid w:val="39937A55"/>
    <w:multiLevelType w:val="hybridMultilevel"/>
    <w:tmpl w:val="E5DE1864"/>
    <w:lvl w:ilvl="0" w:tplc="F7506B64">
      <w:start w:val="2"/>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143B8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E2C07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725C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A43C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D08C9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6E59E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FA57E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82502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399415F7"/>
    <w:multiLevelType w:val="hybridMultilevel"/>
    <w:tmpl w:val="A390371C"/>
    <w:lvl w:ilvl="0" w:tplc="94A2B2FE">
      <w:start w:val="1"/>
      <w:numFmt w:val="decimal"/>
      <w:lvlText w:val="%1"/>
      <w:lvlJc w:val="left"/>
      <w:pPr>
        <w:ind w:left="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E4D49C">
      <w:start w:val="1"/>
      <w:numFmt w:val="decimal"/>
      <w:lvlText w:val="%2"/>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F68C0C">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949734">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4C6FC0">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02A42A">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A2B79A">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4ADCF8">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F0AF6E">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39E36E3F"/>
    <w:multiLevelType w:val="hybridMultilevel"/>
    <w:tmpl w:val="60202744"/>
    <w:lvl w:ilvl="0" w:tplc="C178BE68">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620D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EA4E5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4A7C0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BE841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A01C3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3846D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8E5A8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70DE9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3A9B1E9B"/>
    <w:multiLevelType w:val="hybridMultilevel"/>
    <w:tmpl w:val="8A6E0748"/>
    <w:lvl w:ilvl="0" w:tplc="BD1420DC">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1AE74A">
      <w:start w:val="1"/>
      <w:numFmt w:val="lowerLetter"/>
      <w:lvlText w:val="%2)"/>
      <w:lvlJc w:val="left"/>
      <w:pPr>
        <w:ind w:left="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2A79E4">
      <w:start w:val="1"/>
      <w:numFmt w:val="lowerRoman"/>
      <w:lvlText w:val="%3"/>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FD40B02">
      <w:start w:val="1"/>
      <w:numFmt w:val="decimal"/>
      <w:lvlText w:val="%4"/>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088FD64">
      <w:start w:val="1"/>
      <w:numFmt w:val="lowerLetter"/>
      <w:lvlText w:val="%5"/>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BA4BF48">
      <w:start w:val="1"/>
      <w:numFmt w:val="lowerRoman"/>
      <w:lvlText w:val="%6"/>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7B257D0">
      <w:start w:val="1"/>
      <w:numFmt w:val="decimal"/>
      <w:lvlText w:val="%7"/>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7B0A282">
      <w:start w:val="1"/>
      <w:numFmt w:val="lowerLetter"/>
      <w:lvlText w:val="%8"/>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BA32C4">
      <w:start w:val="1"/>
      <w:numFmt w:val="lowerRoman"/>
      <w:lvlText w:val="%9"/>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3ABB5212"/>
    <w:multiLevelType w:val="hybridMultilevel"/>
    <w:tmpl w:val="80ACBAA2"/>
    <w:lvl w:ilvl="0" w:tplc="80DC1CE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B20209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8B72FE0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E9684D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626048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F8E271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5F2FFC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F7AD9A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4782FC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57" w15:restartNumberingAfterBreak="0">
    <w:nsid w:val="3AC67F20"/>
    <w:multiLevelType w:val="hybridMultilevel"/>
    <w:tmpl w:val="8EF4A88A"/>
    <w:lvl w:ilvl="0" w:tplc="3DA8E63C">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B6A2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AA9E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728D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62DB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D230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B2AD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875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4652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3B5D2CAA"/>
    <w:multiLevelType w:val="hybridMultilevel"/>
    <w:tmpl w:val="874CCEDC"/>
    <w:lvl w:ilvl="0" w:tplc="442006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A0CF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8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C8D0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600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FE43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3415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9045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AE51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3B6B3A04"/>
    <w:multiLevelType w:val="hybridMultilevel"/>
    <w:tmpl w:val="F85A25DA"/>
    <w:lvl w:ilvl="0" w:tplc="8CE4A228">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7CA0EC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98C9FB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EB2FCD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0DC5C5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950BAB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6866C8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152898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82676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3BAE3428"/>
    <w:multiLevelType w:val="hybridMultilevel"/>
    <w:tmpl w:val="6458153A"/>
    <w:lvl w:ilvl="0" w:tplc="90C8DF1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D304920">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270B16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342483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AA2775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508572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706DB4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36800E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C5054B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61" w15:restartNumberingAfterBreak="0">
    <w:nsid w:val="3BBB3510"/>
    <w:multiLevelType w:val="hybridMultilevel"/>
    <w:tmpl w:val="E1E22EF6"/>
    <w:lvl w:ilvl="0" w:tplc="0778CA08">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2FD083B6">
      <w:start w:val="1"/>
      <w:numFmt w:val="lowerLetter"/>
      <w:lvlText w:val="%2)"/>
      <w:lvlJc w:val="left"/>
      <w:pPr>
        <w:ind w:left="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749D5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CA7C3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DA28C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8893C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78A11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38D29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B21A4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3BD06AEA"/>
    <w:multiLevelType w:val="hybridMultilevel"/>
    <w:tmpl w:val="CC1A7BA2"/>
    <w:lvl w:ilvl="0" w:tplc="8EE8D0A4">
      <w:start w:val="1"/>
      <w:numFmt w:val="decimal"/>
      <w:lvlText w:val="%1"/>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C818DC">
      <w:start w:val="1"/>
      <w:numFmt w:val="lowerLetter"/>
      <w:lvlText w:val="%2"/>
      <w:lvlJc w:val="left"/>
      <w:pPr>
        <w:ind w:left="1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00DC8E">
      <w:start w:val="1"/>
      <w:numFmt w:val="lowerRoman"/>
      <w:lvlText w:val="%3"/>
      <w:lvlJc w:val="left"/>
      <w:pPr>
        <w:ind w:left="2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2C124">
      <w:start w:val="1"/>
      <w:numFmt w:val="decimal"/>
      <w:lvlText w:val="%4"/>
      <w:lvlJc w:val="left"/>
      <w:pPr>
        <w:ind w:left="2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0790C">
      <w:start w:val="1"/>
      <w:numFmt w:val="lowerLetter"/>
      <w:lvlText w:val="%5"/>
      <w:lvlJc w:val="left"/>
      <w:pPr>
        <w:ind w:left="3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9AA718">
      <w:start w:val="1"/>
      <w:numFmt w:val="lowerRoman"/>
      <w:lvlText w:val="%6"/>
      <w:lvlJc w:val="left"/>
      <w:pPr>
        <w:ind w:left="4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B464AC">
      <w:start w:val="1"/>
      <w:numFmt w:val="decimal"/>
      <w:lvlText w:val="%7"/>
      <w:lvlJc w:val="left"/>
      <w:pPr>
        <w:ind w:left="4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06A888">
      <w:start w:val="1"/>
      <w:numFmt w:val="lowerLetter"/>
      <w:lvlText w:val="%8"/>
      <w:lvlJc w:val="left"/>
      <w:pPr>
        <w:ind w:left="5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8C5B68">
      <w:start w:val="1"/>
      <w:numFmt w:val="lowerRoman"/>
      <w:lvlText w:val="%9"/>
      <w:lvlJc w:val="left"/>
      <w:pPr>
        <w:ind w:left="6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3C1819CA"/>
    <w:multiLevelType w:val="hybridMultilevel"/>
    <w:tmpl w:val="0E845D66"/>
    <w:lvl w:ilvl="0" w:tplc="8AFEC59A">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7D0DFCE">
      <w:start w:val="1"/>
      <w:numFmt w:val="lowerLetter"/>
      <w:lvlText w:val="%2)"/>
      <w:lvlJc w:val="left"/>
      <w:pPr>
        <w:ind w:left="4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6E0DA06">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BD0EFE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39A2186">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4DEE854">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3961F0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776F91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95ED358">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3CAD7E0C"/>
    <w:multiLevelType w:val="hybridMultilevel"/>
    <w:tmpl w:val="AE98A588"/>
    <w:lvl w:ilvl="0" w:tplc="DAA6B6D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96DAC450">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43C7E1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B1696C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0400D8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CC2619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9C81CD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A3AC0F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E6FCF0A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65" w15:restartNumberingAfterBreak="0">
    <w:nsid w:val="3CC20C2D"/>
    <w:multiLevelType w:val="hybridMultilevel"/>
    <w:tmpl w:val="9A92438E"/>
    <w:lvl w:ilvl="0" w:tplc="281C0AA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BD04772">
      <w:start w:val="1"/>
      <w:numFmt w:val="decimal"/>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FA48BFC">
      <w:start w:val="1"/>
      <w:numFmt w:val="bullet"/>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E1F06746">
      <w:start w:val="1"/>
      <w:numFmt w:val="bullet"/>
      <w:lvlText w:val="•"/>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5CDA7C4E">
      <w:start w:val="1"/>
      <w:numFmt w:val="bullet"/>
      <w:lvlText w:val="o"/>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5574AEAE">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C40CB3C8">
      <w:start w:val="1"/>
      <w:numFmt w:val="bullet"/>
      <w:lvlText w:val="•"/>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81762912">
      <w:start w:val="1"/>
      <w:numFmt w:val="bullet"/>
      <w:lvlText w:val="o"/>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FF6A279E">
      <w:start w:val="1"/>
      <w:numFmt w:val="bullet"/>
      <w:lvlText w:val="▪"/>
      <w:lvlJc w:val="left"/>
      <w:pPr>
        <w:ind w:left="57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166" w15:restartNumberingAfterBreak="0">
    <w:nsid w:val="3D662D76"/>
    <w:multiLevelType w:val="hybridMultilevel"/>
    <w:tmpl w:val="970E7640"/>
    <w:lvl w:ilvl="0" w:tplc="07C0B652">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202EED64">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AF3E6BC0">
      <w:start w:val="1"/>
      <w:numFmt w:val="lowerRoman"/>
      <w:lvlText w:val="%3"/>
      <w:lvlJc w:val="left"/>
      <w:pPr>
        <w:ind w:left="133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3FB2F51A">
      <w:start w:val="1"/>
      <w:numFmt w:val="decimal"/>
      <w:lvlText w:val="%4"/>
      <w:lvlJc w:val="left"/>
      <w:pPr>
        <w:ind w:left="205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9190E4B8">
      <w:start w:val="1"/>
      <w:numFmt w:val="lowerLetter"/>
      <w:lvlText w:val="%5"/>
      <w:lvlJc w:val="left"/>
      <w:pPr>
        <w:ind w:left="277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EF1CA3E8">
      <w:start w:val="1"/>
      <w:numFmt w:val="lowerRoman"/>
      <w:lvlText w:val="%6"/>
      <w:lvlJc w:val="left"/>
      <w:pPr>
        <w:ind w:left="349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AB80D8CE">
      <w:start w:val="1"/>
      <w:numFmt w:val="decimal"/>
      <w:lvlText w:val="%7"/>
      <w:lvlJc w:val="left"/>
      <w:pPr>
        <w:ind w:left="421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0C8A730E">
      <w:start w:val="1"/>
      <w:numFmt w:val="lowerLetter"/>
      <w:lvlText w:val="%8"/>
      <w:lvlJc w:val="left"/>
      <w:pPr>
        <w:ind w:left="493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3F7E1482">
      <w:start w:val="1"/>
      <w:numFmt w:val="lowerRoman"/>
      <w:lvlText w:val="%9"/>
      <w:lvlJc w:val="left"/>
      <w:pPr>
        <w:ind w:left="5657"/>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67" w15:restartNumberingAfterBreak="0">
    <w:nsid w:val="3E0467A8"/>
    <w:multiLevelType w:val="hybridMultilevel"/>
    <w:tmpl w:val="E75441E2"/>
    <w:lvl w:ilvl="0" w:tplc="E0E8CD76">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7462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CEAC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946C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CE74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5051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0E81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C60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8864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3F572A6B"/>
    <w:multiLevelType w:val="hybridMultilevel"/>
    <w:tmpl w:val="EA1CCDF8"/>
    <w:lvl w:ilvl="0" w:tplc="4B72A6A6">
      <w:start w:val="3"/>
      <w:numFmt w:val="decimal"/>
      <w:lvlText w:val="%1."/>
      <w:lvlJc w:val="left"/>
      <w:pPr>
        <w:ind w:left="6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62C073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424369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9DC32B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49AC13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470A4F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AF866F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040DBD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15EB19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3F876B21"/>
    <w:multiLevelType w:val="hybridMultilevel"/>
    <w:tmpl w:val="3036FF66"/>
    <w:lvl w:ilvl="0" w:tplc="867A727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A92C8E8">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201A1084">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066CD04C">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AAFE4C82">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7F2884A4">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237E244C">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CC08C9E4">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BA5860A4">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70" w15:restartNumberingAfterBreak="0">
    <w:nsid w:val="3FB125B1"/>
    <w:multiLevelType w:val="hybridMultilevel"/>
    <w:tmpl w:val="5FD840CC"/>
    <w:lvl w:ilvl="0" w:tplc="3A24E994">
      <w:start w:val="5"/>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F4C71D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93CB19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E8671B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F9AB8D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84FEE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330A33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848BC8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082E2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3FEE5316"/>
    <w:multiLevelType w:val="hybridMultilevel"/>
    <w:tmpl w:val="8EA4B8E2"/>
    <w:lvl w:ilvl="0" w:tplc="6F86D6DE">
      <w:start w:val="1"/>
      <w:numFmt w:val="decimal"/>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AE55F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64C409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DCA4C0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19EA26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B36D6A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EE9C7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EDE85D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C4C4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41047552"/>
    <w:multiLevelType w:val="hybridMultilevel"/>
    <w:tmpl w:val="3CAE48B2"/>
    <w:lvl w:ilvl="0" w:tplc="33DCF3B6">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1" w:tplc="17043190">
      <w:start w:val="1"/>
      <w:numFmt w:val="bullet"/>
      <w:lvlText w:val="o"/>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2" w:tplc="D51E899A">
      <w:start w:val="1"/>
      <w:numFmt w:val="bullet"/>
      <w:lvlText w:val="▪"/>
      <w:lvlJc w:val="left"/>
      <w:pPr>
        <w:ind w:left="21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6D1EA998">
      <w:start w:val="1"/>
      <w:numFmt w:val="bullet"/>
      <w:lvlText w:val="•"/>
      <w:lvlJc w:val="left"/>
      <w:pPr>
        <w:ind w:left="288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9962B876">
      <w:start w:val="1"/>
      <w:numFmt w:val="bullet"/>
      <w:lvlText w:val="o"/>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0C42A30C">
      <w:start w:val="1"/>
      <w:numFmt w:val="bullet"/>
      <w:lvlText w:val="▪"/>
      <w:lvlJc w:val="left"/>
      <w:pPr>
        <w:ind w:left="432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7AA6A71A">
      <w:start w:val="1"/>
      <w:numFmt w:val="bullet"/>
      <w:lvlText w:val="•"/>
      <w:lvlJc w:val="left"/>
      <w:pPr>
        <w:ind w:left="504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43046F76">
      <w:start w:val="1"/>
      <w:numFmt w:val="bullet"/>
      <w:lvlText w:val="o"/>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9AF423FA">
      <w:start w:val="1"/>
      <w:numFmt w:val="bullet"/>
      <w:lvlText w:val="▪"/>
      <w:lvlJc w:val="left"/>
      <w:pPr>
        <w:ind w:left="64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73" w15:restartNumberingAfterBreak="0">
    <w:nsid w:val="410D604D"/>
    <w:multiLevelType w:val="hybridMultilevel"/>
    <w:tmpl w:val="46DCBD16"/>
    <w:lvl w:ilvl="0" w:tplc="6C08F0F0">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186D3E8">
      <w:start w:val="1"/>
      <w:numFmt w:val="lowerLetter"/>
      <w:lvlText w:val="%2)"/>
      <w:lvlJc w:val="left"/>
      <w:pPr>
        <w:ind w:left="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40ECC3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CFCC770">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D22535E">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F8D700">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B46D4C">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432695C">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5C2D4B6">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41312E68"/>
    <w:multiLevelType w:val="hybridMultilevel"/>
    <w:tmpl w:val="2736B156"/>
    <w:lvl w:ilvl="0" w:tplc="B1965E08">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2AC9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A2125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A48A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8215C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4C0CC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6A89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2C8A2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42649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41924094"/>
    <w:multiLevelType w:val="hybridMultilevel"/>
    <w:tmpl w:val="5868F85C"/>
    <w:lvl w:ilvl="0" w:tplc="65723DA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14A6370">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2CAA94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15683C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52586D2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D26D0F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B68C08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A10162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C24252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76" w15:restartNumberingAfterBreak="0">
    <w:nsid w:val="419C30D4"/>
    <w:multiLevelType w:val="hybridMultilevel"/>
    <w:tmpl w:val="BEF43A3E"/>
    <w:lvl w:ilvl="0" w:tplc="D3AE3B08">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0435E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044C09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980B2A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49A407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58AB0D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4E750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382EFE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C38D26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41C43BD9"/>
    <w:multiLevelType w:val="hybridMultilevel"/>
    <w:tmpl w:val="44BC621E"/>
    <w:lvl w:ilvl="0" w:tplc="A6D268FE">
      <w:start w:val="1"/>
      <w:numFmt w:val="lowerLetter"/>
      <w:lvlText w:val="%1)"/>
      <w:lvlJc w:val="left"/>
      <w:pPr>
        <w:ind w:left="10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53A529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D16455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300528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FBA445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62ED07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A102FF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B9456C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94F12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41D84804"/>
    <w:multiLevelType w:val="hybridMultilevel"/>
    <w:tmpl w:val="29DE71F4"/>
    <w:lvl w:ilvl="0" w:tplc="3B4E8C36">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6AC0FB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108CD2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054EFEA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DC62E5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88689A1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1548E59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4EA0AC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5502A9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79" w15:restartNumberingAfterBreak="0">
    <w:nsid w:val="43901EF3"/>
    <w:multiLevelType w:val="hybridMultilevel"/>
    <w:tmpl w:val="FB7A1686"/>
    <w:lvl w:ilvl="0" w:tplc="5C8AA4E6">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87EE4EF6">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B9EE8F7E">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38765814">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92A680BC">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26E0B61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157ECF4E">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7F348CC8">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52EA2B26">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80" w15:restartNumberingAfterBreak="0">
    <w:nsid w:val="43CB72D8"/>
    <w:multiLevelType w:val="hybridMultilevel"/>
    <w:tmpl w:val="56AA4B62"/>
    <w:lvl w:ilvl="0" w:tplc="6C8E0E94">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94A87B24">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7CD0D4EE">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43A0AEFA">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6400CAEC">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39BC2AC0">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84FAFEB2">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824ABEC4">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EC0E6674">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81" w15:restartNumberingAfterBreak="0">
    <w:nsid w:val="446C1DF0"/>
    <w:multiLevelType w:val="hybridMultilevel"/>
    <w:tmpl w:val="5890F0E6"/>
    <w:lvl w:ilvl="0" w:tplc="37C29CDA">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62AF7E0">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76C24C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738AF0F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6E02BDB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AA00343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A0B2401A">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A2E4986A">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B7D6FEBC">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82" w15:restartNumberingAfterBreak="0">
    <w:nsid w:val="447907C4"/>
    <w:multiLevelType w:val="hybridMultilevel"/>
    <w:tmpl w:val="444EEA22"/>
    <w:lvl w:ilvl="0" w:tplc="BC5CB964">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FDE5F28">
      <w:start w:val="1"/>
      <w:numFmt w:val="lowerLetter"/>
      <w:lvlText w:val="%2)"/>
      <w:lvlJc w:val="left"/>
      <w:pPr>
        <w:ind w:left="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F7A9D04">
      <w:start w:val="1"/>
      <w:numFmt w:val="lowerRoman"/>
      <w:lvlText w:val="%3"/>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85605C4">
      <w:start w:val="1"/>
      <w:numFmt w:val="decimal"/>
      <w:lvlText w:val="%4"/>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C22D2D2">
      <w:start w:val="1"/>
      <w:numFmt w:val="lowerLetter"/>
      <w:lvlText w:val="%5"/>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CDACB72">
      <w:start w:val="1"/>
      <w:numFmt w:val="lowerRoman"/>
      <w:lvlText w:val="%6"/>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88C7DE">
      <w:start w:val="1"/>
      <w:numFmt w:val="decimal"/>
      <w:lvlText w:val="%7"/>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D32560E">
      <w:start w:val="1"/>
      <w:numFmt w:val="lowerLetter"/>
      <w:lvlText w:val="%8"/>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928DEB6">
      <w:start w:val="1"/>
      <w:numFmt w:val="lowerRoman"/>
      <w:lvlText w:val="%9"/>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44885D45"/>
    <w:multiLevelType w:val="hybridMultilevel"/>
    <w:tmpl w:val="F07E9DBC"/>
    <w:lvl w:ilvl="0" w:tplc="E4A67634">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F09E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3839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20B5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225D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4C51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0886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62F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9C33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44F64BDB"/>
    <w:multiLevelType w:val="hybridMultilevel"/>
    <w:tmpl w:val="BE381268"/>
    <w:lvl w:ilvl="0" w:tplc="618A6E7A">
      <w:start w:val="1"/>
      <w:numFmt w:val="lowerLetter"/>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22A4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2242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DAAC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C227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64A0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AE57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2A5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7E1A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45163155"/>
    <w:multiLevelType w:val="hybridMultilevel"/>
    <w:tmpl w:val="6AAA5C40"/>
    <w:lvl w:ilvl="0" w:tplc="5C405C0A">
      <w:start w:val="1"/>
      <w:numFmt w:val="decimal"/>
      <w:lvlText w:val="%1."/>
      <w:lvlJc w:val="left"/>
      <w:pPr>
        <w:ind w:left="60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FFC9CB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43CF1B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38871C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8EAA9C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A9A29D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04A00A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0A8777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264E6D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45516DE6"/>
    <w:multiLevelType w:val="hybridMultilevel"/>
    <w:tmpl w:val="C2548232"/>
    <w:lvl w:ilvl="0" w:tplc="3364FBFA">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1C32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808C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BA78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48D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5E8A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C642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D6F1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6FA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46EF7C2F"/>
    <w:multiLevelType w:val="hybridMultilevel"/>
    <w:tmpl w:val="B3CE57E0"/>
    <w:lvl w:ilvl="0" w:tplc="ABB2586C">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E0444A2">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47BE98B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19982A2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981CE15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CD76CF0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7B6664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36CED11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99CE0BEC">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88" w15:restartNumberingAfterBreak="0">
    <w:nsid w:val="47B34F33"/>
    <w:multiLevelType w:val="hybridMultilevel"/>
    <w:tmpl w:val="195C57CE"/>
    <w:lvl w:ilvl="0" w:tplc="CC98751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0ACE17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4E047BFC">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912D89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CE18EA7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EA680A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97A0593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ACEAFF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C5E621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89" w15:restartNumberingAfterBreak="0">
    <w:nsid w:val="48052193"/>
    <w:multiLevelType w:val="hybridMultilevel"/>
    <w:tmpl w:val="64BA96C4"/>
    <w:lvl w:ilvl="0" w:tplc="643E1F34">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0A88F3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84EB79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8E9F9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4DCE16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9A925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C2E54D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4B0E4E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9E8E3D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485D57CD"/>
    <w:multiLevelType w:val="hybridMultilevel"/>
    <w:tmpl w:val="39CEE186"/>
    <w:lvl w:ilvl="0" w:tplc="6E901852">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906902">
      <w:start w:val="1"/>
      <w:numFmt w:val="lowerLetter"/>
      <w:lvlText w:val="%2)"/>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A8AC2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4C6CF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88A7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148FF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48CB1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5EB52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684C7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48CE42D7"/>
    <w:multiLevelType w:val="hybridMultilevel"/>
    <w:tmpl w:val="D26C33FC"/>
    <w:lvl w:ilvl="0" w:tplc="A956FC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472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5AD9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30F8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4ED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CC6F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7419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671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D20F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48D37C9D"/>
    <w:multiLevelType w:val="hybridMultilevel"/>
    <w:tmpl w:val="F0B03A46"/>
    <w:lvl w:ilvl="0" w:tplc="F1D2AF1C">
      <w:start w:val="1"/>
      <w:numFmt w:val="decimal"/>
      <w:lvlText w:val="%1"/>
      <w:lvlJc w:val="left"/>
      <w:pPr>
        <w:ind w:left="3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4F108192">
      <w:start w:val="1"/>
      <w:numFmt w:val="lowerLetter"/>
      <w:lvlText w:val="%2"/>
      <w:lvlJc w:val="left"/>
      <w:pPr>
        <w:ind w:left="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7D09DAE">
      <w:start w:val="1"/>
      <w:numFmt w:val="lowerLetter"/>
      <w:lvlRestart w:val="0"/>
      <w:lvlText w:val="%3)"/>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B9EADC0">
      <w:start w:val="1"/>
      <w:numFmt w:val="decimal"/>
      <w:lvlText w:val="%4"/>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0DF6D938">
      <w:start w:val="1"/>
      <w:numFmt w:val="lowerLetter"/>
      <w:lvlText w:val="%5"/>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002AA7A">
      <w:start w:val="1"/>
      <w:numFmt w:val="lowerRoman"/>
      <w:lvlText w:val="%6"/>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58219EC">
      <w:start w:val="1"/>
      <w:numFmt w:val="decimal"/>
      <w:lvlText w:val="%7"/>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D6CE0CE">
      <w:start w:val="1"/>
      <w:numFmt w:val="lowerLetter"/>
      <w:lvlText w:val="%8"/>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D594377E">
      <w:start w:val="1"/>
      <w:numFmt w:val="lowerRoman"/>
      <w:lvlText w:val="%9"/>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93" w15:restartNumberingAfterBreak="0">
    <w:nsid w:val="49335B7D"/>
    <w:multiLevelType w:val="hybridMultilevel"/>
    <w:tmpl w:val="30E8AC0E"/>
    <w:lvl w:ilvl="0" w:tplc="20EE913C">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B6DF60">
      <w:start w:val="1"/>
      <w:numFmt w:val="bullet"/>
      <w:lvlText w:val="o"/>
      <w:lvlJc w:val="left"/>
      <w:pPr>
        <w:ind w:left="1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E4336E">
      <w:start w:val="1"/>
      <w:numFmt w:val="bullet"/>
      <w:lvlText w:val="▪"/>
      <w:lvlJc w:val="left"/>
      <w:pPr>
        <w:ind w:left="2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8FD5C">
      <w:start w:val="1"/>
      <w:numFmt w:val="bullet"/>
      <w:lvlText w:val="•"/>
      <w:lvlJc w:val="left"/>
      <w:pPr>
        <w:ind w:left="3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00557C">
      <w:start w:val="1"/>
      <w:numFmt w:val="bullet"/>
      <w:lvlText w:val="o"/>
      <w:lvlJc w:val="left"/>
      <w:pPr>
        <w:ind w:left="37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4895D4">
      <w:start w:val="1"/>
      <w:numFmt w:val="bullet"/>
      <w:lvlText w:val="▪"/>
      <w:lvlJc w:val="left"/>
      <w:pPr>
        <w:ind w:left="4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EA1530">
      <w:start w:val="1"/>
      <w:numFmt w:val="bullet"/>
      <w:lvlText w:val="•"/>
      <w:lvlJc w:val="left"/>
      <w:pPr>
        <w:ind w:left="5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082866">
      <w:start w:val="1"/>
      <w:numFmt w:val="bullet"/>
      <w:lvlText w:val="o"/>
      <w:lvlJc w:val="left"/>
      <w:pPr>
        <w:ind w:left="59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484FC6">
      <w:start w:val="1"/>
      <w:numFmt w:val="bullet"/>
      <w:lvlText w:val="▪"/>
      <w:lvlJc w:val="left"/>
      <w:pPr>
        <w:ind w:left="66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493D5BAF"/>
    <w:multiLevelType w:val="hybridMultilevel"/>
    <w:tmpl w:val="06FC3E86"/>
    <w:lvl w:ilvl="0" w:tplc="2B3018F0">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A34B172">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F552E54A">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DE54D6C0">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FDD8CA68">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7E3C2B1E">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ABBE1A58">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FE06EE2E">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0A104690">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195" w15:restartNumberingAfterBreak="0">
    <w:nsid w:val="49546F6A"/>
    <w:multiLevelType w:val="hybridMultilevel"/>
    <w:tmpl w:val="003C724A"/>
    <w:lvl w:ilvl="0" w:tplc="E4589D52">
      <w:start w:val="47"/>
      <w:numFmt w:val="decimal"/>
      <w:lvlText w:val="%1."/>
      <w:lvlJc w:val="left"/>
      <w:pPr>
        <w:ind w:left="100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6C8F40E">
      <w:start w:val="1"/>
      <w:numFmt w:val="lowerLetter"/>
      <w:lvlText w:val="%2"/>
      <w:lvlJc w:val="left"/>
      <w:pPr>
        <w:ind w:left="14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4E661484">
      <w:start w:val="1"/>
      <w:numFmt w:val="lowerRoman"/>
      <w:lvlText w:val="%3"/>
      <w:lvlJc w:val="left"/>
      <w:pPr>
        <w:ind w:left="21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72E8382">
      <w:start w:val="1"/>
      <w:numFmt w:val="decimal"/>
      <w:lvlText w:val="%4"/>
      <w:lvlJc w:val="left"/>
      <w:pPr>
        <w:ind w:left="28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6EC2716">
      <w:start w:val="1"/>
      <w:numFmt w:val="lowerLetter"/>
      <w:lvlText w:val="%5"/>
      <w:lvlJc w:val="left"/>
      <w:pPr>
        <w:ind w:left="36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B9685520">
      <w:start w:val="1"/>
      <w:numFmt w:val="lowerRoman"/>
      <w:lvlText w:val="%6"/>
      <w:lvlJc w:val="left"/>
      <w:pPr>
        <w:ind w:left="43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16725FE8">
      <w:start w:val="1"/>
      <w:numFmt w:val="decimal"/>
      <w:lvlText w:val="%7"/>
      <w:lvlJc w:val="left"/>
      <w:pPr>
        <w:ind w:left="50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C20CE538">
      <w:start w:val="1"/>
      <w:numFmt w:val="lowerLetter"/>
      <w:lvlText w:val="%8"/>
      <w:lvlJc w:val="left"/>
      <w:pPr>
        <w:ind w:left="57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07A4AD2">
      <w:start w:val="1"/>
      <w:numFmt w:val="lowerRoman"/>
      <w:lvlText w:val="%9"/>
      <w:lvlJc w:val="left"/>
      <w:pPr>
        <w:ind w:left="64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196" w15:restartNumberingAfterBreak="0">
    <w:nsid w:val="49AC0EDF"/>
    <w:multiLevelType w:val="hybridMultilevel"/>
    <w:tmpl w:val="48E27472"/>
    <w:lvl w:ilvl="0" w:tplc="D6204528">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374F27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7265F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6B0B28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1BC908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E70F57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96761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8AA7B0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4941B8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49BE357D"/>
    <w:multiLevelType w:val="hybridMultilevel"/>
    <w:tmpl w:val="5DD8A3F0"/>
    <w:lvl w:ilvl="0" w:tplc="DD42F120">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1384FE4C">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56D6D1F4">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1768381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B314A328">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D59EA8DC">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C88D5CA">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5F58113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F76CB24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198" w15:restartNumberingAfterBreak="0">
    <w:nsid w:val="4A612234"/>
    <w:multiLevelType w:val="hybridMultilevel"/>
    <w:tmpl w:val="C72A2FD8"/>
    <w:lvl w:ilvl="0" w:tplc="BC2C7FBC">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BDE1260">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74A5F32">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DB423DA">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DC82412">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1EC01C8">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FE99B2">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0648418">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B2E0356">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4B4549BA"/>
    <w:multiLevelType w:val="hybridMultilevel"/>
    <w:tmpl w:val="4B72B11C"/>
    <w:lvl w:ilvl="0" w:tplc="F9421886">
      <w:start w:val="1"/>
      <w:numFmt w:val="lowerLetter"/>
      <w:lvlText w:val="%1)"/>
      <w:lvlJc w:val="left"/>
      <w:pPr>
        <w:ind w:left="10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F081796">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18CFBD8">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5204F28">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39E1B04">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0DCC9B2">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4361DCE">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34CDE66">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9D8B96A">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4B5B3304"/>
    <w:multiLevelType w:val="hybridMultilevel"/>
    <w:tmpl w:val="BDE475F0"/>
    <w:lvl w:ilvl="0" w:tplc="D2EC6644">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1" w:tplc="DC7E91BA">
      <w:start w:val="1"/>
      <w:numFmt w:val="bullet"/>
      <w:lvlText w:val="o"/>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2" w:tplc="FD1E2640">
      <w:start w:val="1"/>
      <w:numFmt w:val="bullet"/>
      <w:lvlText w:val="▪"/>
      <w:lvlJc w:val="left"/>
      <w:pPr>
        <w:ind w:left="21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DE9CCC00">
      <w:start w:val="1"/>
      <w:numFmt w:val="bullet"/>
      <w:lvlText w:val="•"/>
      <w:lvlJc w:val="left"/>
      <w:pPr>
        <w:ind w:left="288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B59CBDA2">
      <w:start w:val="1"/>
      <w:numFmt w:val="bullet"/>
      <w:lvlText w:val="o"/>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64CA0CA8">
      <w:start w:val="1"/>
      <w:numFmt w:val="bullet"/>
      <w:lvlText w:val="▪"/>
      <w:lvlJc w:val="left"/>
      <w:pPr>
        <w:ind w:left="432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D6A2A790">
      <w:start w:val="1"/>
      <w:numFmt w:val="bullet"/>
      <w:lvlText w:val="•"/>
      <w:lvlJc w:val="left"/>
      <w:pPr>
        <w:ind w:left="504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DEF272AE">
      <w:start w:val="1"/>
      <w:numFmt w:val="bullet"/>
      <w:lvlText w:val="o"/>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DA52069E">
      <w:start w:val="1"/>
      <w:numFmt w:val="bullet"/>
      <w:lvlText w:val="▪"/>
      <w:lvlJc w:val="left"/>
      <w:pPr>
        <w:ind w:left="64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01" w15:restartNumberingAfterBreak="0">
    <w:nsid w:val="4B861BF8"/>
    <w:multiLevelType w:val="hybridMultilevel"/>
    <w:tmpl w:val="5F304A84"/>
    <w:lvl w:ilvl="0" w:tplc="10BECEEA">
      <w:start w:val="1"/>
      <w:numFmt w:val="lowerLetter"/>
      <w:lvlText w:val="%1)"/>
      <w:lvlJc w:val="left"/>
      <w:pPr>
        <w:ind w:left="5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35055C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9C626B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3CDB4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9485B4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2D8419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AB8485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39E319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478D8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4BC872A4"/>
    <w:multiLevelType w:val="hybridMultilevel"/>
    <w:tmpl w:val="BC30FE64"/>
    <w:lvl w:ilvl="0" w:tplc="F94A57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EF4C6">
      <w:start w:val="5"/>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8C4A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0961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6E41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81A6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4151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2311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C35B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4BE31AED"/>
    <w:multiLevelType w:val="hybridMultilevel"/>
    <w:tmpl w:val="7C6A8020"/>
    <w:lvl w:ilvl="0" w:tplc="F0D0128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1122938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ABAC813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BBE0F8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76B8074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132CD6E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51E4A3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9A620D7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EF466E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04" w15:restartNumberingAfterBreak="0">
    <w:nsid w:val="4C744701"/>
    <w:multiLevelType w:val="hybridMultilevel"/>
    <w:tmpl w:val="69706330"/>
    <w:lvl w:ilvl="0" w:tplc="84481F5C">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548AAC9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8A06794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93E8A0D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296EE1C8">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54C8F28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FB28F06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09626B38">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B13E211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05" w15:restartNumberingAfterBreak="0">
    <w:nsid w:val="4C7B5D13"/>
    <w:multiLevelType w:val="hybridMultilevel"/>
    <w:tmpl w:val="DAC427D6"/>
    <w:lvl w:ilvl="0" w:tplc="80604BA8">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90EF2B2">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DD4944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D12BB7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706E99E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47305E7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B84E2BE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2641B7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ECD4446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06" w15:restartNumberingAfterBreak="0">
    <w:nsid w:val="4CB03C02"/>
    <w:multiLevelType w:val="hybridMultilevel"/>
    <w:tmpl w:val="A69EA482"/>
    <w:lvl w:ilvl="0" w:tplc="9ED0FF1A">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5366E77A">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E66EC69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AFC812A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623035D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6FFC977C">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FCFAAA1A">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58A8B90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9894DE1A">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07" w15:restartNumberingAfterBreak="0">
    <w:nsid w:val="4D6721DC"/>
    <w:multiLevelType w:val="hybridMultilevel"/>
    <w:tmpl w:val="69D8F962"/>
    <w:lvl w:ilvl="0" w:tplc="B9A46BC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970221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97A01A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C7C360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9A2867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A8E03C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95643F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4FC506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792DC2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08" w15:restartNumberingAfterBreak="0">
    <w:nsid w:val="4DA45DD6"/>
    <w:multiLevelType w:val="hybridMultilevel"/>
    <w:tmpl w:val="462A2428"/>
    <w:lvl w:ilvl="0" w:tplc="77765C0A">
      <w:start w:val="1"/>
      <w:numFmt w:val="lowerLetter"/>
      <w:lvlText w:val="%1)"/>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D86886">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CF24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1E93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54F52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BCAC8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E8D2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A2A13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6EF23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4DCB1FC2"/>
    <w:multiLevelType w:val="hybridMultilevel"/>
    <w:tmpl w:val="18DE76EA"/>
    <w:lvl w:ilvl="0" w:tplc="8A488DDE">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476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06DD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AEE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A675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EF8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08A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C3B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877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4DE34CF8"/>
    <w:multiLevelType w:val="hybridMultilevel"/>
    <w:tmpl w:val="041C1348"/>
    <w:lvl w:ilvl="0" w:tplc="20049DD0">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21697C2">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9CB6673C">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CFD48EB0">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8E5E1B9E">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D4A8B2C2">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7BC755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3272A45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794609E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11" w15:restartNumberingAfterBreak="0">
    <w:nsid w:val="4E6539F9"/>
    <w:multiLevelType w:val="hybridMultilevel"/>
    <w:tmpl w:val="6C545AE0"/>
    <w:lvl w:ilvl="0" w:tplc="D7043792">
      <w:start w:val="2"/>
      <w:numFmt w:val="decimal"/>
      <w:lvlText w:val="%1."/>
      <w:lvlJc w:val="left"/>
      <w:pPr>
        <w:ind w:left="5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4508BBB6">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4DAC76E">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7A2E558">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1994A0B2">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4CD4AFDE">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6F0CB18">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E4400554">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B4D4C138">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4E9A21B7"/>
    <w:multiLevelType w:val="hybridMultilevel"/>
    <w:tmpl w:val="51189032"/>
    <w:lvl w:ilvl="0" w:tplc="40B6FF9E">
      <w:start w:val="1"/>
      <w:numFmt w:val="bullet"/>
      <w:lvlText w:val="•"/>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00683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26E9C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36ED7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C61CF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0ECA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D88B8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6587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8F6B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4EA90253"/>
    <w:multiLevelType w:val="hybridMultilevel"/>
    <w:tmpl w:val="9E885722"/>
    <w:lvl w:ilvl="0" w:tplc="143EE126">
      <w:start w:val="1"/>
      <w:numFmt w:val="decimal"/>
      <w:lvlText w:val="%1."/>
      <w:lvlJc w:val="left"/>
      <w:pPr>
        <w:ind w:left="5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0921C46">
      <w:start w:val="1"/>
      <w:numFmt w:val="lowerLetter"/>
      <w:lvlText w:val="%2)"/>
      <w:lvlJc w:val="left"/>
      <w:pPr>
        <w:ind w:left="1264"/>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0FCDE7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2658751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9DAB0B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3724C1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D6564CA6">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4D63C5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206942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14" w15:restartNumberingAfterBreak="0">
    <w:nsid w:val="4EDF15E9"/>
    <w:multiLevelType w:val="hybridMultilevel"/>
    <w:tmpl w:val="6A8A882E"/>
    <w:lvl w:ilvl="0" w:tplc="ABE8520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5100020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CA28E69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32D8113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069E2FE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8C84485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542713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F644FE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CD2950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15" w15:restartNumberingAfterBreak="0">
    <w:nsid w:val="4EEA3BA3"/>
    <w:multiLevelType w:val="hybridMultilevel"/>
    <w:tmpl w:val="4248250E"/>
    <w:lvl w:ilvl="0" w:tplc="EE9EBE74">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4AAE25A">
      <w:start w:val="1"/>
      <w:numFmt w:val="lowerLetter"/>
      <w:lvlText w:val="%2)"/>
      <w:lvlJc w:val="left"/>
      <w:pPr>
        <w:ind w:left="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BD2355A">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6AE56B0">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986186A">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A7EF33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B889EF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B4A5EA6">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EB0088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4F897AA6"/>
    <w:multiLevelType w:val="hybridMultilevel"/>
    <w:tmpl w:val="240C26EC"/>
    <w:lvl w:ilvl="0" w:tplc="85FA546E">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64E0EF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8D8333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280742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0A294D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D1826D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C84EC2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DF4EA2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96947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4F9F5A09"/>
    <w:multiLevelType w:val="hybridMultilevel"/>
    <w:tmpl w:val="BD0058AA"/>
    <w:lvl w:ilvl="0" w:tplc="F3B07052">
      <w:start w:val="1"/>
      <w:numFmt w:val="decimal"/>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604EC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242BF4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AACF0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0204D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B8070D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DAF76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F2EB2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DE24C4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50505C28"/>
    <w:multiLevelType w:val="hybridMultilevel"/>
    <w:tmpl w:val="8BD63C6C"/>
    <w:lvl w:ilvl="0" w:tplc="67082E2E">
      <w:start w:val="1"/>
      <w:numFmt w:val="lowerLetter"/>
      <w:lvlText w:val="%1)"/>
      <w:lvlJc w:val="left"/>
      <w:pPr>
        <w:ind w:left="9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2D68ACA">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F78441A">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3368218">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AC5E14">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F616FA">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1C4034A">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185886">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B849306">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506E4E23"/>
    <w:multiLevelType w:val="hybridMultilevel"/>
    <w:tmpl w:val="A5CE4FCE"/>
    <w:lvl w:ilvl="0" w:tplc="0158D8FC">
      <w:start w:val="1"/>
      <w:numFmt w:val="lowerLetter"/>
      <w:lvlText w:val="%1)"/>
      <w:lvlJc w:val="left"/>
      <w:pPr>
        <w:ind w:left="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B9A6416">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AAFF9A">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BECC624">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8905ADA">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DEE5174">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7865328">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FBED4D0">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BE64A16">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50CF496E"/>
    <w:multiLevelType w:val="hybridMultilevel"/>
    <w:tmpl w:val="76C84154"/>
    <w:lvl w:ilvl="0" w:tplc="8724DDE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C50C38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61AEDD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2722CBD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184B5F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CF2E83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B24D0AA">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9D44DCC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70F03F0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21" w15:restartNumberingAfterBreak="0">
    <w:nsid w:val="50DC448F"/>
    <w:multiLevelType w:val="hybridMultilevel"/>
    <w:tmpl w:val="E382B8AC"/>
    <w:lvl w:ilvl="0" w:tplc="2EA6FA40">
      <w:start w:val="7"/>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3A8BAA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D82FAA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6EF64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A14DFC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CCAE81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BC2965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B762F6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192C3E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51835AD8"/>
    <w:multiLevelType w:val="hybridMultilevel"/>
    <w:tmpl w:val="98A46B2A"/>
    <w:lvl w:ilvl="0" w:tplc="B176809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6B653C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17C4E1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D90099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FDA3BF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8DAA6C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5F2F7E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084ED1D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718284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23" w15:restartNumberingAfterBreak="0">
    <w:nsid w:val="51CC4CBB"/>
    <w:multiLevelType w:val="hybridMultilevel"/>
    <w:tmpl w:val="B98CCB64"/>
    <w:lvl w:ilvl="0" w:tplc="4C0CCCA6">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5CAD0D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ECAA68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5F06B0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CA09C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8E4F31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AC452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5984D9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EBC91B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51D179C7"/>
    <w:multiLevelType w:val="hybridMultilevel"/>
    <w:tmpl w:val="37725FB6"/>
    <w:lvl w:ilvl="0" w:tplc="312CBA18">
      <w:start w:val="1"/>
      <w:numFmt w:val="decimal"/>
      <w:lvlText w:val="%1)"/>
      <w:lvlJc w:val="left"/>
      <w:pPr>
        <w:ind w:left="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5E357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EDE310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E946A9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01A55F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9EE545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A5017C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AAC788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B707B4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523F0825"/>
    <w:multiLevelType w:val="hybridMultilevel"/>
    <w:tmpl w:val="30B4E87A"/>
    <w:lvl w:ilvl="0" w:tplc="213C831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58F2944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A9D61E9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6FC098A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CB0CED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512037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FF4EE40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45A8C91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28C141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26" w15:restartNumberingAfterBreak="0">
    <w:nsid w:val="52664CD5"/>
    <w:multiLevelType w:val="hybridMultilevel"/>
    <w:tmpl w:val="B14E761C"/>
    <w:lvl w:ilvl="0" w:tplc="988248C0">
      <w:start w:val="1"/>
      <w:numFmt w:val="lowerLetter"/>
      <w:lvlText w:val="%1)"/>
      <w:lvlJc w:val="left"/>
      <w:pPr>
        <w:ind w:left="12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818C85E">
      <w:start w:val="1"/>
      <w:numFmt w:val="lowerLetter"/>
      <w:lvlText w:val="%2"/>
      <w:lvlJc w:val="left"/>
      <w:pPr>
        <w:ind w:left="15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B88230C">
      <w:start w:val="1"/>
      <w:numFmt w:val="lowerRoman"/>
      <w:lvlText w:val="%3"/>
      <w:lvlJc w:val="left"/>
      <w:pPr>
        <w:ind w:left="22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230D02C">
      <w:start w:val="1"/>
      <w:numFmt w:val="decimal"/>
      <w:lvlText w:val="%4"/>
      <w:lvlJc w:val="left"/>
      <w:pPr>
        <w:ind w:left="30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91A09AA">
      <w:start w:val="1"/>
      <w:numFmt w:val="lowerLetter"/>
      <w:lvlText w:val="%5"/>
      <w:lvlJc w:val="left"/>
      <w:pPr>
        <w:ind w:left="3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3747D46">
      <w:start w:val="1"/>
      <w:numFmt w:val="lowerRoman"/>
      <w:lvlText w:val="%6"/>
      <w:lvlJc w:val="left"/>
      <w:pPr>
        <w:ind w:left="44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BC0F9F8">
      <w:start w:val="1"/>
      <w:numFmt w:val="decimal"/>
      <w:lvlText w:val="%7"/>
      <w:lvlJc w:val="left"/>
      <w:pPr>
        <w:ind w:left="51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3F07946">
      <w:start w:val="1"/>
      <w:numFmt w:val="lowerLetter"/>
      <w:lvlText w:val="%8"/>
      <w:lvlJc w:val="left"/>
      <w:pPr>
        <w:ind w:left="58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F21A7FFA">
      <w:start w:val="1"/>
      <w:numFmt w:val="lowerRoman"/>
      <w:lvlText w:val="%9"/>
      <w:lvlJc w:val="left"/>
      <w:pPr>
        <w:ind w:left="66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27" w15:restartNumberingAfterBreak="0">
    <w:nsid w:val="538316E9"/>
    <w:multiLevelType w:val="hybridMultilevel"/>
    <w:tmpl w:val="5DB0AA72"/>
    <w:lvl w:ilvl="0" w:tplc="695C7078">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666F12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CCC0A13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62C6DB5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B872892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20CC911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27B6FD3E">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BF688EA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EB3021EA">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28" w15:restartNumberingAfterBreak="0">
    <w:nsid w:val="55207E4B"/>
    <w:multiLevelType w:val="hybridMultilevel"/>
    <w:tmpl w:val="9E9AFFF2"/>
    <w:lvl w:ilvl="0" w:tplc="83082B44">
      <w:start w:val="1"/>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6900D7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EC2E2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780FB1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E2878D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772309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9692E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454A74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59AE82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560952AC"/>
    <w:multiLevelType w:val="hybridMultilevel"/>
    <w:tmpl w:val="89B2E3A8"/>
    <w:lvl w:ilvl="0" w:tplc="48AC42F8">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5FC3964">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41026E84">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16FE7290">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5E6E3E5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4E94135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E5824B4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85E4FEE0">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8CAE9C1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30" w15:restartNumberingAfterBreak="0">
    <w:nsid w:val="566A74A0"/>
    <w:multiLevelType w:val="hybridMultilevel"/>
    <w:tmpl w:val="00481B74"/>
    <w:lvl w:ilvl="0" w:tplc="8B4687E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4BF8D02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8FE14C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77C136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2622640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FD8CB2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B896C46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D3AD15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6DA17D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31" w15:restartNumberingAfterBreak="0">
    <w:nsid w:val="56A83E42"/>
    <w:multiLevelType w:val="hybridMultilevel"/>
    <w:tmpl w:val="6B5042FA"/>
    <w:lvl w:ilvl="0" w:tplc="F1A4C318">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4E0E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3AAA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CEF4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3EA9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5672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78DB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B4D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E894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573D00DC"/>
    <w:multiLevelType w:val="hybridMultilevel"/>
    <w:tmpl w:val="6D9206BE"/>
    <w:lvl w:ilvl="0" w:tplc="290CF43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FA22BC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EE013C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9D6424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C92926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3803D7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4409B2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8E62CC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59ABD3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33" w15:restartNumberingAfterBreak="0">
    <w:nsid w:val="57854ED4"/>
    <w:multiLevelType w:val="hybridMultilevel"/>
    <w:tmpl w:val="9D928460"/>
    <w:lvl w:ilvl="0" w:tplc="C7405DE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FDD4742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7B280C1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0D4690C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529CB57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9DBEE8B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358550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420650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E40F12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34" w15:restartNumberingAfterBreak="0">
    <w:nsid w:val="57B34626"/>
    <w:multiLevelType w:val="hybridMultilevel"/>
    <w:tmpl w:val="CF0ED9CE"/>
    <w:lvl w:ilvl="0" w:tplc="5FA6BA30">
      <w:start w:val="1"/>
      <w:numFmt w:val="lowerLetter"/>
      <w:lvlText w:val="%1)"/>
      <w:lvlJc w:val="left"/>
      <w:pPr>
        <w:ind w:left="52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6734AEB2">
      <w:start w:val="1"/>
      <w:numFmt w:val="lowerLetter"/>
      <w:lvlText w:val="%2"/>
      <w:lvlJc w:val="left"/>
      <w:pPr>
        <w:ind w:left="111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60F4021A">
      <w:start w:val="1"/>
      <w:numFmt w:val="lowerRoman"/>
      <w:lvlText w:val="%3"/>
      <w:lvlJc w:val="left"/>
      <w:pPr>
        <w:ind w:left="183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0E009CEE">
      <w:start w:val="1"/>
      <w:numFmt w:val="decimal"/>
      <w:lvlText w:val="%4"/>
      <w:lvlJc w:val="left"/>
      <w:pPr>
        <w:ind w:left="255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CFDE0D5A">
      <w:start w:val="1"/>
      <w:numFmt w:val="lowerLetter"/>
      <w:lvlText w:val="%5"/>
      <w:lvlJc w:val="left"/>
      <w:pPr>
        <w:ind w:left="327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7B224196">
      <w:start w:val="1"/>
      <w:numFmt w:val="lowerRoman"/>
      <w:lvlText w:val="%6"/>
      <w:lvlJc w:val="left"/>
      <w:pPr>
        <w:ind w:left="399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36432B8">
      <w:start w:val="1"/>
      <w:numFmt w:val="decimal"/>
      <w:lvlText w:val="%7"/>
      <w:lvlJc w:val="left"/>
      <w:pPr>
        <w:ind w:left="471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1C6A7008">
      <w:start w:val="1"/>
      <w:numFmt w:val="lowerLetter"/>
      <w:lvlText w:val="%8"/>
      <w:lvlJc w:val="left"/>
      <w:pPr>
        <w:ind w:left="543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7CF42B8A">
      <w:start w:val="1"/>
      <w:numFmt w:val="lowerRoman"/>
      <w:lvlText w:val="%9"/>
      <w:lvlJc w:val="left"/>
      <w:pPr>
        <w:ind w:left="6151"/>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35" w15:restartNumberingAfterBreak="0">
    <w:nsid w:val="582D74AC"/>
    <w:multiLevelType w:val="hybridMultilevel"/>
    <w:tmpl w:val="97D662CA"/>
    <w:lvl w:ilvl="0" w:tplc="3752943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1BE22ACE">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8584A0F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2DA6A144">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5C1AEF7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F35EF7F6">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5338007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7846A608">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1CA166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36" w15:restartNumberingAfterBreak="0">
    <w:nsid w:val="588A6280"/>
    <w:multiLevelType w:val="hybridMultilevel"/>
    <w:tmpl w:val="479A4B5E"/>
    <w:lvl w:ilvl="0" w:tplc="CC10093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C8AD8">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3EEDCB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42876B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006984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74CE15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DB83AF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392BDE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CEA6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59030B91"/>
    <w:multiLevelType w:val="hybridMultilevel"/>
    <w:tmpl w:val="D790454E"/>
    <w:lvl w:ilvl="0" w:tplc="57D06296">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7FAA1C70">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3F9EE0F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074A2172">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6E008AE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BEC2C2DA">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DDB6209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876AEA4">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5E9AAC0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38" w15:restartNumberingAfterBreak="0">
    <w:nsid w:val="590C64D1"/>
    <w:multiLevelType w:val="hybridMultilevel"/>
    <w:tmpl w:val="FF9A70AA"/>
    <w:lvl w:ilvl="0" w:tplc="BD6677FA">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32BE0422">
      <w:start w:val="1"/>
      <w:numFmt w:val="lowerLetter"/>
      <w:lvlText w:val="%2)"/>
      <w:lvlJc w:val="left"/>
      <w:pPr>
        <w:ind w:left="101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C562B56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BC34CCC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FEA4A61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CE2E536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06FEAB4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58E2642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843EDAC0">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39" w15:restartNumberingAfterBreak="0">
    <w:nsid w:val="597478AF"/>
    <w:multiLevelType w:val="hybridMultilevel"/>
    <w:tmpl w:val="5442EBC6"/>
    <w:lvl w:ilvl="0" w:tplc="A6383A00">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99908E9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643CCB3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63A04C3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57B8B2B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C48E45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1F2E87C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4016F51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FF5C3BA4">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40" w15:restartNumberingAfterBreak="0">
    <w:nsid w:val="59862845"/>
    <w:multiLevelType w:val="hybridMultilevel"/>
    <w:tmpl w:val="1E9A4766"/>
    <w:lvl w:ilvl="0" w:tplc="6812D262">
      <w:start w:val="1"/>
      <w:numFmt w:val="lowerLetter"/>
      <w:lvlText w:val="%1)"/>
      <w:lvlJc w:val="left"/>
      <w:pPr>
        <w:ind w:left="125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75C6F92">
      <w:start w:val="1"/>
      <w:numFmt w:val="lowerLetter"/>
      <w:lvlText w:val="%2"/>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420F732">
      <w:start w:val="1"/>
      <w:numFmt w:val="lowerRoman"/>
      <w:lvlText w:val="%3"/>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C02B610">
      <w:start w:val="1"/>
      <w:numFmt w:val="decimal"/>
      <w:lvlText w:val="%4"/>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20968372">
      <w:start w:val="1"/>
      <w:numFmt w:val="lowerLetter"/>
      <w:lvlText w:val="%5"/>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50DC9E12">
      <w:start w:val="1"/>
      <w:numFmt w:val="lowerRoman"/>
      <w:lvlText w:val="%6"/>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AE18745E">
      <w:start w:val="1"/>
      <w:numFmt w:val="decimal"/>
      <w:lvlText w:val="%7"/>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DB1689CA">
      <w:start w:val="1"/>
      <w:numFmt w:val="lowerLetter"/>
      <w:lvlText w:val="%8"/>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99A585E">
      <w:start w:val="1"/>
      <w:numFmt w:val="lowerRoman"/>
      <w:lvlText w:val="%9"/>
      <w:lvlJc w:val="left"/>
      <w:pPr>
        <w:ind w:left="68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41" w15:restartNumberingAfterBreak="0">
    <w:nsid w:val="5A4E2BB5"/>
    <w:multiLevelType w:val="hybridMultilevel"/>
    <w:tmpl w:val="0488539E"/>
    <w:lvl w:ilvl="0" w:tplc="4482BB5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387EC9CC">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42A64180">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1C369EE6">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4FFCDC22">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802C79CE">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5E206508">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7C72A53C">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9404ECAC">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42" w15:restartNumberingAfterBreak="0">
    <w:nsid w:val="5B0216C8"/>
    <w:multiLevelType w:val="hybridMultilevel"/>
    <w:tmpl w:val="49BE7130"/>
    <w:lvl w:ilvl="0" w:tplc="AE8CA49A">
      <w:start w:val="1"/>
      <w:numFmt w:val="lowerLetter"/>
      <w:lvlText w:val="%1)"/>
      <w:lvlJc w:val="left"/>
      <w:pPr>
        <w:ind w:left="5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4963A3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2642C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406F11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5382F1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1DE94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1EA5AF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7AD5A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740EF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3" w15:restartNumberingAfterBreak="0">
    <w:nsid w:val="5BE076A0"/>
    <w:multiLevelType w:val="hybridMultilevel"/>
    <w:tmpl w:val="52E457FA"/>
    <w:lvl w:ilvl="0" w:tplc="6288522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B210B6">
      <w:start w:val="1"/>
      <w:numFmt w:val="bullet"/>
      <w:lvlText w:val="o"/>
      <w:lvlJc w:val="left"/>
      <w:pPr>
        <w:ind w:left="1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08F98A">
      <w:start w:val="1"/>
      <w:numFmt w:val="bullet"/>
      <w:lvlText w:val="▪"/>
      <w:lvlJc w:val="left"/>
      <w:pPr>
        <w:ind w:left="2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32905A">
      <w:start w:val="1"/>
      <w:numFmt w:val="bullet"/>
      <w:lvlText w:val="•"/>
      <w:lvlJc w:val="left"/>
      <w:pPr>
        <w:ind w:left="3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8BF6E">
      <w:start w:val="1"/>
      <w:numFmt w:val="bullet"/>
      <w:lvlText w:val="o"/>
      <w:lvlJc w:val="left"/>
      <w:pPr>
        <w:ind w:left="3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6ACEF8">
      <w:start w:val="1"/>
      <w:numFmt w:val="bullet"/>
      <w:lvlText w:val="▪"/>
      <w:lvlJc w:val="left"/>
      <w:pPr>
        <w:ind w:left="4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3A853E">
      <w:start w:val="1"/>
      <w:numFmt w:val="bullet"/>
      <w:lvlText w:val="•"/>
      <w:lvlJc w:val="left"/>
      <w:pPr>
        <w:ind w:left="5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D29070">
      <w:start w:val="1"/>
      <w:numFmt w:val="bullet"/>
      <w:lvlText w:val="o"/>
      <w:lvlJc w:val="left"/>
      <w:pPr>
        <w:ind w:left="6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9084F4">
      <w:start w:val="1"/>
      <w:numFmt w:val="bullet"/>
      <w:lvlText w:val="▪"/>
      <w:lvlJc w:val="left"/>
      <w:pPr>
        <w:ind w:left="6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5BF176B3"/>
    <w:multiLevelType w:val="hybridMultilevel"/>
    <w:tmpl w:val="21B47E6E"/>
    <w:lvl w:ilvl="0" w:tplc="BCD26034">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D825A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466D9C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1B0A25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5C082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BE7EA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7228B3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1DAE49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1CC4A6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5BF475FC"/>
    <w:multiLevelType w:val="hybridMultilevel"/>
    <w:tmpl w:val="0B588322"/>
    <w:lvl w:ilvl="0" w:tplc="3E7A4F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24B740">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E746DA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F1CB81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D36AFA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CDA020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28C87F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258FA1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66ACF0">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5C377880"/>
    <w:multiLevelType w:val="hybridMultilevel"/>
    <w:tmpl w:val="0F267C7E"/>
    <w:lvl w:ilvl="0" w:tplc="687261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50D8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4C33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DAEF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EEC7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A0A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08CD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44A6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6665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5C975EBC"/>
    <w:multiLevelType w:val="hybridMultilevel"/>
    <w:tmpl w:val="20ACC084"/>
    <w:lvl w:ilvl="0" w:tplc="194E44E6">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E7AD06E">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8D0EF8C0">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90A2265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8AC88FF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060402F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4B08FF8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B412966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4874FCB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48" w15:restartNumberingAfterBreak="0">
    <w:nsid w:val="5CA73CD9"/>
    <w:multiLevelType w:val="hybridMultilevel"/>
    <w:tmpl w:val="FCFAA3BA"/>
    <w:lvl w:ilvl="0" w:tplc="80082C32">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F94E1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BF048B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050DF4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D5058E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0E0868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F7ABD6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BEF7A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5ECBE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9" w15:restartNumberingAfterBreak="0">
    <w:nsid w:val="5CEC1293"/>
    <w:multiLevelType w:val="hybridMultilevel"/>
    <w:tmpl w:val="93D6EBD4"/>
    <w:lvl w:ilvl="0" w:tplc="E4D45536">
      <w:start w:val="1"/>
      <w:numFmt w:val="lowerLetter"/>
      <w:lvlText w:val="%1)"/>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F402F18">
      <w:start w:val="1"/>
      <w:numFmt w:val="lowerLetter"/>
      <w:lvlText w:val="%2"/>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96897D4">
      <w:start w:val="1"/>
      <w:numFmt w:val="lowerRoman"/>
      <w:lvlText w:val="%3"/>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32EF9BA">
      <w:start w:val="1"/>
      <w:numFmt w:val="decimal"/>
      <w:lvlText w:val="%4"/>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3CC2350">
      <w:start w:val="1"/>
      <w:numFmt w:val="lowerLetter"/>
      <w:lvlText w:val="%5"/>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DCFCD6">
      <w:start w:val="1"/>
      <w:numFmt w:val="lowerRoman"/>
      <w:lvlText w:val="%6"/>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DFC626E">
      <w:start w:val="1"/>
      <w:numFmt w:val="decimal"/>
      <w:lvlText w:val="%7"/>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6B69D8C">
      <w:start w:val="1"/>
      <w:numFmt w:val="lowerLetter"/>
      <w:lvlText w:val="%8"/>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4A2D3FE">
      <w:start w:val="1"/>
      <w:numFmt w:val="lowerRoman"/>
      <w:lvlText w:val="%9"/>
      <w:lvlJc w:val="left"/>
      <w:pPr>
        <w:ind w:left="6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5D2C244D"/>
    <w:multiLevelType w:val="hybridMultilevel"/>
    <w:tmpl w:val="981CF27E"/>
    <w:lvl w:ilvl="0" w:tplc="855EE2AE">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10E5F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B2A8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6E7A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745E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0E86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9AAD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6271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505E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1" w15:restartNumberingAfterBreak="0">
    <w:nsid w:val="5D2D3EF2"/>
    <w:multiLevelType w:val="hybridMultilevel"/>
    <w:tmpl w:val="36CED698"/>
    <w:lvl w:ilvl="0" w:tplc="221E3408">
      <w:start w:val="1"/>
      <w:numFmt w:val="bullet"/>
      <w:lvlText w:val="•"/>
      <w:lvlJc w:val="left"/>
      <w:pPr>
        <w:ind w:left="3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1" w:tplc="90CC6E22">
      <w:start w:val="1"/>
      <w:numFmt w:val="bullet"/>
      <w:lvlText w:val="o"/>
      <w:lvlJc w:val="left"/>
      <w:pPr>
        <w:ind w:left="7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2" w:tplc="9858FC5C">
      <w:start w:val="1"/>
      <w:numFmt w:val="bullet"/>
      <w:lvlText w:val="▪"/>
      <w:lvlJc w:val="left"/>
      <w:pPr>
        <w:ind w:left="10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F54E7CB4">
      <w:start w:val="1"/>
      <w:numFmt w:val="bullet"/>
      <w:lvlRestart w:val="0"/>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6D9ED256">
      <w:start w:val="1"/>
      <w:numFmt w:val="bullet"/>
      <w:lvlText w:val="o"/>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E570B9EE">
      <w:start w:val="1"/>
      <w:numFmt w:val="bullet"/>
      <w:lvlText w:val="▪"/>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60D68760">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F09AF070">
      <w:start w:val="1"/>
      <w:numFmt w:val="bullet"/>
      <w:lvlText w:val="o"/>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AC688F26">
      <w:start w:val="1"/>
      <w:numFmt w:val="bullet"/>
      <w:lvlText w:val="▪"/>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252" w15:restartNumberingAfterBreak="0">
    <w:nsid w:val="5D584489"/>
    <w:multiLevelType w:val="hybridMultilevel"/>
    <w:tmpl w:val="21A2B4C4"/>
    <w:lvl w:ilvl="0" w:tplc="5464E7F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0D2D7BE">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29842406">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86781CD6">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81D0846A">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4CFCBA5A">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A1ACF04C">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4AFAC516">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6F42CA34">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53" w15:restartNumberingAfterBreak="0">
    <w:nsid w:val="5E1B7187"/>
    <w:multiLevelType w:val="hybridMultilevel"/>
    <w:tmpl w:val="43EC2D4C"/>
    <w:lvl w:ilvl="0" w:tplc="1ECC00FC">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001CA56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8D1E3F52">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AC8E556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7E10C9F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8B7C7876">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AD7CFFE8">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197E36E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5650B72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54" w15:restartNumberingAfterBreak="0">
    <w:nsid w:val="5E315954"/>
    <w:multiLevelType w:val="hybridMultilevel"/>
    <w:tmpl w:val="5DFACD68"/>
    <w:lvl w:ilvl="0" w:tplc="CE9A7B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209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F443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F226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5214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FAC3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FE11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2C43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D6D1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5" w15:restartNumberingAfterBreak="0">
    <w:nsid w:val="5E425319"/>
    <w:multiLevelType w:val="hybridMultilevel"/>
    <w:tmpl w:val="80722C38"/>
    <w:lvl w:ilvl="0" w:tplc="DA7EB07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C521F6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4E875A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DBA28E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A66E75C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47107CE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6790788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4FEFAF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DF0538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56" w15:restartNumberingAfterBreak="0">
    <w:nsid w:val="5F283DC8"/>
    <w:multiLevelType w:val="hybridMultilevel"/>
    <w:tmpl w:val="A7226108"/>
    <w:lvl w:ilvl="0" w:tplc="C366C5D4">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68B6D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E06AA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188C6D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082DDB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FC32A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99E617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40807A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7480E9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7" w15:restartNumberingAfterBreak="0">
    <w:nsid w:val="5F67502C"/>
    <w:multiLevelType w:val="hybridMultilevel"/>
    <w:tmpl w:val="C194BE7A"/>
    <w:lvl w:ilvl="0" w:tplc="D68C372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086C955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87FA018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E08CF88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2328E4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9958666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9DE4B6F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ABDEFDD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93CCDA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58" w15:restartNumberingAfterBreak="0">
    <w:nsid w:val="5F9A500C"/>
    <w:multiLevelType w:val="hybridMultilevel"/>
    <w:tmpl w:val="64A0DAF8"/>
    <w:lvl w:ilvl="0" w:tplc="F252EE2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0143086">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852720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6C4A21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F60A8FA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9FD6678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4E2C62E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974D16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BF6A20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59" w15:restartNumberingAfterBreak="0">
    <w:nsid w:val="5FD25156"/>
    <w:multiLevelType w:val="hybridMultilevel"/>
    <w:tmpl w:val="1C9E326C"/>
    <w:lvl w:ilvl="0" w:tplc="A2EA6230">
      <w:start w:val="1"/>
      <w:numFmt w:val="decimal"/>
      <w:lvlText w:val="%1."/>
      <w:lvlJc w:val="left"/>
      <w:pPr>
        <w:ind w:left="4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F44617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E2853D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7B6DD6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1309B7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BDCA08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C64C03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B2CDFD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DA8800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0" w15:restartNumberingAfterBreak="0">
    <w:nsid w:val="60072E81"/>
    <w:multiLevelType w:val="hybridMultilevel"/>
    <w:tmpl w:val="9C8632DE"/>
    <w:lvl w:ilvl="0" w:tplc="B484AF02">
      <w:start w:val="1"/>
      <w:numFmt w:val="decimal"/>
      <w:lvlText w:val="%1"/>
      <w:lvlJc w:val="left"/>
      <w:pPr>
        <w:ind w:left="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54E7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C222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DCA0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C4DC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A414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94A7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3CA65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E4B0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608924F0"/>
    <w:multiLevelType w:val="hybridMultilevel"/>
    <w:tmpl w:val="9A264EB2"/>
    <w:lvl w:ilvl="0" w:tplc="99D27EE2">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2F563F04">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E42CF7D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63B445E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A612A27C">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203E437C">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68D6404C">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F3F6B2A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A650EBD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62" w15:restartNumberingAfterBreak="0">
    <w:nsid w:val="609F0D8C"/>
    <w:multiLevelType w:val="hybridMultilevel"/>
    <w:tmpl w:val="A5FC630A"/>
    <w:lvl w:ilvl="0" w:tplc="F8A216CE">
      <w:start w:val="1"/>
      <w:numFmt w:val="decimal"/>
      <w:lvlText w:val="%1"/>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3C50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EE23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D2AE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BEBA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16D9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DC5C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0417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767F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3" w15:restartNumberingAfterBreak="0">
    <w:nsid w:val="613E4D87"/>
    <w:multiLevelType w:val="hybridMultilevel"/>
    <w:tmpl w:val="E66E886A"/>
    <w:lvl w:ilvl="0" w:tplc="E6C00658">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2B8C47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817AB62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7201EE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9566F0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77AC70E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8B2F9D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392E52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D9C6BD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64" w15:restartNumberingAfterBreak="0">
    <w:nsid w:val="6143078E"/>
    <w:multiLevelType w:val="hybridMultilevel"/>
    <w:tmpl w:val="15C47D76"/>
    <w:lvl w:ilvl="0" w:tplc="8FF41AA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92C0CB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394E9F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ECEA2F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90CCE7E">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61086F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1F1E434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08E28B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D5664C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65" w15:restartNumberingAfterBreak="0">
    <w:nsid w:val="61716E22"/>
    <w:multiLevelType w:val="hybridMultilevel"/>
    <w:tmpl w:val="A8381910"/>
    <w:lvl w:ilvl="0" w:tplc="C51C3C24">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465B54">
      <w:start w:val="1"/>
      <w:numFmt w:val="bullet"/>
      <w:lvlText w:val="o"/>
      <w:lvlJc w:val="left"/>
      <w:pPr>
        <w:ind w:left="1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429E2E">
      <w:start w:val="1"/>
      <w:numFmt w:val="bullet"/>
      <w:lvlText w:val="▪"/>
      <w:lvlJc w:val="left"/>
      <w:pPr>
        <w:ind w:left="2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824CEE">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B69134">
      <w:start w:val="1"/>
      <w:numFmt w:val="bullet"/>
      <w:lvlText w:val="o"/>
      <w:lvlJc w:val="left"/>
      <w:pPr>
        <w:ind w:left="3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72FC06">
      <w:start w:val="1"/>
      <w:numFmt w:val="bullet"/>
      <w:lvlText w:val="▪"/>
      <w:lvlJc w:val="left"/>
      <w:pPr>
        <w:ind w:left="4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385BA4">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6E0A5C">
      <w:start w:val="1"/>
      <w:numFmt w:val="bullet"/>
      <w:lvlText w:val="o"/>
      <w:lvlJc w:val="left"/>
      <w:pPr>
        <w:ind w:left="5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407C66">
      <w:start w:val="1"/>
      <w:numFmt w:val="bullet"/>
      <w:lvlText w:val="▪"/>
      <w:lvlJc w:val="left"/>
      <w:pPr>
        <w:ind w:left="6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6" w15:restartNumberingAfterBreak="0">
    <w:nsid w:val="61AF505D"/>
    <w:multiLevelType w:val="hybridMultilevel"/>
    <w:tmpl w:val="9654A8CC"/>
    <w:lvl w:ilvl="0" w:tplc="24FE87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FCA4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EE6B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B658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C98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A473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5A7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A6DD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221E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61CE5A25"/>
    <w:multiLevelType w:val="hybridMultilevel"/>
    <w:tmpl w:val="064AC68E"/>
    <w:lvl w:ilvl="0" w:tplc="B9EE6FB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24EA4F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422CE8E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C7C79D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4BE0E7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0360E1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68476F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124BD8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AB2218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68" w15:restartNumberingAfterBreak="0">
    <w:nsid w:val="61FE0DA2"/>
    <w:multiLevelType w:val="hybridMultilevel"/>
    <w:tmpl w:val="5B1EFA9C"/>
    <w:lvl w:ilvl="0" w:tplc="FAF6618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AE4175C">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71C10A8">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5216A40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5DEEE0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6F4B0A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392EB9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A420FB8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5F1C23A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69" w15:restartNumberingAfterBreak="0">
    <w:nsid w:val="629A03FF"/>
    <w:multiLevelType w:val="hybridMultilevel"/>
    <w:tmpl w:val="DB8ACF5C"/>
    <w:lvl w:ilvl="0" w:tplc="77382C36">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EDC709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0F00CF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98AF09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76587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7408A7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8A4190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50A4F7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104110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0" w15:restartNumberingAfterBreak="0">
    <w:nsid w:val="636159CE"/>
    <w:multiLevelType w:val="hybridMultilevel"/>
    <w:tmpl w:val="EA8A3750"/>
    <w:lvl w:ilvl="0" w:tplc="6A4E98D4">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49CCB2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E10653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20069B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E4E6F38C">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4BA5B5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BB2B76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A2E4B2E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734CC3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71" w15:restartNumberingAfterBreak="0">
    <w:nsid w:val="63AF7352"/>
    <w:multiLevelType w:val="hybridMultilevel"/>
    <w:tmpl w:val="D722D740"/>
    <w:lvl w:ilvl="0" w:tplc="3F10A722">
      <w:start w:val="1"/>
      <w:numFmt w:val="lowerLetter"/>
      <w:lvlText w:val="%1)"/>
      <w:lvlJc w:val="left"/>
      <w:pPr>
        <w:ind w:left="5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3CE49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EF0322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92A3B9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890507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1C0129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DECEC6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F6855F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134AEC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2" w15:restartNumberingAfterBreak="0">
    <w:nsid w:val="648C154E"/>
    <w:multiLevelType w:val="hybridMultilevel"/>
    <w:tmpl w:val="24FAD934"/>
    <w:lvl w:ilvl="0" w:tplc="62A02E66">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62A00D96">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8A904000">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9558D2B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4ED8207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706ECD7C">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94947DA0">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118EB5E">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40CBECA">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73" w15:restartNumberingAfterBreak="0">
    <w:nsid w:val="64A310DF"/>
    <w:multiLevelType w:val="hybridMultilevel"/>
    <w:tmpl w:val="C64CD7E2"/>
    <w:lvl w:ilvl="0" w:tplc="96C455F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2B108">
      <w:start w:val="1"/>
      <w:numFmt w:val="bullet"/>
      <w:lvlText w:val="o"/>
      <w:lvlJc w:val="left"/>
      <w:pPr>
        <w:ind w:left="1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58E8D2">
      <w:start w:val="1"/>
      <w:numFmt w:val="bullet"/>
      <w:lvlText w:val="▪"/>
      <w:lvlJc w:val="left"/>
      <w:pPr>
        <w:ind w:left="2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C0B63C">
      <w:start w:val="1"/>
      <w:numFmt w:val="bullet"/>
      <w:lvlText w:val="•"/>
      <w:lvlJc w:val="left"/>
      <w:pPr>
        <w:ind w:left="3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364430">
      <w:start w:val="1"/>
      <w:numFmt w:val="bullet"/>
      <w:lvlText w:val="o"/>
      <w:lvlJc w:val="left"/>
      <w:pPr>
        <w:ind w:left="3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5AFE2C">
      <w:start w:val="1"/>
      <w:numFmt w:val="bullet"/>
      <w:lvlText w:val="▪"/>
      <w:lvlJc w:val="left"/>
      <w:pPr>
        <w:ind w:left="4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C49068">
      <w:start w:val="1"/>
      <w:numFmt w:val="bullet"/>
      <w:lvlText w:val="•"/>
      <w:lvlJc w:val="left"/>
      <w:pPr>
        <w:ind w:left="5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5A9F84">
      <w:start w:val="1"/>
      <w:numFmt w:val="bullet"/>
      <w:lvlText w:val="o"/>
      <w:lvlJc w:val="left"/>
      <w:pPr>
        <w:ind w:left="6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14B9F0">
      <w:start w:val="1"/>
      <w:numFmt w:val="bullet"/>
      <w:lvlText w:val="▪"/>
      <w:lvlJc w:val="left"/>
      <w:pPr>
        <w:ind w:left="6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4" w15:restartNumberingAfterBreak="0">
    <w:nsid w:val="65A361FF"/>
    <w:multiLevelType w:val="hybridMultilevel"/>
    <w:tmpl w:val="712C3346"/>
    <w:lvl w:ilvl="0" w:tplc="8F2AB1A4">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524A38B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B545A7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F0C222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93AE07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E3A108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54A33C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C64BAA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2CC84F1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75" w15:restartNumberingAfterBreak="0">
    <w:nsid w:val="65B3591F"/>
    <w:multiLevelType w:val="hybridMultilevel"/>
    <w:tmpl w:val="908EFE0C"/>
    <w:lvl w:ilvl="0" w:tplc="B8C6F76C">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72AE0AB6">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46F6CD28">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1E609C6E">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D01EBB8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B4C2E86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79B0CF7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BEF65A88">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72D83F50">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76" w15:restartNumberingAfterBreak="0">
    <w:nsid w:val="66313596"/>
    <w:multiLevelType w:val="hybridMultilevel"/>
    <w:tmpl w:val="14903C50"/>
    <w:lvl w:ilvl="0" w:tplc="30D48012">
      <w:start w:val="1"/>
      <w:numFmt w:val="lowerLetter"/>
      <w:lvlText w:val="%1)"/>
      <w:lvlJc w:val="left"/>
      <w:pPr>
        <w:ind w:left="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C27E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2213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1A33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9236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064A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C8A9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7639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DC2A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7" w15:restartNumberingAfterBreak="0">
    <w:nsid w:val="66550958"/>
    <w:multiLevelType w:val="hybridMultilevel"/>
    <w:tmpl w:val="2ABE3422"/>
    <w:lvl w:ilvl="0" w:tplc="7E8A0390">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FEF0FCD8">
      <w:start w:val="1"/>
      <w:numFmt w:val="lowerLetter"/>
      <w:lvlText w:val="%2)"/>
      <w:lvlJc w:val="left"/>
      <w:pPr>
        <w:ind w:left="1262"/>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B8A06C90">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315021EA">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8094535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A8F4099A">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B57A93C6">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A2BC77BC">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D8D40062">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78" w15:restartNumberingAfterBreak="0">
    <w:nsid w:val="66941764"/>
    <w:multiLevelType w:val="hybridMultilevel"/>
    <w:tmpl w:val="FE6C1D06"/>
    <w:lvl w:ilvl="0" w:tplc="B19C45C2">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FAC8D8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86CF59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21A548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2426EF4">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104CA6A0">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59AEA6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CAA679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AF62CC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79" w15:restartNumberingAfterBreak="0">
    <w:nsid w:val="66AC12C0"/>
    <w:multiLevelType w:val="hybridMultilevel"/>
    <w:tmpl w:val="E11A38EC"/>
    <w:lvl w:ilvl="0" w:tplc="446A2BE8">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0628FA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9C278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E2827A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AD40B5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072814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4CE734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C0AEB0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F2814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0" w15:restartNumberingAfterBreak="0">
    <w:nsid w:val="67A02026"/>
    <w:multiLevelType w:val="hybridMultilevel"/>
    <w:tmpl w:val="FD621E62"/>
    <w:lvl w:ilvl="0" w:tplc="1C508EF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EEC2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9CCC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8CE2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4D4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5271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743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CEE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8EC0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68C10060"/>
    <w:multiLevelType w:val="hybridMultilevel"/>
    <w:tmpl w:val="35B4C4AC"/>
    <w:lvl w:ilvl="0" w:tplc="B4D49652">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59D0063A">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29481EB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3D80C16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2902A8AC">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7C3A25D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A246F08E">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2D16151E">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5FC8F8C2">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82" w15:restartNumberingAfterBreak="0">
    <w:nsid w:val="69355975"/>
    <w:multiLevelType w:val="hybridMultilevel"/>
    <w:tmpl w:val="428C7000"/>
    <w:lvl w:ilvl="0" w:tplc="35789F54">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C708F782">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FAFAFFBE">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D9A88EA0">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1AAA590E">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E29C3166">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6FA9E40">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AC84E444">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88744048">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83" w15:restartNumberingAfterBreak="0">
    <w:nsid w:val="696172B9"/>
    <w:multiLevelType w:val="hybridMultilevel"/>
    <w:tmpl w:val="EBF496CA"/>
    <w:lvl w:ilvl="0" w:tplc="4DBA606E">
      <w:start w:val="5"/>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ADC66C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3E2C0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6C67B3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882463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510063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A02520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5ECEC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DDC82D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4" w15:restartNumberingAfterBreak="0">
    <w:nsid w:val="69885FD9"/>
    <w:multiLevelType w:val="hybridMultilevel"/>
    <w:tmpl w:val="C6D0C1C8"/>
    <w:lvl w:ilvl="0" w:tplc="C30C47FC">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1D2EE44A">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7BC6BBB0">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00B43ABC">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974E1762">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6FC66552">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6CB4D624">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AEFC98C8">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DB12D9A0">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85" w15:restartNumberingAfterBreak="0">
    <w:nsid w:val="69C20F45"/>
    <w:multiLevelType w:val="hybridMultilevel"/>
    <w:tmpl w:val="03A2DE52"/>
    <w:lvl w:ilvl="0" w:tplc="769EF5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A50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CE1E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F68F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94B1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640D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B240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AEE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661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69E8474F"/>
    <w:multiLevelType w:val="hybridMultilevel"/>
    <w:tmpl w:val="C82E39E2"/>
    <w:lvl w:ilvl="0" w:tplc="2424FF88">
      <w:start w:val="24"/>
      <w:numFmt w:val="decimal"/>
      <w:lvlText w:val="%1."/>
      <w:lvlJc w:val="left"/>
      <w:pPr>
        <w:ind w:left="100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E704A76">
      <w:start w:val="1"/>
      <w:numFmt w:val="lowerLetter"/>
      <w:lvlText w:val="%2"/>
      <w:lvlJc w:val="left"/>
      <w:pPr>
        <w:ind w:left="14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E6A4B594">
      <w:start w:val="1"/>
      <w:numFmt w:val="lowerRoman"/>
      <w:lvlText w:val="%3"/>
      <w:lvlJc w:val="left"/>
      <w:pPr>
        <w:ind w:left="21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A68CEED2">
      <w:start w:val="1"/>
      <w:numFmt w:val="decimal"/>
      <w:lvlText w:val="%4"/>
      <w:lvlJc w:val="left"/>
      <w:pPr>
        <w:ind w:left="28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882211FC">
      <w:start w:val="1"/>
      <w:numFmt w:val="lowerLetter"/>
      <w:lvlText w:val="%5"/>
      <w:lvlJc w:val="left"/>
      <w:pPr>
        <w:ind w:left="36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4EAEFB74">
      <w:start w:val="1"/>
      <w:numFmt w:val="lowerRoman"/>
      <w:lvlText w:val="%6"/>
      <w:lvlJc w:val="left"/>
      <w:pPr>
        <w:ind w:left="43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33CC8B34">
      <w:start w:val="1"/>
      <w:numFmt w:val="decimal"/>
      <w:lvlText w:val="%7"/>
      <w:lvlJc w:val="left"/>
      <w:pPr>
        <w:ind w:left="50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DAD0EC04">
      <w:start w:val="1"/>
      <w:numFmt w:val="lowerLetter"/>
      <w:lvlText w:val="%8"/>
      <w:lvlJc w:val="left"/>
      <w:pPr>
        <w:ind w:left="57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DC765824">
      <w:start w:val="1"/>
      <w:numFmt w:val="lowerRoman"/>
      <w:lvlText w:val="%9"/>
      <w:lvlJc w:val="left"/>
      <w:pPr>
        <w:ind w:left="64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87" w15:restartNumberingAfterBreak="0">
    <w:nsid w:val="69FA78F3"/>
    <w:multiLevelType w:val="hybridMultilevel"/>
    <w:tmpl w:val="BC06DC90"/>
    <w:lvl w:ilvl="0" w:tplc="325A0BA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A1EECA3A">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CDE44DA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CEE28A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71008A8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59087F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0146F1E">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2E67078">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A6859B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88" w15:restartNumberingAfterBreak="0">
    <w:nsid w:val="6A150069"/>
    <w:multiLevelType w:val="hybridMultilevel"/>
    <w:tmpl w:val="D8FE0B20"/>
    <w:lvl w:ilvl="0" w:tplc="46720052">
      <w:start w:val="1"/>
      <w:numFmt w:val="decimal"/>
      <w:lvlText w:val="%1."/>
      <w:lvlJc w:val="left"/>
      <w:pPr>
        <w:ind w:left="515"/>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B87E2ADE">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F26CB69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5130FE7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98D25F46">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7D62BD6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9F2D26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BA9EF37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1760357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289" w15:restartNumberingAfterBreak="0">
    <w:nsid w:val="6A981CF3"/>
    <w:multiLevelType w:val="hybridMultilevel"/>
    <w:tmpl w:val="93B03BC6"/>
    <w:lvl w:ilvl="0" w:tplc="9C341AA6">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509E1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FD6E71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362A6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CFE4F6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128CDE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AA564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4B6879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9FAF44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0" w15:restartNumberingAfterBreak="0">
    <w:nsid w:val="6AF16CE1"/>
    <w:multiLevelType w:val="hybridMultilevel"/>
    <w:tmpl w:val="94EC92C0"/>
    <w:lvl w:ilvl="0" w:tplc="514AEE8A">
      <w:start w:val="1"/>
      <w:numFmt w:val="lowerLetter"/>
      <w:lvlText w:val="%1)"/>
      <w:lvlJc w:val="left"/>
      <w:pPr>
        <w:ind w:left="5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66D75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B907C0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57C457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D665B2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BF0ED6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948F3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2B2DCC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318966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1" w15:restartNumberingAfterBreak="0">
    <w:nsid w:val="6B7C43F9"/>
    <w:multiLevelType w:val="hybridMultilevel"/>
    <w:tmpl w:val="E048AC02"/>
    <w:lvl w:ilvl="0" w:tplc="3E9E93E8">
      <w:start w:val="2"/>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D52742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76E4F6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0F007D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2C87E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F6C2D8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D8CD4B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EC869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086E7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2" w15:restartNumberingAfterBreak="0">
    <w:nsid w:val="6B8A6452"/>
    <w:multiLevelType w:val="hybridMultilevel"/>
    <w:tmpl w:val="F9F25692"/>
    <w:lvl w:ilvl="0" w:tplc="796CC23A">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C1544C80">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5412A160">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5A725BD0">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A01E2DC0">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7522058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5BC02C3E">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9C3C1692">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325C71A8">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293" w15:restartNumberingAfterBreak="0">
    <w:nsid w:val="6C106521"/>
    <w:multiLevelType w:val="hybridMultilevel"/>
    <w:tmpl w:val="D8AA8F10"/>
    <w:lvl w:ilvl="0" w:tplc="DD360FD8">
      <w:start w:val="1"/>
      <w:numFmt w:val="lowerLetter"/>
      <w:lvlText w:val="%1)"/>
      <w:lvlJc w:val="left"/>
      <w:pPr>
        <w:ind w:left="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72F1A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DA366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4207D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720A3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AADF3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6E0D3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E8CD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C2E26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4" w15:restartNumberingAfterBreak="0">
    <w:nsid w:val="6C1D6C66"/>
    <w:multiLevelType w:val="hybridMultilevel"/>
    <w:tmpl w:val="87C8A00A"/>
    <w:lvl w:ilvl="0" w:tplc="2016322C">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CF38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C82C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0222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BEDBC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AE75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2AC8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5E36A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2232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6C222953"/>
    <w:multiLevelType w:val="hybridMultilevel"/>
    <w:tmpl w:val="02606942"/>
    <w:lvl w:ilvl="0" w:tplc="6434974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A3E12BE">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5740864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83C588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606FCA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4F36429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4A63DA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5A8079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4D82EF6">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296" w15:restartNumberingAfterBreak="0">
    <w:nsid w:val="6C9300B5"/>
    <w:multiLevelType w:val="hybridMultilevel"/>
    <w:tmpl w:val="AEC8B726"/>
    <w:lvl w:ilvl="0" w:tplc="D0468E62">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C90946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7CE66C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57699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C0A6B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CCA2E8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C70193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7FA29C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C36321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6CAE14F8"/>
    <w:multiLevelType w:val="hybridMultilevel"/>
    <w:tmpl w:val="519C642C"/>
    <w:lvl w:ilvl="0" w:tplc="5BCCF49E">
      <w:start w:val="1"/>
      <w:numFmt w:val="decimal"/>
      <w:lvlText w:val="%1"/>
      <w:lvlJc w:val="left"/>
      <w:pPr>
        <w:ind w:left="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38BD8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78BCB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C6FDF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56085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BA0F8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04DD4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FA806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4866F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8" w15:restartNumberingAfterBreak="0">
    <w:nsid w:val="6CC812A9"/>
    <w:multiLevelType w:val="hybridMultilevel"/>
    <w:tmpl w:val="1A441BC0"/>
    <w:lvl w:ilvl="0" w:tplc="F01AC5FA">
      <w:start w:val="1"/>
      <w:numFmt w:val="decimal"/>
      <w:lvlText w:val="%1."/>
      <w:lvlJc w:val="left"/>
      <w:pPr>
        <w:ind w:left="42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2A6357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3B0477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A9277A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EA20E4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96D6E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3C85AB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CD6A90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E985B7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9" w15:restartNumberingAfterBreak="0">
    <w:nsid w:val="6DF3628E"/>
    <w:multiLevelType w:val="hybridMultilevel"/>
    <w:tmpl w:val="65CEE77E"/>
    <w:lvl w:ilvl="0" w:tplc="68FCFE5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4FAF25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61800F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078C030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6C0707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1862C1E">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EA5EA8E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3061EEC">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BC58237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0" w15:restartNumberingAfterBreak="0">
    <w:nsid w:val="6EF44BCE"/>
    <w:multiLevelType w:val="hybridMultilevel"/>
    <w:tmpl w:val="BCD847A4"/>
    <w:lvl w:ilvl="0" w:tplc="CAC6B4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DA6832">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9CE6A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4505FC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6B6C1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520FE1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9413C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484B78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1C01A6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01" w15:restartNumberingAfterBreak="0">
    <w:nsid w:val="6EF905F2"/>
    <w:multiLevelType w:val="hybridMultilevel"/>
    <w:tmpl w:val="76AAC8BA"/>
    <w:lvl w:ilvl="0" w:tplc="021E9AF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460CB1B6">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384C330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88C728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4A2BCD6">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DD0563C">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ACC825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7264D12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D84BDC0">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2" w15:restartNumberingAfterBreak="0">
    <w:nsid w:val="70217448"/>
    <w:multiLevelType w:val="hybridMultilevel"/>
    <w:tmpl w:val="65FCD74C"/>
    <w:lvl w:ilvl="0" w:tplc="32483B82">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1222EC0">
      <w:start w:val="1"/>
      <w:numFmt w:val="lowerLetter"/>
      <w:lvlText w:val="%2)"/>
      <w:lvlJc w:val="left"/>
      <w:pPr>
        <w:ind w:left="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688DF90">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7E8FD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7C8A08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710333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C96B898">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1123656">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7AA447A">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03" w15:restartNumberingAfterBreak="0">
    <w:nsid w:val="706701A6"/>
    <w:multiLevelType w:val="hybridMultilevel"/>
    <w:tmpl w:val="DB20F62A"/>
    <w:lvl w:ilvl="0" w:tplc="37C4A140">
      <w:start w:val="1"/>
      <w:numFmt w:val="lowerLetter"/>
      <w:lvlText w:val="%1)"/>
      <w:lvlJc w:val="left"/>
      <w:pPr>
        <w:ind w:left="52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C68A3C82">
      <w:start w:val="1"/>
      <w:numFmt w:val="lowerLetter"/>
      <w:lvlText w:val="%2"/>
      <w:lvlJc w:val="left"/>
      <w:pPr>
        <w:ind w:left="112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B128B9D4">
      <w:start w:val="1"/>
      <w:numFmt w:val="lowerRoman"/>
      <w:lvlText w:val="%3"/>
      <w:lvlJc w:val="left"/>
      <w:pPr>
        <w:ind w:left="184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41E7D6C">
      <w:start w:val="1"/>
      <w:numFmt w:val="decimal"/>
      <w:lvlText w:val="%4"/>
      <w:lvlJc w:val="left"/>
      <w:pPr>
        <w:ind w:left="25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32FA1C5A">
      <w:start w:val="1"/>
      <w:numFmt w:val="lowerLetter"/>
      <w:lvlText w:val="%5"/>
      <w:lvlJc w:val="left"/>
      <w:pPr>
        <w:ind w:left="328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42CFF5E">
      <w:start w:val="1"/>
      <w:numFmt w:val="lowerRoman"/>
      <w:lvlText w:val="%6"/>
      <w:lvlJc w:val="left"/>
      <w:pPr>
        <w:ind w:left="400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7F67676">
      <w:start w:val="1"/>
      <w:numFmt w:val="decimal"/>
      <w:lvlText w:val="%7"/>
      <w:lvlJc w:val="left"/>
      <w:pPr>
        <w:ind w:left="472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21369FAE">
      <w:start w:val="1"/>
      <w:numFmt w:val="lowerLetter"/>
      <w:lvlText w:val="%8"/>
      <w:lvlJc w:val="left"/>
      <w:pPr>
        <w:ind w:left="544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6428BD62">
      <w:start w:val="1"/>
      <w:numFmt w:val="lowerRoman"/>
      <w:lvlText w:val="%9"/>
      <w:lvlJc w:val="left"/>
      <w:pPr>
        <w:ind w:left="61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4" w15:restartNumberingAfterBreak="0">
    <w:nsid w:val="707E64A5"/>
    <w:multiLevelType w:val="hybridMultilevel"/>
    <w:tmpl w:val="D60AC3D4"/>
    <w:lvl w:ilvl="0" w:tplc="36C81ED6">
      <w:start w:val="1"/>
      <w:numFmt w:val="decimal"/>
      <w:lvlText w:val="%1."/>
      <w:lvlJc w:val="left"/>
      <w:pPr>
        <w:ind w:left="100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6C80EEF6">
      <w:start w:val="1"/>
      <w:numFmt w:val="lowerLetter"/>
      <w:lvlText w:val="%2"/>
      <w:lvlJc w:val="left"/>
      <w:pPr>
        <w:ind w:left="14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590E54E">
      <w:start w:val="1"/>
      <w:numFmt w:val="lowerRoman"/>
      <w:lvlText w:val="%3"/>
      <w:lvlJc w:val="left"/>
      <w:pPr>
        <w:ind w:left="21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76AAB4C0">
      <w:start w:val="1"/>
      <w:numFmt w:val="decimal"/>
      <w:lvlText w:val="%4"/>
      <w:lvlJc w:val="left"/>
      <w:pPr>
        <w:ind w:left="28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CEED80E">
      <w:start w:val="1"/>
      <w:numFmt w:val="lowerLetter"/>
      <w:lvlText w:val="%5"/>
      <w:lvlJc w:val="left"/>
      <w:pPr>
        <w:ind w:left="36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70E617A">
      <w:start w:val="1"/>
      <w:numFmt w:val="lowerRoman"/>
      <w:lvlText w:val="%6"/>
      <w:lvlJc w:val="left"/>
      <w:pPr>
        <w:ind w:left="43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F02A100C">
      <w:start w:val="1"/>
      <w:numFmt w:val="decimal"/>
      <w:lvlText w:val="%7"/>
      <w:lvlJc w:val="left"/>
      <w:pPr>
        <w:ind w:left="50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18888704">
      <w:start w:val="1"/>
      <w:numFmt w:val="lowerLetter"/>
      <w:lvlText w:val="%8"/>
      <w:lvlJc w:val="left"/>
      <w:pPr>
        <w:ind w:left="57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3B6191E">
      <w:start w:val="1"/>
      <w:numFmt w:val="lowerRoman"/>
      <w:lvlText w:val="%9"/>
      <w:lvlJc w:val="left"/>
      <w:pPr>
        <w:ind w:left="64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5" w15:restartNumberingAfterBreak="0">
    <w:nsid w:val="71103A86"/>
    <w:multiLevelType w:val="hybridMultilevel"/>
    <w:tmpl w:val="BEE4D7D4"/>
    <w:lvl w:ilvl="0" w:tplc="8390CE26">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D0A586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7B88A6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CFF44FE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46C971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08D2A714">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DCC790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E383F92">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2DECA0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6" w15:restartNumberingAfterBreak="0">
    <w:nsid w:val="71632877"/>
    <w:multiLevelType w:val="hybridMultilevel"/>
    <w:tmpl w:val="09648D94"/>
    <w:lvl w:ilvl="0" w:tplc="0862D718">
      <w:start w:val="1"/>
      <w:numFmt w:val="decimal"/>
      <w:lvlText w:val="%1"/>
      <w:lvlJc w:val="left"/>
      <w:pPr>
        <w:ind w:left="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32DCDA">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406D20">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46C412">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A57DA">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C23794">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FA1E00">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6ABD7C">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BE60EC">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71CE3BC4"/>
    <w:multiLevelType w:val="hybridMultilevel"/>
    <w:tmpl w:val="24EA91A2"/>
    <w:lvl w:ilvl="0" w:tplc="6A36350E">
      <w:start w:val="1"/>
      <w:numFmt w:val="lowerLetter"/>
      <w:lvlText w:val="%1)"/>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E90EA58">
      <w:start w:val="1"/>
      <w:numFmt w:val="lowerLetter"/>
      <w:lvlText w:val="%2"/>
      <w:lvlJc w:val="left"/>
      <w:pPr>
        <w:ind w:left="15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D626EB26">
      <w:start w:val="1"/>
      <w:numFmt w:val="lowerRoman"/>
      <w:lvlText w:val="%3"/>
      <w:lvlJc w:val="left"/>
      <w:pPr>
        <w:ind w:left="22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A936F828">
      <w:start w:val="1"/>
      <w:numFmt w:val="decimal"/>
      <w:lvlText w:val="%4"/>
      <w:lvlJc w:val="left"/>
      <w:pPr>
        <w:ind w:left="30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4584760">
      <w:start w:val="1"/>
      <w:numFmt w:val="lowerLetter"/>
      <w:lvlText w:val="%5"/>
      <w:lvlJc w:val="left"/>
      <w:pPr>
        <w:ind w:left="3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A3C8D41E">
      <w:start w:val="1"/>
      <w:numFmt w:val="lowerRoman"/>
      <w:lvlText w:val="%6"/>
      <w:lvlJc w:val="left"/>
      <w:pPr>
        <w:ind w:left="44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9AA25D6">
      <w:start w:val="1"/>
      <w:numFmt w:val="decimal"/>
      <w:lvlText w:val="%7"/>
      <w:lvlJc w:val="left"/>
      <w:pPr>
        <w:ind w:left="51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DE00501E">
      <w:start w:val="1"/>
      <w:numFmt w:val="lowerLetter"/>
      <w:lvlText w:val="%8"/>
      <w:lvlJc w:val="left"/>
      <w:pPr>
        <w:ind w:left="58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1EE875C">
      <w:start w:val="1"/>
      <w:numFmt w:val="lowerRoman"/>
      <w:lvlText w:val="%9"/>
      <w:lvlJc w:val="left"/>
      <w:pPr>
        <w:ind w:left="66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08" w15:restartNumberingAfterBreak="0">
    <w:nsid w:val="724755FC"/>
    <w:multiLevelType w:val="hybridMultilevel"/>
    <w:tmpl w:val="DDEEA69C"/>
    <w:lvl w:ilvl="0" w:tplc="61DED5E0">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0A2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4D2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A7B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659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834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C18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2EA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C9E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725E5910"/>
    <w:multiLevelType w:val="hybridMultilevel"/>
    <w:tmpl w:val="05CCBF80"/>
    <w:lvl w:ilvl="0" w:tplc="01406AA2">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0453F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407B7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0093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A21A0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D8883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CE8F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C806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F8FE7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0" w15:restartNumberingAfterBreak="0">
    <w:nsid w:val="728657F7"/>
    <w:multiLevelType w:val="hybridMultilevel"/>
    <w:tmpl w:val="DC3EEF1A"/>
    <w:lvl w:ilvl="0" w:tplc="66B6E55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32C337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4F2E2CB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6942FB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DD6057E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3909EF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DD96520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72B8701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8B187B9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11" w15:restartNumberingAfterBreak="0">
    <w:nsid w:val="72D94161"/>
    <w:multiLevelType w:val="hybridMultilevel"/>
    <w:tmpl w:val="C3C613A2"/>
    <w:lvl w:ilvl="0" w:tplc="A88458BC">
      <w:start w:val="2"/>
      <w:numFmt w:val="decimal"/>
      <w:lvlText w:val="%1."/>
      <w:lvlJc w:val="left"/>
      <w:pPr>
        <w:ind w:left="5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A0D216E8">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00CE43B8">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67DC015E">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BF1AD324">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CFEDAAE">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EBB054CC">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7B8C2E7E">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F7587574">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73333671"/>
    <w:multiLevelType w:val="hybridMultilevel"/>
    <w:tmpl w:val="79427442"/>
    <w:lvl w:ilvl="0" w:tplc="895C0BCA">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C0B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864B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9292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DE98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4EE0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0A0B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BE71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98EA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733A44D1"/>
    <w:multiLevelType w:val="hybridMultilevel"/>
    <w:tmpl w:val="6E367DA4"/>
    <w:lvl w:ilvl="0" w:tplc="9620DD6C">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E6F40">
      <w:start w:val="1"/>
      <w:numFmt w:val="bullet"/>
      <w:lvlText w:val="o"/>
      <w:lvlJc w:val="left"/>
      <w:pPr>
        <w:ind w:left="1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74AE54">
      <w:start w:val="1"/>
      <w:numFmt w:val="bullet"/>
      <w:lvlText w:val="▪"/>
      <w:lvlJc w:val="left"/>
      <w:pPr>
        <w:ind w:left="2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163840">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5E90DA">
      <w:start w:val="1"/>
      <w:numFmt w:val="bullet"/>
      <w:lvlText w:val="o"/>
      <w:lvlJc w:val="left"/>
      <w:pPr>
        <w:ind w:left="3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AAA244">
      <w:start w:val="1"/>
      <w:numFmt w:val="bullet"/>
      <w:lvlText w:val="▪"/>
      <w:lvlJc w:val="left"/>
      <w:pPr>
        <w:ind w:left="4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B2E3BE">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2E9E38">
      <w:start w:val="1"/>
      <w:numFmt w:val="bullet"/>
      <w:lvlText w:val="o"/>
      <w:lvlJc w:val="left"/>
      <w:pPr>
        <w:ind w:left="5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943C70">
      <w:start w:val="1"/>
      <w:numFmt w:val="bullet"/>
      <w:lvlText w:val="▪"/>
      <w:lvlJc w:val="left"/>
      <w:pPr>
        <w:ind w:left="6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4" w15:restartNumberingAfterBreak="0">
    <w:nsid w:val="73957494"/>
    <w:multiLevelType w:val="hybridMultilevel"/>
    <w:tmpl w:val="48BCEC8C"/>
    <w:lvl w:ilvl="0" w:tplc="75303E66">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2202F1F0">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39CE0B86">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8872FE1C">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3C4CA80A">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142EA910">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6E900FF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2E90CD9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6EB805FE">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315" w15:restartNumberingAfterBreak="0">
    <w:nsid w:val="73DC08E8"/>
    <w:multiLevelType w:val="hybridMultilevel"/>
    <w:tmpl w:val="DE02751E"/>
    <w:lvl w:ilvl="0" w:tplc="9126FBF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D8CC3D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126096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D3CF496">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DC86A2F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D0ACE46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4BD6A9D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66A6FE4">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158E4B3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16" w15:restartNumberingAfterBreak="0">
    <w:nsid w:val="73E90A9E"/>
    <w:multiLevelType w:val="hybridMultilevel"/>
    <w:tmpl w:val="F476F64E"/>
    <w:lvl w:ilvl="0" w:tplc="C1A462C2">
      <w:start w:val="1"/>
      <w:numFmt w:val="lowerLetter"/>
      <w:lvlText w:val="%1)"/>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E671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E2BF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BEB5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9849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D2F2F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2205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E3A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22EF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7" w15:restartNumberingAfterBreak="0">
    <w:nsid w:val="73F41E6E"/>
    <w:multiLevelType w:val="hybridMultilevel"/>
    <w:tmpl w:val="144E67FC"/>
    <w:lvl w:ilvl="0" w:tplc="C302A48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D56967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29A894E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D46EFA04">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1A688F58">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C154281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510E18DC">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46A3230">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946933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18" w15:restartNumberingAfterBreak="0">
    <w:nsid w:val="74511A95"/>
    <w:multiLevelType w:val="hybridMultilevel"/>
    <w:tmpl w:val="E6CC9EEE"/>
    <w:lvl w:ilvl="0" w:tplc="B4A0167E">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57E2D618">
      <w:start w:val="1"/>
      <w:numFmt w:val="lowerLetter"/>
      <w:lvlText w:val="%2)"/>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0400C146">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628D59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EE0381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783AC2D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BBDA14D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81DC659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89AE6C28">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19" w15:restartNumberingAfterBreak="0">
    <w:nsid w:val="755F0253"/>
    <w:multiLevelType w:val="hybridMultilevel"/>
    <w:tmpl w:val="9672013E"/>
    <w:lvl w:ilvl="0" w:tplc="E554544A">
      <w:start w:val="1"/>
      <w:numFmt w:val="bullet"/>
      <w:lvlText w:val="•"/>
      <w:lvlJc w:val="left"/>
      <w:pPr>
        <w:ind w:left="3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1" w:tplc="07349EE6">
      <w:start w:val="1"/>
      <w:numFmt w:val="bullet"/>
      <w:lvlText w:val="o"/>
      <w:lvlJc w:val="left"/>
      <w:pPr>
        <w:ind w:left="7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2" w:tplc="62ACD414">
      <w:start w:val="1"/>
      <w:numFmt w:val="bullet"/>
      <w:lvlText w:val="▪"/>
      <w:lvlJc w:val="left"/>
      <w:pPr>
        <w:ind w:left="10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3" w:tplc="AD6CA370">
      <w:start w:val="1"/>
      <w:numFmt w:val="bullet"/>
      <w:lvlRestart w:val="0"/>
      <w:lvlText w:val="o"/>
      <w:lvlJc w:val="left"/>
      <w:pPr>
        <w:ind w:left="1723"/>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4" w:tplc="A356BD22">
      <w:start w:val="1"/>
      <w:numFmt w:val="bullet"/>
      <w:lvlText w:val="o"/>
      <w:lvlJc w:val="left"/>
      <w:pPr>
        <w:ind w:left="216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5" w:tplc="31B2F816">
      <w:start w:val="1"/>
      <w:numFmt w:val="bullet"/>
      <w:lvlText w:val="▪"/>
      <w:lvlJc w:val="left"/>
      <w:pPr>
        <w:ind w:left="288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6" w:tplc="2EFCDDA8">
      <w:start w:val="1"/>
      <w:numFmt w:val="bullet"/>
      <w:lvlText w:val="•"/>
      <w:lvlJc w:val="left"/>
      <w:pPr>
        <w:ind w:left="360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7" w:tplc="23C24F02">
      <w:start w:val="1"/>
      <w:numFmt w:val="bullet"/>
      <w:lvlText w:val="o"/>
      <w:lvlJc w:val="left"/>
      <w:pPr>
        <w:ind w:left="432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lvl w:ilvl="8" w:tplc="5D0E414E">
      <w:start w:val="1"/>
      <w:numFmt w:val="bullet"/>
      <w:lvlText w:val="▪"/>
      <w:lvlJc w:val="left"/>
      <w:pPr>
        <w:ind w:left="5040"/>
      </w:pPr>
      <w:rPr>
        <w:rFonts w:ascii="Courier New" w:eastAsia="Courier New" w:hAnsi="Courier New" w:cs="Courier New"/>
        <w:b w:val="0"/>
        <w:i w:val="0"/>
        <w:strike w:val="0"/>
        <w:dstrike w:val="0"/>
        <w:color w:val="202020"/>
        <w:sz w:val="20"/>
        <w:szCs w:val="20"/>
        <w:u w:val="none" w:color="000000"/>
        <w:bdr w:val="none" w:sz="0" w:space="0" w:color="auto"/>
        <w:shd w:val="clear" w:color="auto" w:fill="auto"/>
        <w:vertAlign w:val="baseline"/>
      </w:rPr>
    </w:lvl>
  </w:abstractNum>
  <w:abstractNum w:abstractNumId="320" w15:restartNumberingAfterBreak="0">
    <w:nsid w:val="75C145B7"/>
    <w:multiLevelType w:val="hybridMultilevel"/>
    <w:tmpl w:val="9A2C326C"/>
    <w:lvl w:ilvl="0" w:tplc="C8DAE960">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E6489A4">
      <w:start w:val="1"/>
      <w:numFmt w:val="lowerLetter"/>
      <w:lvlText w:val="%2)"/>
      <w:lvlJc w:val="left"/>
      <w:pPr>
        <w:ind w:left="1262"/>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654B57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D2D008EA">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CA2FBF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33882E1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DC6B04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7B54E97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08AC0BA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21" w15:restartNumberingAfterBreak="0">
    <w:nsid w:val="76707E4B"/>
    <w:multiLevelType w:val="hybridMultilevel"/>
    <w:tmpl w:val="90F0BD72"/>
    <w:lvl w:ilvl="0" w:tplc="5A1EB0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814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AA16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B827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8E2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069A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E41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460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BEF5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76DF2D0C"/>
    <w:multiLevelType w:val="hybridMultilevel"/>
    <w:tmpl w:val="BB5AFBE6"/>
    <w:lvl w:ilvl="0" w:tplc="70A4A068">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712DE0A">
      <w:start w:val="1"/>
      <w:numFmt w:val="lowerLetter"/>
      <w:lvlText w:val="%2)"/>
      <w:lvlJc w:val="left"/>
      <w:pPr>
        <w:ind w:left="4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9126D2A">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F72716C">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042EA8C">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5A85D3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20E7D6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C12D9EA">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760A32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3" w15:restartNumberingAfterBreak="0">
    <w:nsid w:val="7776426F"/>
    <w:multiLevelType w:val="hybridMultilevel"/>
    <w:tmpl w:val="BC7EE1AE"/>
    <w:lvl w:ilvl="0" w:tplc="85268066">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6FFEE56C">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07A0DFBC">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B2C25608">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02BAD99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EE4141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C7F6C92E">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723CE21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4BCC61E2">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324" w15:restartNumberingAfterBreak="0">
    <w:nsid w:val="777C34F1"/>
    <w:multiLevelType w:val="hybridMultilevel"/>
    <w:tmpl w:val="8D38471A"/>
    <w:lvl w:ilvl="0" w:tplc="3F56512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892A896C">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DF2B834">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1D164E98">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22AC2F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2A2E9B28">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7825DA0">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30FA780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4F887CC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25" w15:restartNumberingAfterBreak="0">
    <w:nsid w:val="784C5720"/>
    <w:multiLevelType w:val="hybridMultilevel"/>
    <w:tmpl w:val="39ACEE38"/>
    <w:lvl w:ilvl="0" w:tplc="7C1A905E">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D8D2B218">
      <w:start w:val="1"/>
      <w:numFmt w:val="lowerLetter"/>
      <w:lvlText w:val="%2"/>
      <w:lvlJc w:val="left"/>
      <w:pPr>
        <w:ind w:left="10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AEC8BD0C">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2C1ECD6C">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53E854F0">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FA205A74">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8D94D15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E60877E6">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1CD21B1C">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326" w15:restartNumberingAfterBreak="0">
    <w:nsid w:val="785821E9"/>
    <w:multiLevelType w:val="hybridMultilevel"/>
    <w:tmpl w:val="26ACDB0A"/>
    <w:lvl w:ilvl="0" w:tplc="B800906A">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CBE6418">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668EBAF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4908101E">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941ECBA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8EA604A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319A3CE6">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B51CA93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91FC0B9C">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27" w15:restartNumberingAfterBreak="0">
    <w:nsid w:val="785F1A4A"/>
    <w:multiLevelType w:val="hybridMultilevel"/>
    <w:tmpl w:val="9D6CBB2E"/>
    <w:lvl w:ilvl="0" w:tplc="6A6E7AFA">
      <w:start w:val="1"/>
      <w:numFmt w:val="bullet"/>
      <w:lvlText w:val="•"/>
      <w:lvlJc w:val="left"/>
      <w:pPr>
        <w:ind w:left="1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0EF3A">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8CFDD6">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1E8598">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4E14A2">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5C1138">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708E00">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FEE08A">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6A1D30">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8" w15:restartNumberingAfterBreak="0">
    <w:nsid w:val="79E34923"/>
    <w:multiLevelType w:val="hybridMultilevel"/>
    <w:tmpl w:val="00589DDC"/>
    <w:lvl w:ilvl="0" w:tplc="68921BCC">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D3FCECD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FABED09E">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B56EB662">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841EDE8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88639D6">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287C8384">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E0FE079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8B54AB94">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29" w15:restartNumberingAfterBreak="0">
    <w:nsid w:val="7A6F4EE3"/>
    <w:multiLevelType w:val="hybridMultilevel"/>
    <w:tmpl w:val="26422736"/>
    <w:lvl w:ilvl="0" w:tplc="991AE966">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0CCF23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63CE88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95AB8C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0F87A7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5AA9DE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3DA548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3AB08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D7ED9C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0" w15:restartNumberingAfterBreak="0">
    <w:nsid w:val="7AAF55B8"/>
    <w:multiLevelType w:val="hybridMultilevel"/>
    <w:tmpl w:val="95347E34"/>
    <w:lvl w:ilvl="0" w:tplc="FCB2C3B0">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B6BCBAC4">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94C8F90">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F2122A0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661246F0">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DBA835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773E14B2">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6C7E81A6">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32B00982">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31" w15:restartNumberingAfterBreak="0">
    <w:nsid w:val="7B647139"/>
    <w:multiLevelType w:val="hybridMultilevel"/>
    <w:tmpl w:val="BBD09054"/>
    <w:lvl w:ilvl="0" w:tplc="5CCEA9D4">
      <w:start w:val="1"/>
      <w:numFmt w:val="decimal"/>
      <w:lvlText w:val="%1"/>
      <w:lvlJc w:val="left"/>
      <w:pPr>
        <w:ind w:left="3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AFEED038">
      <w:start w:val="1"/>
      <w:numFmt w:val="lowerLetter"/>
      <w:lvlText w:val="%2"/>
      <w:lvlJc w:val="left"/>
      <w:pPr>
        <w:ind w:left="7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A7E47DF4">
      <w:start w:val="1"/>
      <w:numFmt w:val="lowerLetter"/>
      <w:lvlRestart w:val="0"/>
      <w:lvlText w:val="%3."/>
      <w:lvlJc w:val="left"/>
      <w:pPr>
        <w:ind w:left="1013"/>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98882432">
      <w:start w:val="1"/>
      <w:numFmt w:val="decimal"/>
      <w:lvlText w:val="%4"/>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DFDA6DD8">
      <w:start w:val="1"/>
      <w:numFmt w:val="lowerLetter"/>
      <w:lvlText w:val="%5"/>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6FD6C11C">
      <w:start w:val="1"/>
      <w:numFmt w:val="lowerRoman"/>
      <w:lvlText w:val="%6"/>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00C4AB26">
      <w:start w:val="1"/>
      <w:numFmt w:val="decimal"/>
      <w:lvlText w:val="%7"/>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455066C4">
      <w:start w:val="1"/>
      <w:numFmt w:val="lowerLetter"/>
      <w:lvlText w:val="%8"/>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E794C35E">
      <w:start w:val="1"/>
      <w:numFmt w:val="lowerRoman"/>
      <w:lvlText w:val="%9"/>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32" w15:restartNumberingAfterBreak="0">
    <w:nsid w:val="7C1D2E50"/>
    <w:multiLevelType w:val="hybridMultilevel"/>
    <w:tmpl w:val="BD1A1C3A"/>
    <w:lvl w:ilvl="0" w:tplc="1ED8AAE2">
      <w:start w:val="1"/>
      <w:numFmt w:val="decimal"/>
      <w:lvlText w:val="%1."/>
      <w:lvlJc w:val="left"/>
      <w:pPr>
        <w:ind w:left="278"/>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2D940712">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933E3622">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3500B6B0">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07A6ECAA">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E424D08A">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C0E0D6E6">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F6AA8BDA">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A4E4507E">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33" w15:restartNumberingAfterBreak="0">
    <w:nsid w:val="7C34188C"/>
    <w:multiLevelType w:val="hybridMultilevel"/>
    <w:tmpl w:val="F612D258"/>
    <w:lvl w:ilvl="0" w:tplc="24D8FDEC">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2B1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7E4A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C847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10FE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D864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F8C7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6E5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72B3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4" w15:restartNumberingAfterBreak="0">
    <w:nsid w:val="7C675431"/>
    <w:multiLevelType w:val="hybridMultilevel"/>
    <w:tmpl w:val="296C92AC"/>
    <w:lvl w:ilvl="0" w:tplc="77EC045C">
      <w:start w:val="1"/>
      <w:numFmt w:val="decimal"/>
      <w:lvlText w:val="%1."/>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03E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E479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E449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78B0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86BB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24AC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E5F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84FC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5" w15:restartNumberingAfterBreak="0">
    <w:nsid w:val="7CD30DEB"/>
    <w:multiLevelType w:val="hybridMultilevel"/>
    <w:tmpl w:val="25D81C9C"/>
    <w:lvl w:ilvl="0" w:tplc="D0DABB02">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E1E839DA">
      <w:start w:val="1"/>
      <w:numFmt w:val="bullet"/>
      <w:lvlText w:val="•"/>
      <w:lvlJc w:val="left"/>
      <w:pPr>
        <w:ind w:left="1003"/>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2" w:tplc="E6C4ADE2">
      <w:start w:val="1"/>
      <w:numFmt w:val="bullet"/>
      <w:lvlText w:val="▪"/>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2642FB40">
      <w:start w:val="1"/>
      <w:numFmt w:val="bullet"/>
      <w:lvlText w:val="•"/>
      <w:lvlJc w:val="left"/>
      <w:pPr>
        <w:ind w:left="216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81A89816">
      <w:start w:val="1"/>
      <w:numFmt w:val="bullet"/>
      <w:lvlText w:val="o"/>
      <w:lvlJc w:val="left"/>
      <w:pPr>
        <w:ind w:left="28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182E1ED6">
      <w:start w:val="1"/>
      <w:numFmt w:val="bullet"/>
      <w:lvlText w:val="▪"/>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8376A45A">
      <w:start w:val="1"/>
      <w:numFmt w:val="bullet"/>
      <w:lvlText w:val="•"/>
      <w:lvlJc w:val="left"/>
      <w:pPr>
        <w:ind w:left="432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7868B680">
      <w:start w:val="1"/>
      <w:numFmt w:val="bullet"/>
      <w:lvlText w:val="o"/>
      <w:lvlJc w:val="left"/>
      <w:pPr>
        <w:ind w:left="50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FA32FB06">
      <w:start w:val="1"/>
      <w:numFmt w:val="bullet"/>
      <w:lvlText w:val="▪"/>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336" w15:restartNumberingAfterBreak="0">
    <w:nsid w:val="7CD5537C"/>
    <w:multiLevelType w:val="hybridMultilevel"/>
    <w:tmpl w:val="F1862DE6"/>
    <w:lvl w:ilvl="0" w:tplc="1D84A028">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EAF7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D02B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5A5D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E680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A082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1AFA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678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ECEF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7" w15:restartNumberingAfterBreak="0">
    <w:nsid w:val="7CEA60E2"/>
    <w:multiLevelType w:val="hybridMultilevel"/>
    <w:tmpl w:val="1348FE9E"/>
    <w:lvl w:ilvl="0" w:tplc="7A9EA3BC">
      <w:start w:val="1"/>
      <w:numFmt w:val="lowerLetter"/>
      <w:lvlText w:val="%1)"/>
      <w:lvlJc w:val="left"/>
      <w:pPr>
        <w:ind w:left="10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FA9BE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724DA4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ECCBD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8E28FC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012132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A62898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5D8BDF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0DE1D4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8" w15:restartNumberingAfterBreak="0">
    <w:nsid w:val="7D062F1E"/>
    <w:multiLevelType w:val="hybridMultilevel"/>
    <w:tmpl w:val="BAB681E4"/>
    <w:lvl w:ilvl="0" w:tplc="88DCE018">
      <w:start w:val="1"/>
      <w:numFmt w:val="decimal"/>
      <w:lvlText w:val="%1."/>
      <w:lvlJc w:val="left"/>
      <w:pPr>
        <w:ind w:left="278"/>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88FE11EE">
      <w:start w:val="1"/>
      <w:numFmt w:val="lowerLetter"/>
      <w:lvlText w:val="%2)"/>
      <w:lvlJc w:val="left"/>
      <w:pPr>
        <w:ind w:left="1262"/>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555651CA">
      <w:start w:val="1"/>
      <w:numFmt w:val="lowerRoman"/>
      <w:lvlText w:val="%3"/>
      <w:lvlJc w:val="left"/>
      <w:pPr>
        <w:ind w:left="18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392A81B6">
      <w:start w:val="1"/>
      <w:numFmt w:val="decimal"/>
      <w:lvlText w:val="%4"/>
      <w:lvlJc w:val="left"/>
      <w:pPr>
        <w:ind w:left="25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C79E73E4">
      <w:start w:val="1"/>
      <w:numFmt w:val="lowerLetter"/>
      <w:lvlText w:val="%5"/>
      <w:lvlJc w:val="left"/>
      <w:pPr>
        <w:ind w:left="32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58CC0ADE">
      <w:start w:val="1"/>
      <w:numFmt w:val="lowerRoman"/>
      <w:lvlText w:val="%6"/>
      <w:lvlJc w:val="left"/>
      <w:pPr>
        <w:ind w:left="39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2CAE9D02">
      <w:start w:val="1"/>
      <w:numFmt w:val="decimal"/>
      <w:lvlText w:val="%7"/>
      <w:lvlJc w:val="left"/>
      <w:pPr>
        <w:ind w:left="46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FBE046A2">
      <w:start w:val="1"/>
      <w:numFmt w:val="lowerLetter"/>
      <w:lvlText w:val="%8"/>
      <w:lvlJc w:val="left"/>
      <w:pPr>
        <w:ind w:left="54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0E3C5226">
      <w:start w:val="1"/>
      <w:numFmt w:val="lowerRoman"/>
      <w:lvlText w:val="%9"/>
      <w:lvlJc w:val="left"/>
      <w:pPr>
        <w:ind w:left="61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339" w15:restartNumberingAfterBreak="0">
    <w:nsid w:val="7D087FEA"/>
    <w:multiLevelType w:val="hybridMultilevel"/>
    <w:tmpl w:val="0F86C918"/>
    <w:lvl w:ilvl="0" w:tplc="12023116">
      <w:start w:val="2"/>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BC4213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D548FE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A20C47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D90071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866924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44C55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C46BA0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BCEA9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0" w15:restartNumberingAfterBreak="0">
    <w:nsid w:val="7D574A0D"/>
    <w:multiLevelType w:val="hybridMultilevel"/>
    <w:tmpl w:val="53D6C5CC"/>
    <w:lvl w:ilvl="0" w:tplc="C9B4B17C">
      <w:start w:val="1"/>
      <w:numFmt w:val="decimal"/>
      <w:lvlText w:val="%1."/>
      <w:lvlJc w:val="left"/>
      <w:pPr>
        <w:ind w:left="515"/>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1" w:tplc="73C840BE">
      <w:start w:val="1"/>
      <w:numFmt w:val="lowerLetter"/>
      <w:lvlText w:val="%2"/>
      <w:lvlJc w:val="left"/>
      <w:pPr>
        <w:ind w:left="10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2" w:tplc="13B6B4AA">
      <w:start w:val="1"/>
      <w:numFmt w:val="lowerRoman"/>
      <w:lvlText w:val="%3"/>
      <w:lvlJc w:val="left"/>
      <w:pPr>
        <w:ind w:left="18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3" w:tplc="82AEBC5C">
      <w:start w:val="1"/>
      <w:numFmt w:val="decimal"/>
      <w:lvlText w:val="%4"/>
      <w:lvlJc w:val="left"/>
      <w:pPr>
        <w:ind w:left="25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4" w:tplc="B20276D2">
      <w:start w:val="1"/>
      <w:numFmt w:val="lowerLetter"/>
      <w:lvlText w:val="%5"/>
      <w:lvlJc w:val="left"/>
      <w:pPr>
        <w:ind w:left="324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5" w:tplc="F3521532">
      <w:start w:val="1"/>
      <w:numFmt w:val="lowerRoman"/>
      <w:lvlText w:val="%6"/>
      <w:lvlJc w:val="left"/>
      <w:pPr>
        <w:ind w:left="396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6" w:tplc="844AA318">
      <w:start w:val="1"/>
      <w:numFmt w:val="decimal"/>
      <w:lvlText w:val="%7"/>
      <w:lvlJc w:val="left"/>
      <w:pPr>
        <w:ind w:left="468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7" w:tplc="5D46B3DE">
      <w:start w:val="1"/>
      <w:numFmt w:val="lowerLetter"/>
      <w:lvlText w:val="%8"/>
      <w:lvlJc w:val="left"/>
      <w:pPr>
        <w:ind w:left="540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lvl w:ilvl="8" w:tplc="C126451A">
      <w:start w:val="1"/>
      <w:numFmt w:val="lowerRoman"/>
      <w:lvlText w:val="%9"/>
      <w:lvlJc w:val="left"/>
      <w:pPr>
        <w:ind w:left="6120"/>
      </w:pPr>
      <w:rPr>
        <w:rFonts w:ascii="Arial" w:eastAsia="Arial" w:hAnsi="Arial" w:cs="Arial"/>
        <w:b w:val="0"/>
        <w:i/>
        <w:iCs/>
        <w:strike w:val="0"/>
        <w:dstrike w:val="0"/>
        <w:color w:val="202020"/>
        <w:sz w:val="22"/>
        <w:szCs w:val="22"/>
        <w:u w:val="none" w:color="000000"/>
        <w:bdr w:val="none" w:sz="0" w:space="0" w:color="auto"/>
        <w:shd w:val="clear" w:color="auto" w:fill="auto"/>
        <w:vertAlign w:val="baseline"/>
      </w:rPr>
    </w:lvl>
  </w:abstractNum>
  <w:abstractNum w:abstractNumId="341" w15:restartNumberingAfterBreak="0">
    <w:nsid w:val="7DC544AB"/>
    <w:multiLevelType w:val="hybridMultilevel"/>
    <w:tmpl w:val="36CEC642"/>
    <w:lvl w:ilvl="0" w:tplc="8D0A30BC">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AE237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43C17C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39CB2B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54BD6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18A038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86AC1A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B1050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57219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2" w15:restartNumberingAfterBreak="0">
    <w:nsid w:val="7EBD60CB"/>
    <w:multiLevelType w:val="hybridMultilevel"/>
    <w:tmpl w:val="47423E64"/>
    <w:lvl w:ilvl="0" w:tplc="12DA74E8">
      <w:start w:val="2"/>
      <w:numFmt w:val="upperLetter"/>
      <w:lvlText w:val="%1)"/>
      <w:lvlJc w:val="left"/>
      <w:pPr>
        <w:ind w:left="10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952E46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4B0FC9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DE69EC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E164C0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AAA3B5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E2C332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9EFC2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048F9C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43" w15:restartNumberingAfterBreak="0">
    <w:nsid w:val="7EFA17A8"/>
    <w:multiLevelType w:val="hybridMultilevel"/>
    <w:tmpl w:val="90022350"/>
    <w:lvl w:ilvl="0" w:tplc="1F72CE9A">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54154A">
      <w:start w:val="1"/>
      <w:numFmt w:val="bullet"/>
      <w:lvlText w:val="o"/>
      <w:lvlJc w:val="left"/>
      <w:pPr>
        <w:ind w:left="1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84C4F0">
      <w:start w:val="1"/>
      <w:numFmt w:val="bullet"/>
      <w:lvlText w:val="▪"/>
      <w:lvlJc w:val="left"/>
      <w:pPr>
        <w:ind w:left="2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860CC4">
      <w:start w:val="1"/>
      <w:numFmt w:val="bullet"/>
      <w:lvlText w:val="•"/>
      <w:lvlJc w:val="left"/>
      <w:pPr>
        <w:ind w:left="2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E2ED70">
      <w:start w:val="1"/>
      <w:numFmt w:val="bullet"/>
      <w:lvlText w:val="o"/>
      <w:lvlJc w:val="left"/>
      <w:pPr>
        <w:ind w:left="3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24C70E">
      <w:start w:val="1"/>
      <w:numFmt w:val="bullet"/>
      <w:lvlText w:val="▪"/>
      <w:lvlJc w:val="left"/>
      <w:pPr>
        <w:ind w:left="4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7AA98E">
      <w:start w:val="1"/>
      <w:numFmt w:val="bullet"/>
      <w:lvlText w:val="•"/>
      <w:lvlJc w:val="left"/>
      <w:pPr>
        <w:ind w:left="5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1CF13A">
      <w:start w:val="1"/>
      <w:numFmt w:val="bullet"/>
      <w:lvlText w:val="o"/>
      <w:lvlJc w:val="left"/>
      <w:pPr>
        <w:ind w:left="5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AAA4F0">
      <w:start w:val="1"/>
      <w:numFmt w:val="bullet"/>
      <w:lvlText w:val="▪"/>
      <w:lvlJc w:val="left"/>
      <w:pPr>
        <w:ind w:left="6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42"/>
  </w:num>
  <w:num w:numId="2">
    <w:abstractNumId w:val="296"/>
  </w:num>
  <w:num w:numId="3">
    <w:abstractNumId w:val="162"/>
  </w:num>
  <w:num w:numId="4">
    <w:abstractNumId w:val="50"/>
  </w:num>
  <w:num w:numId="5">
    <w:abstractNumId w:val="313"/>
  </w:num>
  <w:num w:numId="6">
    <w:abstractNumId w:val="309"/>
  </w:num>
  <w:num w:numId="7">
    <w:abstractNumId w:val="120"/>
  </w:num>
  <w:num w:numId="8">
    <w:abstractNumId w:val="63"/>
  </w:num>
  <w:num w:numId="9">
    <w:abstractNumId w:val="174"/>
  </w:num>
  <w:num w:numId="10">
    <w:abstractNumId w:val="250"/>
  </w:num>
  <w:num w:numId="11">
    <w:abstractNumId w:val="262"/>
  </w:num>
  <w:num w:numId="12">
    <w:abstractNumId w:val="30"/>
  </w:num>
  <w:num w:numId="13">
    <w:abstractNumId w:val="265"/>
  </w:num>
  <w:num w:numId="14">
    <w:abstractNumId w:val="294"/>
  </w:num>
  <w:num w:numId="15">
    <w:abstractNumId w:val="157"/>
  </w:num>
  <w:num w:numId="16">
    <w:abstractNumId w:val="343"/>
  </w:num>
  <w:num w:numId="17">
    <w:abstractNumId w:val="71"/>
  </w:num>
  <w:num w:numId="18">
    <w:abstractNumId w:val="143"/>
  </w:num>
  <w:num w:numId="19">
    <w:abstractNumId w:val="36"/>
  </w:num>
  <w:num w:numId="20">
    <w:abstractNumId w:val="249"/>
  </w:num>
  <w:num w:numId="21">
    <w:abstractNumId w:val="69"/>
  </w:num>
  <w:num w:numId="22">
    <w:abstractNumId w:val="90"/>
  </w:num>
  <w:num w:numId="23">
    <w:abstractNumId w:val="307"/>
  </w:num>
  <w:num w:numId="24">
    <w:abstractNumId w:val="129"/>
  </w:num>
  <w:num w:numId="25">
    <w:abstractNumId w:val="303"/>
  </w:num>
  <w:num w:numId="26">
    <w:abstractNumId w:val="320"/>
  </w:num>
  <w:num w:numId="27">
    <w:abstractNumId w:val="172"/>
  </w:num>
  <w:num w:numId="28">
    <w:abstractNumId w:val="180"/>
  </w:num>
  <w:num w:numId="29">
    <w:abstractNumId w:val="12"/>
  </w:num>
  <w:num w:numId="30">
    <w:abstractNumId w:val="43"/>
  </w:num>
  <w:num w:numId="31">
    <w:abstractNumId w:val="264"/>
  </w:num>
  <w:num w:numId="32">
    <w:abstractNumId w:val="230"/>
  </w:num>
  <w:num w:numId="33">
    <w:abstractNumId w:val="37"/>
  </w:num>
  <w:num w:numId="34">
    <w:abstractNumId w:val="64"/>
  </w:num>
  <w:num w:numId="35">
    <w:abstractNumId w:val="100"/>
  </w:num>
  <w:num w:numId="36">
    <w:abstractNumId w:val="263"/>
  </w:num>
  <w:num w:numId="37">
    <w:abstractNumId w:val="135"/>
  </w:num>
  <w:num w:numId="38">
    <w:abstractNumId w:val="6"/>
  </w:num>
  <w:num w:numId="39">
    <w:abstractNumId w:val="53"/>
  </w:num>
  <w:num w:numId="40">
    <w:abstractNumId w:val="91"/>
  </w:num>
  <w:num w:numId="41">
    <w:abstractNumId w:val="268"/>
  </w:num>
  <w:num w:numId="42">
    <w:abstractNumId w:val="144"/>
  </w:num>
  <w:num w:numId="43">
    <w:abstractNumId w:val="232"/>
  </w:num>
  <w:num w:numId="44">
    <w:abstractNumId w:val="112"/>
  </w:num>
  <w:num w:numId="45">
    <w:abstractNumId w:val="93"/>
  </w:num>
  <w:num w:numId="46">
    <w:abstractNumId w:val="75"/>
  </w:num>
  <w:num w:numId="47">
    <w:abstractNumId w:val="213"/>
  </w:num>
  <w:num w:numId="48">
    <w:abstractNumId w:val="182"/>
  </w:num>
  <w:num w:numId="49">
    <w:abstractNumId w:val="163"/>
  </w:num>
  <w:num w:numId="50">
    <w:abstractNumId w:val="108"/>
  </w:num>
  <w:num w:numId="51">
    <w:abstractNumId w:val="149"/>
  </w:num>
  <w:num w:numId="52">
    <w:abstractNumId w:val="171"/>
  </w:num>
  <w:num w:numId="53">
    <w:abstractNumId w:val="311"/>
  </w:num>
  <w:num w:numId="54">
    <w:abstractNumId w:val="176"/>
  </w:num>
  <w:num w:numId="55">
    <w:abstractNumId w:val="329"/>
  </w:num>
  <w:num w:numId="56">
    <w:abstractNumId w:val="44"/>
  </w:num>
  <w:num w:numId="57">
    <w:abstractNumId w:val="302"/>
  </w:num>
  <w:num w:numId="58">
    <w:abstractNumId w:val="134"/>
  </w:num>
  <w:num w:numId="59">
    <w:abstractNumId w:val="21"/>
  </w:num>
  <w:num w:numId="60">
    <w:abstractNumId w:val="34"/>
  </w:num>
  <w:num w:numId="61">
    <w:abstractNumId w:val="339"/>
  </w:num>
  <w:num w:numId="62">
    <w:abstractNumId w:val="1"/>
  </w:num>
  <w:num w:numId="63">
    <w:abstractNumId w:val="242"/>
  </w:num>
  <w:num w:numId="64">
    <w:abstractNumId w:val="223"/>
  </w:num>
  <w:num w:numId="65">
    <w:abstractNumId w:val="147"/>
  </w:num>
  <w:num w:numId="66">
    <w:abstractNumId w:val="290"/>
  </w:num>
  <w:num w:numId="67">
    <w:abstractNumId w:val="18"/>
  </w:num>
  <w:num w:numId="68">
    <w:abstractNumId w:val="324"/>
  </w:num>
  <w:num w:numId="69">
    <w:abstractNumId w:val="9"/>
  </w:num>
  <w:num w:numId="70">
    <w:abstractNumId w:val="121"/>
  </w:num>
  <w:num w:numId="71">
    <w:abstractNumId w:val="131"/>
  </w:num>
  <w:num w:numId="72">
    <w:abstractNumId w:val="23"/>
  </w:num>
  <w:num w:numId="73">
    <w:abstractNumId w:val="251"/>
  </w:num>
  <w:num w:numId="74">
    <w:abstractNumId w:val="27"/>
  </w:num>
  <w:num w:numId="75">
    <w:abstractNumId w:val="141"/>
  </w:num>
  <w:num w:numId="76">
    <w:abstractNumId w:val="252"/>
  </w:num>
  <w:num w:numId="77">
    <w:abstractNumId w:val="299"/>
  </w:num>
  <w:num w:numId="78">
    <w:abstractNumId w:val="68"/>
  </w:num>
  <w:num w:numId="79">
    <w:abstractNumId w:val="317"/>
  </w:num>
  <w:num w:numId="80">
    <w:abstractNumId w:val="119"/>
  </w:num>
  <w:num w:numId="81">
    <w:abstractNumId w:val="55"/>
  </w:num>
  <w:num w:numId="82">
    <w:abstractNumId w:val="335"/>
  </w:num>
  <w:num w:numId="83">
    <w:abstractNumId w:val="214"/>
  </w:num>
  <w:num w:numId="84">
    <w:abstractNumId w:val="255"/>
  </w:num>
  <w:num w:numId="85">
    <w:abstractNumId w:val="14"/>
  </w:num>
  <w:num w:numId="86">
    <w:abstractNumId w:val="207"/>
  </w:num>
  <w:num w:numId="87">
    <w:abstractNumId w:val="328"/>
  </w:num>
  <w:num w:numId="88">
    <w:abstractNumId w:val="257"/>
  </w:num>
  <w:num w:numId="89">
    <w:abstractNumId w:val="56"/>
  </w:num>
  <w:num w:numId="90">
    <w:abstractNumId w:val="318"/>
  </w:num>
  <w:num w:numId="91">
    <w:abstractNumId w:val="287"/>
  </w:num>
  <w:num w:numId="92">
    <w:abstractNumId w:val="146"/>
  </w:num>
  <w:num w:numId="93">
    <w:abstractNumId w:val="11"/>
  </w:num>
  <w:num w:numId="94">
    <w:abstractNumId w:val="220"/>
  </w:num>
  <w:num w:numId="95">
    <w:abstractNumId w:val="45"/>
  </w:num>
  <w:num w:numId="96">
    <w:abstractNumId w:val="340"/>
  </w:num>
  <w:num w:numId="97">
    <w:abstractNumId w:val="128"/>
  </w:num>
  <w:num w:numId="98">
    <w:abstractNumId w:val="278"/>
  </w:num>
  <w:num w:numId="99">
    <w:abstractNumId w:val="270"/>
  </w:num>
  <w:num w:numId="100">
    <w:abstractNumId w:val="304"/>
  </w:num>
  <w:num w:numId="101">
    <w:abstractNumId w:val="39"/>
  </w:num>
  <w:num w:numId="102">
    <w:abstractNumId w:val="138"/>
  </w:num>
  <w:num w:numId="103">
    <w:abstractNumId w:val="22"/>
  </w:num>
  <w:num w:numId="104">
    <w:abstractNumId w:val="105"/>
  </w:num>
  <w:num w:numId="105">
    <w:abstractNumId w:val="145"/>
  </w:num>
  <w:num w:numId="106">
    <w:abstractNumId w:val="323"/>
  </w:num>
  <w:num w:numId="107">
    <w:abstractNumId w:val="234"/>
  </w:num>
  <w:num w:numId="108">
    <w:abstractNumId w:val="277"/>
  </w:num>
  <w:num w:numId="109">
    <w:abstractNumId w:val="62"/>
  </w:num>
  <w:num w:numId="110">
    <w:abstractNumId w:val="194"/>
  </w:num>
  <w:num w:numId="111">
    <w:abstractNumId w:val="118"/>
  </w:num>
  <w:num w:numId="112">
    <w:abstractNumId w:val="229"/>
  </w:num>
  <w:num w:numId="113">
    <w:abstractNumId w:val="325"/>
  </w:num>
  <w:num w:numId="114">
    <w:abstractNumId w:val="140"/>
  </w:num>
  <w:num w:numId="115">
    <w:abstractNumId w:val="239"/>
  </w:num>
  <w:num w:numId="116">
    <w:abstractNumId w:val="166"/>
  </w:num>
  <w:num w:numId="117">
    <w:abstractNumId w:val="49"/>
  </w:num>
  <w:num w:numId="118">
    <w:abstractNumId w:val="181"/>
  </w:num>
  <w:num w:numId="119">
    <w:abstractNumId w:val="338"/>
  </w:num>
  <w:num w:numId="120">
    <w:abstractNumId w:val="275"/>
  </w:num>
  <w:num w:numId="121">
    <w:abstractNumId w:val="111"/>
  </w:num>
  <w:num w:numId="122">
    <w:abstractNumId w:val="288"/>
  </w:num>
  <w:num w:numId="123">
    <w:abstractNumId w:val="103"/>
  </w:num>
  <w:num w:numId="124">
    <w:abstractNumId w:val="115"/>
  </w:num>
  <w:num w:numId="125">
    <w:abstractNumId w:val="130"/>
  </w:num>
  <w:num w:numId="126">
    <w:abstractNumId w:val="235"/>
  </w:num>
  <w:num w:numId="127">
    <w:abstractNumId w:val="206"/>
  </w:num>
  <w:num w:numId="128">
    <w:abstractNumId w:val="20"/>
  </w:num>
  <w:num w:numId="129">
    <w:abstractNumId w:val="81"/>
  </w:num>
  <w:num w:numId="130">
    <w:abstractNumId w:val="190"/>
  </w:num>
  <w:num w:numId="131">
    <w:abstractNumId w:val="60"/>
  </w:num>
  <w:num w:numId="132">
    <w:abstractNumId w:val="167"/>
  </w:num>
  <w:num w:numId="133">
    <w:abstractNumId w:val="85"/>
  </w:num>
  <w:num w:numId="134">
    <w:abstractNumId w:val="224"/>
  </w:num>
  <w:num w:numId="135">
    <w:abstractNumId w:val="41"/>
  </w:num>
  <w:num w:numId="136">
    <w:abstractNumId w:val="184"/>
  </w:num>
  <w:num w:numId="137">
    <w:abstractNumId w:val="54"/>
  </w:num>
  <w:num w:numId="138">
    <w:abstractNumId w:val="208"/>
  </w:num>
  <w:num w:numId="139">
    <w:abstractNumId w:val="31"/>
  </w:num>
  <w:num w:numId="140">
    <w:abstractNumId w:val="32"/>
  </w:num>
  <w:num w:numId="141">
    <w:abstractNumId w:val="74"/>
  </w:num>
  <w:num w:numId="142">
    <w:abstractNumId w:val="113"/>
  </w:num>
  <w:num w:numId="143">
    <w:abstractNumId w:val="46"/>
  </w:num>
  <w:num w:numId="144">
    <w:abstractNumId w:val="334"/>
  </w:num>
  <w:num w:numId="145">
    <w:abstractNumId w:val="316"/>
  </w:num>
  <w:num w:numId="146">
    <w:abstractNumId w:val="333"/>
  </w:num>
  <w:num w:numId="147">
    <w:abstractNumId w:val="312"/>
  </w:num>
  <w:num w:numId="148">
    <w:abstractNumId w:val="122"/>
  </w:num>
  <w:num w:numId="149">
    <w:abstractNumId w:val="125"/>
  </w:num>
  <w:num w:numId="150">
    <w:abstractNumId w:val="237"/>
  </w:num>
  <w:num w:numId="151">
    <w:abstractNumId w:val="25"/>
  </w:num>
  <w:num w:numId="152">
    <w:abstractNumId w:val="238"/>
  </w:num>
  <w:num w:numId="153">
    <w:abstractNumId w:val="197"/>
  </w:num>
  <w:num w:numId="154">
    <w:abstractNumId w:val="284"/>
  </w:num>
  <w:num w:numId="155">
    <w:abstractNumId w:val="150"/>
  </w:num>
  <w:num w:numId="156">
    <w:abstractNumId w:val="319"/>
  </w:num>
  <w:num w:numId="157">
    <w:abstractNumId w:val="292"/>
  </w:num>
  <w:num w:numId="158">
    <w:abstractNumId w:val="241"/>
  </w:num>
  <w:num w:numId="159">
    <w:abstractNumId w:val="79"/>
  </w:num>
  <w:num w:numId="160">
    <w:abstractNumId w:val="281"/>
  </w:num>
  <w:num w:numId="161">
    <w:abstractNumId w:val="253"/>
  </w:num>
  <w:num w:numId="162">
    <w:abstractNumId w:val="210"/>
  </w:num>
  <w:num w:numId="163">
    <w:abstractNumId w:val="57"/>
  </w:num>
  <w:num w:numId="164">
    <w:abstractNumId w:val="179"/>
  </w:num>
  <w:num w:numId="165">
    <w:abstractNumId w:val="282"/>
  </w:num>
  <w:num w:numId="166">
    <w:abstractNumId w:val="132"/>
  </w:num>
  <w:num w:numId="167">
    <w:abstractNumId w:val="314"/>
  </w:num>
  <w:num w:numId="168">
    <w:abstractNumId w:val="66"/>
  </w:num>
  <w:num w:numId="169">
    <w:abstractNumId w:val="247"/>
  </w:num>
  <w:num w:numId="170">
    <w:abstractNumId w:val="227"/>
  </w:num>
  <w:num w:numId="171">
    <w:abstractNumId w:val="161"/>
  </w:num>
  <w:num w:numId="172">
    <w:abstractNumId w:val="97"/>
  </w:num>
  <w:num w:numId="173">
    <w:abstractNumId w:val="70"/>
  </w:num>
  <w:num w:numId="174">
    <w:abstractNumId w:val="72"/>
  </w:num>
  <w:num w:numId="175">
    <w:abstractNumId w:val="187"/>
  </w:num>
  <w:num w:numId="176">
    <w:abstractNumId w:val="261"/>
  </w:num>
  <w:num w:numId="177">
    <w:abstractNumId w:val="59"/>
  </w:num>
  <w:num w:numId="178">
    <w:abstractNumId w:val="26"/>
  </w:num>
  <w:num w:numId="179">
    <w:abstractNumId w:val="80"/>
  </w:num>
  <w:num w:numId="180">
    <w:abstractNumId w:val="204"/>
  </w:num>
  <w:num w:numId="181">
    <w:abstractNumId w:val="272"/>
  </w:num>
  <w:num w:numId="182">
    <w:abstractNumId w:val="286"/>
  </w:num>
  <w:num w:numId="183">
    <w:abstractNumId w:val="297"/>
  </w:num>
  <w:num w:numId="184">
    <w:abstractNumId w:val="226"/>
  </w:num>
  <w:num w:numId="185">
    <w:abstractNumId w:val="76"/>
  </w:num>
  <w:num w:numId="186">
    <w:abstractNumId w:val="33"/>
  </w:num>
  <w:num w:numId="187">
    <w:abstractNumId w:val="175"/>
  </w:num>
  <w:num w:numId="188">
    <w:abstractNumId w:val="200"/>
  </w:num>
  <w:num w:numId="189">
    <w:abstractNumId w:val="106"/>
  </w:num>
  <w:num w:numId="190">
    <w:abstractNumId w:val="331"/>
  </w:num>
  <w:num w:numId="191">
    <w:abstractNumId w:val="203"/>
  </w:num>
  <w:num w:numId="192">
    <w:abstractNumId w:val="310"/>
  </w:num>
  <w:num w:numId="193">
    <w:abstractNumId w:val="4"/>
  </w:num>
  <w:num w:numId="194">
    <w:abstractNumId w:val="164"/>
  </w:num>
  <w:num w:numId="195">
    <w:abstractNumId w:val="114"/>
  </w:num>
  <w:num w:numId="196">
    <w:abstractNumId w:val="240"/>
  </w:num>
  <w:num w:numId="197">
    <w:abstractNumId w:val="133"/>
  </w:num>
  <w:num w:numId="198">
    <w:abstractNumId w:val="67"/>
  </w:num>
  <w:num w:numId="199">
    <w:abstractNumId w:val="222"/>
  </w:num>
  <w:num w:numId="200">
    <w:abstractNumId w:val="301"/>
  </w:num>
  <w:num w:numId="201">
    <w:abstractNumId w:val="16"/>
  </w:num>
  <w:num w:numId="202">
    <w:abstractNumId w:val="58"/>
  </w:num>
  <w:num w:numId="203">
    <w:abstractNumId w:val="205"/>
  </w:num>
  <w:num w:numId="204">
    <w:abstractNumId w:val="73"/>
  </w:num>
  <w:num w:numId="205">
    <w:abstractNumId w:val="330"/>
  </w:num>
  <w:num w:numId="206">
    <w:abstractNumId w:val="82"/>
  </w:num>
  <w:num w:numId="207">
    <w:abstractNumId w:val="127"/>
  </w:num>
  <w:num w:numId="208">
    <w:abstractNumId w:val="24"/>
  </w:num>
  <w:num w:numId="209">
    <w:abstractNumId w:val="155"/>
  </w:num>
  <w:num w:numId="210">
    <w:abstractNumId w:val="322"/>
  </w:num>
  <w:num w:numId="211">
    <w:abstractNumId w:val="269"/>
  </w:num>
  <w:num w:numId="212">
    <w:abstractNumId w:val="248"/>
  </w:num>
  <w:num w:numId="213">
    <w:abstractNumId w:val="217"/>
  </w:num>
  <w:num w:numId="214">
    <w:abstractNumId w:val="211"/>
  </w:num>
  <w:num w:numId="215">
    <w:abstractNumId w:val="83"/>
  </w:num>
  <w:num w:numId="216">
    <w:abstractNumId w:val="7"/>
  </w:num>
  <w:num w:numId="217">
    <w:abstractNumId w:val="10"/>
  </w:num>
  <w:num w:numId="218">
    <w:abstractNumId w:val="215"/>
  </w:num>
  <w:num w:numId="219">
    <w:abstractNumId w:val="271"/>
  </w:num>
  <w:num w:numId="220">
    <w:abstractNumId w:val="289"/>
  </w:num>
  <w:num w:numId="221">
    <w:abstractNumId w:val="86"/>
  </w:num>
  <w:num w:numId="222">
    <w:abstractNumId w:val="291"/>
  </w:num>
  <w:num w:numId="223">
    <w:abstractNumId w:val="159"/>
  </w:num>
  <w:num w:numId="224">
    <w:abstractNumId w:val="201"/>
  </w:num>
  <w:num w:numId="225">
    <w:abstractNumId w:val="341"/>
  </w:num>
  <w:num w:numId="226">
    <w:abstractNumId w:val="256"/>
  </w:num>
  <w:num w:numId="227">
    <w:abstractNumId w:val="244"/>
  </w:num>
  <w:num w:numId="228">
    <w:abstractNumId w:val="295"/>
  </w:num>
  <w:num w:numId="229">
    <w:abstractNumId w:val="332"/>
  </w:num>
  <w:num w:numId="230">
    <w:abstractNumId w:val="165"/>
  </w:num>
  <w:num w:numId="231">
    <w:abstractNumId w:val="107"/>
  </w:num>
  <w:num w:numId="232">
    <w:abstractNumId w:val="258"/>
  </w:num>
  <w:num w:numId="233">
    <w:abstractNumId w:val="28"/>
  </w:num>
  <w:num w:numId="234">
    <w:abstractNumId w:val="192"/>
  </w:num>
  <w:num w:numId="235">
    <w:abstractNumId w:val="78"/>
  </w:num>
  <w:num w:numId="236">
    <w:abstractNumId w:val="169"/>
  </w:num>
  <w:num w:numId="237">
    <w:abstractNumId w:val="13"/>
  </w:num>
  <w:num w:numId="238">
    <w:abstractNumId w:val="156"/>
  </w:num>
  <w:num w:numId="239">
    <w:abstractNumId w:val="15"/>
  </w:num>
  <w:num w:numId="240">
    <w:abstractNumId w:val="126"/>
  </w:num>
  <w:num w:numId="241">
    <w:abstractNumId w:val="233"/>
  </w:num>
  <w:num w:numId="242">
    <w:abstractNumId w:val="305"/>
  </w:num>
  <w:num w:numId="243">
    <w:abstractNumId w:val="117"/>
  </w:num>
  <w:num w:numId="244">
    <w:abstractNumId w:val="84"/>
  </w:num>
  <w:num w:numId="245">
    <w:abstractNumId w:val="104"/>
  </w:num>
  <w:num w:numId="246">
    <w:abstractNumId w:val="151"/>
  </w:num>
  <w:num w:numId="247">
    <w:abstractNumId w:val="98"/>
  </w:num>
  <w:num w:numId="248">
    <w:abstractNumId w:val="188"/>
  </w:num>
  <w:num w:numId="249">
    <w:abstractNumId w:val="315"/>
  </w:num>
  <w:num w:numId="250">
    <w:abstractNumId w:val="173"/>
  </w:num>
  <w:num w:numId="251">
    <w:abstractNumId w:val="0"/>
  </w:num>
  <w:num w:numId="252">
    <w:abstractNumId w:val="160"/>
  </w:num>
  <w:num w:numId="253">
    <w:abstractNumId w:val="274"/>
  </w:num>
  <w:num w:numId="254">
    <w:abstractNumId w:val="326"/>
  </w:num>
  <w:num w:numId="255">
    <w:abstractNumId w:val="267"/>
  </w:num>
  <w:num w:numId="256">
    <w:abstractNumId w:val="225"/>
  </w:num>
  <w:num w:numId="257">
    <w:abstractNumId w:val="178"/>
  </w:num>
  <w:num w:numId="258">
    <w:abstractNumId w:val="88"/>
  </w:num>
  <w:num w:numId="259">
    <w:abstractNumId w:val="101"/>
  </w:num>
  <w:num w:numId="260">
    <w:abstractNumId w:val="137"/>
  </w:num>
  <w:num w:numId="261">
    <w:abstractNumId w:val="195"/>
  </w:num>
  <w:num w:numId="262">
    <w:abstractNumId w:val="327"/>
  </w:num>
  <w:num w:numId="263">
    <w:abstractNumId w:val="40"/>
  </w:num>
  <w:num w:numId="264">
    <w:abstractNumId w:val="48"/>
  </w:num>
  <w:num w:numId="265">
    <w:abstractNumId w:val="199"/>
  </w:num>
  <w:num w:numId="266">
    <w:abstractNumId w:val="231"/>
  </w:num>
  <w:num w:numId="267">
    <w:abstractNumId w:val="42"/>
  </w:num>
  <w:num w:numId="268">
    <w:abstractNumId w:val="2"/>
  </w:num>
  <w:num w:numId="269">
    <w:abstractNumId w:val="212"/>
  </w:num>
  <w:num w:numId="270">
    <w:abstractNumId w:val="139"/>
  </w:num>
  <w:num w:numId="271">
    <w:abstractNumId w:val="51"/>
  </w:num>
  <w:num w:numId="272">
    <w:abstractNumId w:val="186"/>
  </w:num>
  <w:num w:numId="273">
    <w:abstractNumId w:val="280"/>
  </w:num>
  <w:num w:numId="274">
    <w:abstractNumId w:val="92"/>
  </w:num>
  <w:num w:numId="275">
    <w:abstractNumId w:val="336"/>
  </w:num>
  <w:num w:numId="276">
    <w:abstractNumId w:val="123"/>
  </w:num>
  <w:num w:numId="277">
    <w:abstractNumId w:val="52"/>
  </w:num>
  <w:num w:numId="278">
    <w:abstractNumId w:val="293"/>
  </w:num>
  <w:num w:numId="279">
    <w:abstractNumId w:val="273"/>
  </w:num>
  <w:num w:numId="280">
    <w:abstractNumId w:val="276"/>
  </w:num>
  <w:num w:numId="281">
    <w:abstractNumId w:val="154"/>
  </w:num>
  <w:num w:numId="282">
    <w:abstractNumId w:val="219"/>
  </w:num>
  <w:num w:numId="283">
    <w:abstractNumId w:val="191"/>
  </w:num>
  <w:num w:numId="284">
    <w:abstractNumId w:val="124"/>
  </w:num>
  <w:num w:numId="285">
    <w:abstractNumId w:val="152"/>
  </w:num>
  <w:num w:numId="286">
    <w:abstractNumId w:val="17"/>
  </w:num>
  <w:num w:numId="287">
    <w:abstractNumId w:val="77"/>
  </w:num>
  <w:num w:numId="288">
    <w:abstractNumId w:val="266"/>
  </w:num>
  <w:num w:numId="289">
    <w:abstractNumId w:val="246"/>
  </w:num>
  <w:num w:numId="290">
    <w:abstractNumId w:val="99"/>
  </w:num>
  <w:num w:numId="291">
    <w:abstractNumId w:val="300"/>
  </w:num>
  <w:num w:numId="292">
    <w:abstractNumId w:val="183"/>
  </w:num>
  <w:num w:numId="293">
    <w:abstractNumId w:val="38"/>
  </w:num>
  <w:num w:numId="294">
    <w:abstractNumId w:val="221"/>
  </w:num>
  <w:num w:numId="295">
    <w:abstractNumId w:val="65"/>
  </w:num>
  <w:num w:numId="296">
    <w:abstractNumId w:val="89"/>
  </w:num>
  <w:num w:numId="297">
    <w:abstractNumId w:val="279"/>
  </w:num>
  <w:num w:numId="298">
    <w:abstractNumId w:val="110"/>
  </w:num>
  <w:num w:numId="299">
    <w:abstractNumId w:val="228"/>
  </w:num>
  <w:num w:numId="300">
    <w:abstractNumId w:val="321"/>
  </w:num>
  <w:num w:numId="301">
    <w:abstractNumId w:val="236"/>
  </w:num>
  <w:num w:numId="302">
    <w:abstractNumId w:val="218"/>
  </w:num>
  <w:num w:numId="303">
    <w:abstractNumId w:val="243"/>
  </w:num>
  <w:num w:numId="304">
    <w:abstractNumId w:val="47"/>
  </w:num>
  <w:num w:numId="305">
    <w:abstractNumId w:val="198"/>
  </w:num>
  <w:num w:numId="306">
    <w:abstractNumId w:val="116"/>
  </w:num>
  <w:num w:numId="307">
    <w:abstractNumId w:val="158"/>
  </w:num>
  <w:num w:numId="308">
    <w:abstractNumId w:val="254"/>
  </w:num>
  <w:num w:numId="309">
    <w:abstractNumId w:val="95"/>
  </w:num>
  <w:num w:numId="310">
    <w:abstractNumId w:val="148"/>
  </w:num>
  <w:num w:numId="311">
    <w:abstractNumId w:val="285"/>
  </w:num>
  <w:num w:numId="312">
    <w:abstractNumId w:val="96"/>
  </w:num>
  <w:num w:numId="313">
    <w:abstractNumId w:val="87"/>
  </w:num>
  <w:num w:numId="314">
    <w:abstractNumId w:val="245"/>
  </w:num>
  <w:num w:numId="315">
    <w:abstractNumId w:val="35"/>
  </w:num>
  <w:num w:numId="316">
    <w:abstractNumId w:val="94"/>
  </w:num>
  <w:num w:numId="317">
    <w:abstractNumId w:val="142"/>
  </w:num>
  <w:num w:numId="318">
    <w:abstractNumId w:val="298"/>
  </w:num>
  <w:num w:numId="319">
    <w:abstractNumId w:val="109"/>
  </w:num>
  <w:num w:numId="320">
    <w:abstractNumId w:val="168"/>
  </w:num>
  <w:num w:numId="321">
    <w:abstractNumId w:val="177"/>
  </w:num>
  <w:num w:numId="322">
    <w:abstractNumId w:val="283"/>
  </w:num>
  <w:num w:numId="323">
    <w:abstractNumId w:val="102"/>
  </w:num>
  <w:num w:numId="324">
    <w:abstractNumId w:val="189"/>
  </w:num>
  <w:num w:numId="325">
    <w:abstractNumId w:val="153"/>
  </w:num>
  <w:num w:numId="326">
    <w:abstractNumId w:val="193"/>
  </w:num>
  <w:num w:numId="327">
    <w:abstractNumId w:val="306"/>
  </w:num>
  <w:num w:numId="328">
    <w:abstractNumId w:val="260"/>
  </w:num>
  <w:num w:numId="329">
    <w:abstractNumId w:val="259"/>
  </w:num>
  <w:num w:numId="330">
    <w:abstractNumId w:val="5"/>
  </w:num>
  <w:num w:numId="331">
    <w:abstractNumId w:val="3"/>
  </w:num>
  <w:num w:numId="332">
    <w:abstractNumId w:val="19"/>
  </w:num>
  <w:num w:numId="333">
    <w:abstractNumId w:val="29"/>
  </w:num>
  <w:num w:numId="334">
    <w:abstractNumId w:val="8"/>
  </w:num>
  <w:num w:numId="335">
    <w:abstractNumId w:val="308"/>
  </w:num>
  <w:num w:numId="336">
    <w:abstractNumId w:val="209"/>
  </w:num>
  <w:num w:numId="337">
    <w:abstractNumId w:val="185"/>
  </w:num>
  <w:num w:numId="338">
    <w:abstractNumId w:val="202"/>
  </w:num>
  <w:num w:numId="339">
    <w:abstractNumId w:val="196"/>
  </w:num>
  <w:num w:numId="340">
    <w:abstractNumId w:val="61"/>
  </w:num>
  <w:num w:numId="341">
    <w:abstractNumId w:val="216"/>
  </w:num>
  <w:num w:numId="342">
    <w:abstractNumId w:val="337"/>
  </w:num>
  <w:num w:numId="343">
    <w:abstractNumId w:val="170"/>
  </w:num>
  <w:num w:numId="344">
    <w:abstractNumId w:val="136"/>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84B"/>
    <w:rsid w:val="003E3BA9"/>
    <w:rsid w:val="00FF3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FE960-DC55-4012-84A7-C0A8BB47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8" w:line="253" w:lineRule="auto"/>
      <w:ind w:left="1133"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8" w:line="253" w:lineRule="auto"/>
      <w:ind w:left="1133"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hd w:val="clear" w:color="auto" w:fill="E0E0E0"/>
      <w:spacing w:after="225" w:line="250" w:lineRule="auto"/>
      <w:ind w:left="10" w:right="1057" w:hanging="10"/>
      <w:jc w:val="center"/>
      <w:outlineLvl w:val="2"/>
    </w:pPr>
    <w:rPr>
      <w:rFonts w:ascii="Arial" w:eastAsia="Arial" w:hAnsi="Arial" w:cs="Arial"/>
      <w:b/>
      <w:i/>
      <w:color w:val="000000"/>
    </w:rPr>
  </w:style>
  <w:style w:type="paragraph" w:styleId="Ttulo4">
    <w:name w:val="heading 4"/>
    <w:next w:val="Normal"/>
    <w:link w:val="Ttulo4Car"/>
    <w:uiPriority w:val="9"/>
    <w:unhideWhenUsed/>
    <w:qFormat/>
    <w:pPr>
      <w:keepNext/>
      <w:keepLines/>
      <w:spacing w:after="8" w:line="253" w:lineRule="auto"/>
      <w:ind w:left="1133"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2"/>
    </w:rPr>
  </w:style>
  <w:style w:type="character" w:customStyle="1" w:styleId="Ttulo3Car">
    <w:name w:val="Título 3 Car"/>
    <w:link w:val="Ttulo3"/>
    <w:rPr>
      <w:rFonts w:ascii="Arial" w:eastAsia="Arial" w:hAnsi="Arial" w:cs="Arial"/>
      <w:b/>
      <w:i/>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21.xml"/><Relationship Id="rId63" Type="http://schemas.openxmlformats.org/officeDocument/2006/relationships/image" Target="media/image1.jpg"/><Relationship Id="rId68" Type="http://schemas.openxmlformats.org/officeDocument/2006/relationships/image" Target="media/image7.jpg"/><Relationship Id="rId84" Type="http://schemas.openxmlformats.org/officeDocument/2006/relationships/footer" Target="footer5.xml"/><Relationship Id="rId89" Type="http://schemas.openxmlformats.org/officeDocument/2006/relationships/header" Target="header7.xml"/><Relationship Id="rId112" Type="http://schemas.openxmlformats.org/officeDocument/2006/relationships/footer" Target="footer18.xml"/><Relationship Id="rId133" Type="http://schemas.openxmlformats.org/officeDocument/2006/relationships/image" Target="media/image17.jpg"/><Relationship Id="rId138" Type="http://schemas.openxmlformats.org/officeDocument/2006/relationships/image" Target="media/image170.jpg"/><Relationship Id="rId154" Type="http://schemas.openxmlformats.org/officeDocument/2006/relationships/image" Target="media/image32.png"/><Relationship Id="rId159" Type="http://schemas.openxmlformats.org/officeDocument/2006/relationships/image" Target="media/image34.jpg"/><Relationship Id="rId107" Type="http://schemas.openxmlformats.org/officeDocument/2006/relationships/header" Target="header16.xml"/><Relationship Id="rId74" Type="http://schemas.openxmlformats.org/officeDocument/2006/relationships/footer" Target="footer1.xml"/><Relationship Id="rId79" Type="http://schemas.openxmlformats.org/officeDocument/2006/relationships/image" Target="media/image12.jpg"/><Relationship Id="rId102" Type="http://schemas.openxmlformats.org/officeDocument/2006/relationships/header" Target="header14.xml"/><Relationship Id="rId123" Type="http://schemas.openxmlformats.org/officeDocument/2006/relationships/header" Target="header24.xml"/><Relationship Id="rId128" Type="http://schemas.openxmlformats.org/officeDocument/2006/relationships/footer" Target="footer26.xml"/><Relationship Id="rId144" Type="http://schemas.openxmlformats.org/officeDocument/2006/relationships/image" Target="media/image25.png"/><Relationship Id="rId149" Type="http://schemas.openxmlformats.org/officeDocument/2006/relationships/image" Target="media/image26.jpg"/><Relationship Id="rId5" Type="http://schemas.openxmlformats.org/officeDocument/2006/relationships/footnotes" Target="footnotes.xml"/><Relationship Id="rId90" Type="http://schemas.openxmlformats.org/officeDocument/2006/relationships/header" Target="header8.xml"/><Relationship Id="rId95" Type="http://schemas.openxmlformats.org/officeDocument/2006/relationships/header" Target="header10.xml"/><Relationship Id="rId160" Type="http://schemas.openxmlformats.org/officeDocument/2006/relationships/image" Target="media/image24.jpg"/><Relationship Id="rId165" Type="http://schemas.openxmlformats.org/officeDocument/2006/relationships/header" Target="header30.xml"/><Relationship Id="rId64" Type="http://schemas.openxmlformats.org/officeDocument/2006/relationships/image" Target="media/image3.jpg"/><Relationship Id="rId69" Type="http://schemas.openxmlformats.org/officeDocument/2006/relationships/image" Target="media/image8.jpg"/><Relationship Id="rId113" Type="http://schemas.openxmlformats.org/officeDocument/2006/relationships/header" Target="header19.xml"/><Relationship Id="rId118" Type="http://schemas.openxmlformats.org/officeDocument/2006/relationships/footer" Target="footer21.xml"/><Relationship Id="rId134" Type="http://schemas.openxmlformats.org/officeDocument/2006/relationships/image" Target="media/image18.jpg"/><Relationship Id="rId139" Type="http://schemas.openxmlformats.org/officeDocument/2006/relationships/image" Target="media/image27.png"/><Relationship Id="rId80" Type="http://schemas.openxmlformats.org/officeDocument/2006/relationships/image" Target="media/image90.jpg"/><Relationship Id="rId85" Type="http://schemas.openxmlformats.org/officeDocument/2006/relationships/header" Target="header6.xml"/><Relationship Id="rId150" Type="http://schemas.openxmlformats.org/officeDocument/2006/relationships/image" Target="media/image190.jpg"/><Relationship Id="rId155" Type="http://schemas.openxmlformats.org/officeDocument/2006/relationships/image" Target="media/image33.png"/><Relationship Id="rId103" Type="http://schemas.openxmlformats.org/officeDocument/2006/relationships/footer" Target="footer13.xml"/><Relationship Id="rId108" Type="http://schemas.openxmlformats.org/officeDocument/2006/relationships/header" Target="header17.xml"/><Relationship Id="rId124" Type="http://schemas.openxmlformats.org/officeDocument/2006/relationships/footer" Target="footer24.xml"/><Relationship Id="rId129" Type="http://schemas.openxmlformats.org/officeDocument/2006/relationships/header" Target="header27.xml"/><Relationship Id="rId70" Type="http://schemas.openxmlformats.org/officeDocument/2006/relationships/image" Target="media/image9.jpg"/><Relationship Id="rId75" Type="http://schemas.openxmlformats.org/officeDocument/2006/relationships/footer" Target="footer2.xml"/><Relationship Id="rId91" Type="http://schemas.openxmlformats.org/officeDocument/2006/relationships/footer" Target="footer7.xml"/><Relationship Id="rId96" Type="http://schemas.openxmlformats.org/officeDocument/2006/relationships/header" Target="header11.xml"/><Relationship Id="rId140" Type="http://schemas.openxmlformats.org/officeDocument/2006/relationships/image" Target="media/image28.png"/><Relationship Id="rId145" Type="http://schemas.openxmlformats.org/officeDocument/2006/relationships/image" Target="media/image180.jpg"/><Relationship Id="rId161" Type="http://schemas.openxmlformats.org/officeDocument/2006/relationships/header" Target="header28.xml"/><Relationship Id="rId166"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06" Type="http://schemas.openxmlformats.org/officeDocument/2006/relationships/footer" Target="footer15.xml"/><Relationship Id="rId114" Type="http://schemas.openxmlformats.org/officeDocument/2006/relationships/header" Target="header20.xml"/><Relationship Id="rId119" Type="http://schemas.openxmlformats.org/officeDocument/2006/relationships/header" Target="header22.xml"/><Relationship Id="rId127" Type="http://schemas.openxmlformats.org/officeDocument/2006/relationships/footer" Target="footer25.xml"/><Relationship Id="rId65" Type="http://schemas.openxmlformats.org/officeDocument/2006/relationships/image" Target="media/image4.jpg"/><Relationship Id="rId73" Type="http://schemas.openxmlformats.org/officeDocument/2006/relationships/header" Target="header2.xml"/><Relationship Id="rId78" Type="http://schemas.openxmlformats.org/officeDocument/2006/relationships/image" Target="media/image11.jpg"/><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footer" Target="footer9.xml"/><Relationship Id="rId99" Type="http://schemas.openxmlformats.org/officeDocument/2006/relationships/header" Target="header12.xml"/><Relationship Id="rId101" Type="http://schemas.openxmlformats.org/officeDocument/2006/relationships/header" Target="header13.xml"/><Relationship Id="rId122" Type="http://schemas.openxmlformats.org/officeDocument/2006/relationships/footer" Target="footer23.xml"/><Relationship Id="rId130" Type="http://schemas.openxmlformats.org/officeDocument/2006/relationships/footer" Target="footer27.xml"/><Relationship Id="rId135" Type="http://schemas.openxmlformats.org/officeDocument/2006/relationships/image" Target="media/image19.jpg"/><Relationship Id="rId143" Type="http://schemas.openxmlformats.org/officeDocument/2006/relationships/image" Target="media/image24.png"/><Relationship Id="rId148" Type="http://schemas.openxmlformats.org/officeDocument/2006/relationships/image" Target="media/image31.png"/><Relationship Id="rId151" Type="http://schemas.openxmlformats.org/officeDocument/2006/relationships/image" Target="media/image27.jpg"/><Relationship Id="rId156" Type="http://schemas.openxmlformats.org/officeDocument/2006/relationships/image" Target="media/image21.jpg"/><Relationship Id="rId164" Type="http://schemas.openxmlformats.org/officeDocument/2006/relationships/footer" Target="footer29.xml"/><Relationship Id="rId4" Type="http://schemas.openxmlformats.org/officeDocument/2006/relationships/webSettings" Target="webSettings.xml"/><Relationship Id="rId109" Type="http://schemas.openxmlformats.org/officeDocument/2006/relationships/footer" Target="footer16.xml"/><Relationship Id="rId76" Type="http://schemas.openxmlformats.org/officeDocument/2006/relationships/header" Target="header3.xml"/><Relationship Id="rId97" Type="http://schemas.openxmlformats.org/officeDocument/2006/relationships/footer" Target="footer10.xml"/><Relationship Id="rId104" Type="http://schemas.openxmlformats.org/officeDocument/2006/relationships/footer" Target="footer14.xml"/><Relationship Id="rId120" Type="http://schemas.openxmlformats.org/officeDocument/2006/relationships/header" Target="header23.xml"/><Relationship Id="rId125" Type="http://schemas.openxmlformats.org/officeDocument/2006/relationships/header" Target="header25.xml"/><Relationship Id="rId141" Type="http://schemas.openxmlformats.org/officeDocument/2006/relationships/image" Target="media/image22.jpg"/><Relationship Id="rId146" Type="http://schemas.openxmlformats.org/officeDocument/2006/relationships/image" Target="media/image29.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0.jpg"/><Relationship Id="rId92" Type="http://schemas.openxmlformats.org/officeDocument/2006/relationships/footer" Target="footer8.xml"/><Relationship Id="rId162" Type="http://schemas.openxmlformats.org/officeDocument/2006/relationships/header" Target="header29.xml"/><Relationship Id="rId2" Type="http://schemas.openxmlformats.org/officeDocument/2006/relationships/styles" Target="styles.xml"/><Relationship Id="rId66" Type="http://schemas.openxmlformats.org/officeDocument/2006/relationships/image" Target="media/image5.png"/><Relationship Id="rId87" Type="http://schemas.openxmlformats.org/officeDocument/2006/relationships/image" Target="media/image13.jpg"/><Relationship Id="rId110" Type="http://schemas.openxmlformats.org/officeDocument/2006/relationships/footer" Target="footer17.xml"/><Relationship Id="rId115" Type="http://schemas.openxmlformats.org/officeDocument/2006/relationships/footer" Target="footer19.xml"/><Relationship Id="rId131" Type="http://schemas.openxmlformats.org/officeDocument/2006/relationships/image" Target="media/image15.jpg"/><Relationship Id="rId136" Type="http://schemas.openxmlformats.org/officeDocument/2006/relationships/image" Target="media/image20.png"/><Relationship Id="rId157" Type="http://schemas.openxmlformats.org/officeDocument/2006/relationships/image" Target="media/image22.png"/><Relationship Id="rId61" Type="http://schemas.openxmlformats.org/officeDocument/2006/relationships/image" Target="media/image0.png"/><Relationship Id="rId82" Type="http://schemas.openxmlformats.org/officeDocument/2006/relationships/header" Target="header5.xml"/><Relationship Id="rId152" Type="http://schemas.openxmlformats.org/officeDocument/2006/relationships/image" Target="media/image20.jpg"/><Relationship Id="rId77" Type="http://schemas.openxmlformats.org/officeDocument/2006/relationships/footer" Target="footer3.xml"/><Relationship Id="rId100" Type="http://schemas.openxmlformats.org/officeDocument/2006/relationships/footer" Target="footer12.xml"/><Relationship Id="rId105" Type="http://schemas.openxmlformats.org/officeDocument/2006/relationships/header" Target="header15.xml"/><Relationship Id="rId126" Type="http://schemas.openxmlformats.org/officeDocument/2006/relationships/header" Target="header26.xml"/><Relationship Id="rId147" Type="http://schemas.openxmlformats.org/officeDocument/2006/relationships/image" Target="media/image30.png"/><Relationship Id="rId168" Type="http://schemas.openxmlformats.org/officeDocument/2006/relationships/theme" Target="theme/theme1.xml"/><Relationship Id="rId72" Type="http://schemas.openxmlformats.org/officeDocument/2006/relationships/header" Target="header1.xml"/><Relationship Id="rId93" Type="http://schemas.openxmlformats.org/officeDocument/2006/relationships/header" Target="header9.xml"/><Relationship Id="rId98" Type="http://schemas.openxmlformats.org/officeDocument/2006/relationships/footer" Target="footer11.xml"/><Relationship Id="rId121" Type="http://schemas.openxmlformats.org/officeDocument/2006/relationships/footer" Target="footer22.xml"/><Relationship Id="rId142" Type="http://schemas.openxmlformats.org/officeDocument/2006/relationships/image" Target="media/image23.png"/><Relationship Id="rId163" Type="http://schemas.openxmlformats.org/officeDocument/2006/relationships/footer" Target="footer28.xml"/><Relationship Id="rId3" Type="http://schemas.openxmlformats.org/officeDocument/2006/relationships/settings" Target="settings.xml"/><Relationship Id="rId67" Type="http://schemas.openxmlformats.org/officeDocument/2006/relationships/image" Target="media/image6.png"/><Relationship Id="rId116" Type="http://schemas.openxmlformats.org/officeDocument/2006/relationships/footer" Target="footer20.xml"/><Relationship Id="rId137" Type="http://schemas.openxmlformats.org/officeDocument/2006/relationships/image" Target="media/image21.png"/><Relationship Id="rId158" Type="http://schemas.openxmlformats.org/officeDocument/2006/relationships/image" Target="media/image230.png"/><Relationship Id="rId62" Type="http://schemas.openxmlformats.org/officeDocument/2006/relationships/image" Target="media/image2.jpg"/><Relationship Id="rId83" Type="http://schemas.openxmlformats.org/officeDocument/2006/relationships/footer" Target="footer4.xml"/><Relationship Id="rId88" Type="http://schemas.openxmlformats.org/officeDocument/2006/relationships/image" Target="media/image14.jpg"/><Relationship Id="rId111" Type="http://schemas.openxmlformats.org/officeDocument/2006/relationships/header" Target="header18.xml"/><Relationship Id="rId132" Type="http://schemas.openxmlformats.org/officeDocument/2006/relationships/image" Target="media/image16.jpg"/><Relationship Id="rId153" Type="http://schemas.openxmlformats.org/officeDocument/2006/relationships/image" Target="media/image28.jpg"/></Relationships>
</file>

<file path=word/_rels/footer13.xml.rels><?xml version="1.0" encoding="UTF-8" standalone="yes"?>
<Relationships xmlns="http://schemas.openxmlformats.org/package/2006/relationships"><Relationship Id="rId1" Type="http://schemas.openxmlformats.org/officeDocument/2006/relationships/image" Target="media/image12.jpg"/></Relationships>
</file>

<file path=word/_rels/footer14.xml.rels><?xml version="1.0" encoding="UTF-8" standalone="yes"?>
<Relationships xmlns="http://schemas.openxmlformats.org/package/2006/relationships"><Relationship Id="rId1" Type="http://schemas.openxmlformats.org/officeDocument/2006/relationships/image" Target="media/image12.jpg"/></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s>
</file>

<file path=word/_rels/footer19.xml.rels><?xml version="1.0" encoding="UTF-8" standalone="yes"?>
<Relationships xmlns="http://schemas.openxmlformats.org/package/2006/relationships"><Relationship Id="rId1" Type="http://schemas.openxmlformats.org/officeDocument/2006/relationships/image" Target="media/image12.jpg"/></Relationships>
</file>

<file path=word/_rels/footer20.xml.rels><?xml version="1.0" encoding="UTF-8" standalone="yes"?>
<Relationships xmlns="http://schemas.openxmlformats.org/package/2006/relationships"><Relationship Id="rId1" Type="http://schemas.openxmlformats.org/officeDocument/2006/relationships/image" Target="media/image12.jpg"/></Relationships>
</file>

<file path=word/_rels/footer21.xml.rels><?xml version="1.0" encoding="UTF-8" standalone="yes"?>
<Relationships xmlns="http://schemas.openxmlformats.org/package/2006/relationships"><Relationship Id="rId1" Type="http://schemas.openxmlformats.org/officeDocument/2006/relationships/image" Target="media/image12.jpg"/></Relationships>
</file>

<file path=word/_rels/footer25.xml.rels><?xml version="1.0" encoding="UTF-8" standalone="yes"?>
<Relationships xmlns="http://schemas.openxmlformats.org/package/2006/relationships"><Relationship Id="rId1" Type="http://schemas.openxmlformats.org/officeDocument/2006/relationships/image" Target="media/image12.jpg"/></Relationships>
</file>

<file path=word/_rels/footer26.xml.rels><?xml version="1.0" encoding="UTF-8" standalone="yes"?>
<Relationships xmlns="http://schemas.openxmlformats.org/package/2006/relationships"><Relationship Id="rId1" Type="http://schemas.openxmlformats.org/officeDocument/2006/relationships/image" Target="media/image12.jpg"/></Relationships>
</file>

<file path=word/_rels/footer27.xml.rels><?xml version="1.0" encoding="UTF-8" standalone="yes"?>
<Relationships xmlns="http://schemas.openxmlformats.org/package/2006/relationships"><Relationship Id="rId1" Type="http://schemas.openxmlformats.org/officeDocument/2006/relationships/image" Target="media/image12.jpg"/></Relationships>
</file>

<file path=word/_rels/footer28.xml.rels><?xml version="1.0" encoding="UTF-8" standalone="yes"?>
<Relationships xmlns="http://schemas.openxmlformats.org/package/2006/relationships"><Relationship Id="rId1" Type="http://schemas.openxmlformats.org/officeDocument/2006/relationships/image" Target="media/image12.jpg"/></Relationships>
</file>

<file path=word/_rels/footer29.xml.rels><?xml version="1.0" encoding="UTF-8" standalone="yes"?>
<Relationships xmlns="http://schemas.openxmlformats.org/package/2006/relationships"><Relationship Id="rId1" Type="http://schemas.openxmlformats.org/officeDocument/2006/relationships/image" Target="media/image12.jpg"/></Relationships>
</file>

<file path=word/_rels/footer7.xml.rels><?xml version="1.0" encoding="UTF-8" standalone="yes"?>
<Relationships xmlns="http://schemas.openxmlformats.org/package/2006/relationships"><Relationship Id="rId1" Type="http://schemas.openxmlformats.org/officeDocument/2006/relationships/image" Target="media/image12.jpg"/></Relationships>
</file>

<file path=word/_rels/footer8.xml.rels><?xml version="1.0" encoding="UTF-8" standalone="yes"?>
<Relationships xmlns="http://schemas.openxmlformats.org/package/2006/relationships"><Relationship Id="rId1" Type="http://schemas.openxmlformats.org/officeDocument/2006/relationships/image" Target="media/image12.jpg"/></Relationships>
</file>

<file path=word/_rels/footer9.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91" Type="http://schemas.openxmlformats.org/officeDocument/2006/relationships/image" Target="media/image2.png"/><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jpg"/></Relationships>
</file>

<file path=word/_rels/header14.xml.rels><?xml version="1.0" encoding="UTF-8" standalone="yes"?>
<Relationships xmlns="http://schemas.openxmlformats.org/package/2006/relationships"><Relationship Id="rId1" Type="http://schemas.openxmlformats.org/officeDocument/2006/relationships/image" Target="media/image11.jpg"/></Relationships>
</file>

<file path=word/_rels/header15.xml.rels><?xml version="1.0" encoding="UTF-8" standalone="yes"?>
<Relationships xmlns="http://schemas.openxmlformats.org/package/2006/relationships"><Relationship Id="rId1" Type="http://schemas.openxmlformats.org/officeDocument/2006/relationships/image" Target="media/image11.jpg"/></Relationships>
</file>

<file path=word/_rels/header19.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91" Type="http://schemas.openxmlformats.org/officeDocument/2006/relationships/image" Target="media/image2.png"/><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11.jpg"/></Relationships>
</file>

<file path=word/_rels/header21.xml.rels><?xml version="1.0" encoding="UTF-8" standalone="yes"?>
<Relationships xmlns="http://schemas.openxmlformats.org/package/2006/relationships"><Relationship Id="rId1" Type="http://schemas.openxmlformats.org/officeDocument/2006/relationships/image" Target="media/image11.jpg"/></Relationships>
</file>

<file path=word/_rels/header25.xml.rels><?xml version="1.0" encoding="UTF-8" standalone="yes"?>
<Relationships xmlns="http://schemas.openxmlformats.org/package/2006/relationships"><Relationship Id="rId1" Type="http://schemas.openxmlformats.org/officeDocument/2006/relationships/image" Target="media/image11.jpg"/></Relationships>
</file>

<file path=word/_rels/header26.xml.rels><?xml version="1.0" encoding="UTF-8" standalone="yes"?>
<Relationships xmlns="http://schemas.openxmlformats.org/package/2006/relationships"><Relationship Id="rId1" Type="http://schemas.openxmlformats.org/officeDocument/2006/relationships/image" Target="media/image11.jpg"/></Relationships>
</file>

<file path=word/_rels/header27.xml.rels><?xml version="1.0" encoding="UTF-8" standalone="yes"?>
<Relationships xmlns="http://schemas.openxmlformats.org/package/2006/relationships"><Relationship Id="rId1" Type="http://schemas.openxmlformats.org/officeDocument/2006/relationships/image" Target="media/image11.jpg"/></Relationships>
</file>

<file path=word/_rels/header28.xml.rels><?xml version="1.0" encoding="UTF-8" standalone="yes"?>
<Relationships xmlns="http://schemas.openxmlformats.org/package/2006/relationships"><Relationship Id="rId1" Type="http://schemas.openxmlformats.org/officeDocument/2006/relationships/image" Target="media/image11.jpg"/></Relationships>
</file>

<file path=word/_rels/header29.xml.rels><?xml version="1.0" encoding="UTF-8" standalone="yes"?>
<Relationships xmlns="http://schemas.openxmlformats.org/package/2006/relationships"><Relationship Id="rId1" Type="http://schemas.openxmlformats.org/officeDocument/2006/relationships/image" Target="media/image11.jpg"/></Relationships>
</file>

<file path=word/_rels/header30.xml.rels><?xml version="1.0" encoding="UTF-8" standalone="yes"?>
<Relationships xmlns="http://schemas.openxmlformats.org/package/2006/relationships"><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_rels/header8.xml.rels><?xml version="1.0" encoding="UTF-8" standalone="yes"?>
<Relationships xmlns="http://schemas.openxmlformats.org/package/2006/relationships"><Relationship Id="rId1" Type="http://schemas.openxmlformats.org/officeDocument/2006/relationships/image" Target="media/image11.jpg"/></Relationships>
</file>

<file path=word/_rels/header9.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121679</Words>
  <Characters>669238</Characters>
  <Application>Microsoft Office Word</Application>
  <DocSecurity>0</DocSecurity>
  <Lines>5576</Lines>
  <Paragraphs>1578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2024-01-17T09:02:00Z</dcterms:created>
  <dcterms:modified xsi:type="dcterms:W3CDTF">2024-01-17T09:02:00Z</dcterms:modified>
</cp:coreProperties>
</file>